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909DB">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51748642">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537BFE08">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3386F85F">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798FC0CF">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6B57A40C">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0D79AEB7">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5BBD0460">
      <w:pPr>
        <w:widowControl w:val="0"/>
        <w:kinsoku/>
        <w:overflowPunct w:val="0"/>
        <w:topLinePunct/>
        <w:autoSpaceDE/>
        <w:autoSpaceDN/>
        <w:spacing w:line="530" w:lineRule="exact"/>
        <w:jc w:val="center"/>
        <w:textAlignment w:val="auto"/>
        <w:rPr>
          <w:rFonts w:ascii="Times New Roman" w:hAnsi="Times New Roman" w:eastAsia="仿宋_GB2312" w:cs="Times New Roman"/>
          <w:sz w:val="32"/>
          <w:szCs w:val="32"/>
          <w:lang w:eastAsia="zh-CN"/>
        </w:rPr>
      </w:pPr>
    </w:p>
    <w:p w14:paraId="13E65E6C">
      <w:pPr>
        <w:widowControl w:val="0"/>
        <w:kinsoku/>
        <w:overflowPunct w:val="0"/>
        <w:topLinePunct/>
        <w:autoSpaceDE/>
        <w:autoSpaceDN/>
        <w:spacing w:line="560" w:lineRule="exact"/>
        <w:jc w:val="center"/>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敖政办发〔2024〕</w:t>
      </w:r>
      <w:r>
        <w:rPr>
          <w:rFonts w:hint="eastAsia" w:ascii="Times New Roman" w:hAnsi="Times New Roman" w:eastAsia="仿宋_GB2312" w:cs="Times New Roman"/>
          <w:sz w:val="32"/>
          <w:szCs w:val="32"/>
          <w:lang w:eastAsia="zh-CN"/>
        </w:rPr>
        <w:t>23</w:t>
      </w:r>
      <w:r>
        <w:rPr>
          <w:rFonts w:ascii="Times New Roman" w:hAnsi="Times New Roman" w:eastAsia="仿宋_GB2312" w:cs="Times New Roman"/>
          <w:sz w:val="32"/>
          <w:szCs w:val="32"/>
          <w:lang w:eastAsia="zh-CN"/>
        </w:rPr>
        <w:t>号</w:t>
      </w:r>
    </w:p>
    <w:p w14:paraId="3441BD30">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position w:val="3"/>
          <w:sz w:val="44"/>
          <w:szCs w:val="44"/>
          <w:lang w:eastAsia="zh-CN"/>
        </w:rPr>
      </w:pPr>
    </w:p>
    <w:p w14:paraId="050AF281">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position w:val="3"/>
          <w:sz w:val="44"/>
          <w:szCs w:val="44"/>
          <w:lang w:eastAsia="zh-CN"/>
        </w:rPr>
      </w:pPr>
    </w:p>
    <w:p w14:paraId="67428DDA">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敖汉旗人民政府办公室</w:t>
      </w:r>
    </w:p>
    <w:p w14:paraId="771537F6">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position w:val="2"/>
          <w:sz w:val="44"/>
          <w:szCs w:val="44"/>
          <w:lang w:eastAsia="zh-CN"/>
        </w:rPr>
      </w:pPr>
      <w:r>
        <w:rPr>
          <w:rFonts w:hint="eastAsia" w:ascii="方正小标宋简体" w:hAnsi="方正小标宋简体" w:eastAsia="方正小标宋简体" w:cs="方正小标宋简体"/>
          <w:position w:val="2"/>
          <w:sz w:val="44"/>
          <w:szCs w:val="44"/>
          <w:lang w:eastAsia="zh-CN"/>
        </w:rPr>
        <w:t>关于印发《敖汉旗</w:t>
      </w:r>
      <w:r>
        <w:rPr>
          <w:rFonts w:ascii="方正小标宋简体" w:hAnsi="方正小标宋简体" w:eastAsia="方正小标宋简体" w:cs="方正小标宋简体"/>
          <w:position w:val="2"/>
          <w:sz w:val="44"/>
          <w:szCs w:val="44"/>
          <w:lang w:val="en" w:eastAsia="zh-CN"/>
        </w:rPr>
        <w:t>2</w:t>
      </w:r>
      <w:r>
        <w:rPr>
          <w:rFonts w:hint="eastAsia" w:ascii="方正小标宋简体" w:hAnsi="方正小标宋简体" w:eastAsia="方正小标宋简体" w:cs="方正小标宋简体"/>
          <w:position w:val="2"/>
          <w:sz w:val="44"/>
          <w:szCs w:val="44"/>
          <w:lang w:eastAsia="zh-CN"/>
        </w:rPr>
        <w:t>024年政策性农林保险</w:t>
      </w:r>
    </w:p>
    <w:p w14:paraId="3DDFDC7E">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position w:val="3"/>
          <w:sz w:val="44"/>
          <w:szCs w:val="44"/>
          <w:lang w:eastAsia="zh-CN"/>
        </w:rPr>
      </w:pPr>
      <w:r>
        <w:rPr>
          <w:rFonts w:hint="eastAsia" w:ascii="方正小标宋简体" w:hAnsi="方正小标宋简体" w:eastAsia="方正小标宋简体" w:cs="方正小标宋简体"/>
          <w:position w:val="3"/>
          <w:sz w:val="44"/>
          <w:szCs w:val="44"/>
          <w:lang w:eastAsia="zh-CN"/>
        </w:rPr>
        <w:t>参保工作实施方案》的通知</w:t>
      </w:r>
    </w:p>
    <w:p w14:paraId="68C82D9B">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position w:val="3"/>
          <w:sz w:val="44"/>
          <w:szCs w:val="44"/>
          <w:lang w:eastAsia="zh-CN"/>
        </w:rPr>
      </w:pPr>
    </w:p>
    <w:p w14:paraId="5D7F722E">
      <w:pPr>
        <w:widowControl w:val="0"/>
        <w:kinsoku/>
        <w:overflowPunct w:val="0"/>
        <w:topLinePunct/>
        <w:autoSpaceDE/>
        <w:autoSpaceDN/>
        <w:snapToGrid/>
        <w:spacing w:line="578" w:lineRule="exact"/>
        <w:rPr>
          <w:rFonts w:ascii="Times New Roman" w:hAnsi="Times New Roman" w:eastAsia="仿宋_GB2312" w:cs="Times New Roman"/>
          <w:sz w:val="31"/>
          <w:szCs w:val="31"/>
          <w:lang w:eastAsia="zh-CN"/>
        </w:rPr>
      </w:pPr>
      <w:r>
        <w:rPr>
          <w:rFonts w:ascii="Times New Roman" w:hAnsi="Times New Roman" w:eastAsia="仿宋_GB2312" w:cs="Times New Roman"/>
          <w:sz w:val="31"/>
          <w:szCs w:val="31"/>
          <w:lang w:eastAsia="zh-CN"/>
        </w:rPr>
        <w:t>各乡镇苏木人民政府</w:t>
      </w:r>
      <w:r>
        <w:rPr>
          <w:rFonts w:hint="eastAsia" w:ascii="Times New Roman" w:hAnsi="Times New Roman" w:eastAsia="仿宋_GB2312" w:cs="Times New Roman"/>
          <w:sz w:val="31"/>
          <w:szCs w:val="31"/>
          <w:lang w:eastAsia="zh-CN"/>
        </w:rPr>
        <w:t>、</w:t>
      </w:r>
      <w:r>
        <w:rPr>
          <w:rFonts w:ascii="Times New Roman" w:hAnsi="Times New Roman" w:eastAsia="仿宋_GB2312" w:cs="Times New Roman"/>
          <w:sz w:val="31"/>
          <w:szCs w:val="31"/>
          <w:lang w:eastAsia="zh-CN"/>
        </w:rPr>
        <w:t>各街道办，旗政府各有关委办局，中区市直驻敖汉各有关单位：</w:t>
      </w:r>
    </w:p>
    <w:p w14:paraId="0593F7C3">
      <w:pPr>
        <w:widowControl w:val="0"/>
        <w:kinsoku/>
        <w:overflowPunct w:val="0"/>
        <w:topLinePunct/>
        <w:autoSpaceDE/>
        <w:autoSpaceDN/>
        <w:snapToGrid/>
        <w:spacing w:line="578" w:lineRule="exact"/>
        <w:ind w:firstLine="620" w:firstLineChars="200"/>
        <w:rPr>
          <w:rFonts w:ascii="Times New Roman" w:hAnsi="Times New Roman" w:eastAsia="仿宋_GB2312" w:cs="Times New Roman"/>
          <w:sz w:val="31"/>
          <w:szCs w:val="31"/>
          <w:lang w:eastAsia="zh-CN"/>
        </w:rPr>
      </w:pPr>
      <w:r>
        <w:rPr>
          <w:rFonts w:ascii="Times New Roman" w:hAnsi="Times New Roman" w:eastAsia="仿宋_GB2312" w:cs="Times New Roman"/>
          <w:sz w:val="31"/>
          <w:szCs w:val="31"/>
          <w:lang w:eastAsia="zh-CN"/>
        </w:rPr>
        <w:t>《敖汉旗2024年政策性农林保险参保工作实施方案》已经旗政府同意，现印发给你们，请结合实际，认真组织实施。</w:t>
      </w:r>
    </w:p>
    <w:p w14:paraId="1BEA768F">
      <w:pPr>
        <w:pStyle w:val="5"/>
        <w:widowControl w:val="0"/>
        <w:kinsoku/>
        <w:overflowPunct w:val="0"/>
        <w:topLinePunct/>
        <w:autoSpaceDE/>
        <w:autoSpaceDN/>
        <w:snapToGrid/>
        <w:spacing w:line="578" w:lineRule="exact"/>
        <w:ind w:firstLine="420" w:firstLineChars="200"/>
        <w:rPr>
          <w:rFonts w:ascii="Times New Roman" w:hAnsi="Times New Roman" w:eastAsia="仿宋_GB2312" w:cs="Times New Roman"/>
          <w:lang w:eastAsia="zh-CN"/>
        </w:rPr>
      </w:pPr>
    </w:p>
    <w:p w14:paraId="24212BB6">
      <w:pPr>
        <w:pStyle w:val="5"/>
        <w:widowControl w:val="0"/>
        <w:kinsoku/>
        <w:overflowPunct w:val="0"/>
        <w:topLinePunct/>
        <w:autoSpaceDE/>
        <w:autoSpaceDN/>
        <w:snapToGrid/>
        <w:spacing w:line="578" w:lineRule="exact"/>
        <w:ind w:firstLine="420" w:firstLineChars="200"/>
        <w:rPr>
          <w:rFonts w:ascii="Times New Roman" w:hAnsi="Times New Roman" w:eastAsia="仿宋_GB2312" w:cs="Times New Roman"/>
          <w:lang w:eastAsia="zh-CN"/>
        </w:rPr>
      </w:pPr>
    </w:p>
    <w:p w14:paraId="034D6FB3">
      <w:pPr>
        <w:widowControl w:val="0"/>
        <w:kinsoku/>
        <w:overflowPunct w:val="0"/>
        <w:topLinePunct/>
        <w:autoSpaceDE/>
        <w:autoSpaceDN/>
        <w:adjustRightInd/>
        <w:snapToGrid/>
        <w:spacing w:line="490" w:lineRule="exact"/>
        <w:ind w:firstLine="4480" w:firstLineChars="1400"/>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敖汉旗人民政府办公室</w:t>
      </w:r>
    </w:p>
    <w:p w14:paraId="2A853283">
      <w:pPr>
        <w:widowControl w:val="0"/>
        <w:kinsoku/>
        <w:overflowPunct w:val="0"/>
        <w:topLinePunct/>
        <w:autoSpaceDE/>
        <w:autoSpaceDN/>
        <w:adjustRightInd/>
        <w:snapToGrid/>
        <w:spacing w:line="490" w:lineRule="exact"/>
        <w:ind w:firstLine="5120" w:firstLineChars="1600"/>
        <w:textAlignment w:val="auto"/>
        <w:rPr>
          <w:rFonts w:ascii="Times New Roman" w:hAnsi="Times New Roman" w:eastAsia="方正小标宋简体" w:cs="Times New Roman"/>
          <w:sz w:val="44"/>
          <w:szCs w:val="44"/>
          <w:lang w:eastAsia="zh-CN"/>
        </w:rPr>
      </w:pPr>
      <w:r>
        <w:rPr>
          <w:rFonts w:ascii="Times New Roman" w:hAnsi="Times New Roman" w:eastAsia="仿宋_GB2312" w:cs="Times New Roman"/>
          <w:sz w:val="32"/>
          <w:szCs w:val="32"/>
          <w:lang w:eastAsia="zh-CN"/>
        </w:rPr>
        <w:t>2024年</w:t>
      </w: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eastAsia="zh-CN"/>
        </w:rPr>
        <w:t>23</w:t>
      </w:r>
      <w:r>
        <w:rPr>
          <w:rFonts w:ascii="Times New Roman" w:hAnsi="Times New Roman" w:eastAsia="仿宋_GB2312" w:cs="Times New Roman"/>
          <w:sz w:val="32"/>
          <w:szCs w:val="32"/>
          <w:lang w:eastAsia="zh-CN"/>
        </w:rPr>
        <w:t>日</w:t>
      </w:r>
      <w:r>
        <w:rPr>
          <w:rFonts w:hint="eastAsia" w:ascii="Times New Roman" w:hAnsi="Times New Roman" w:eastAsia="仿宋_GB2312" w:cs="Times New Roman"/>
          <w:sz w:val="32"/>
          <w:szCs w:val="32"/>
          <w:lang w:eastAsia="zh-CN"/>
        </w:rPr>
        <w:t>　　　　</w:t>
      </w:r>
    </w:p>
    <w:p w14:paraId="52C5D4DF">
      <w:pPr>
        <w:pStyle w:val="13"/>
        <w:kinsoku/>
        <w:overflowPunct w:val="0"/>
        <w:topLinePunct/>
        <w:autoSpaceDE/>
        <w:autoSpaceDN/>
        <w:adjustRightInd/>
        <w:snapToGrid/>
        <w:spacing w:after="0" w:line="560" w:lineRule="exact"/>
        <w:rPr>
          <w:rFonts w:ascii="Times New Roman" w:hAnsi="Times New Roman" w:eastAsia="方正小标宋简体" w:cs="Times New Roman"/>
          <w:spacing w:val="-6"/>
          <w:sz w:val="44"/>
          <w:szCs w:val="44"/>
        </w:rPr>
        <w:sectPr>
          <w:headerReference r:id="rId3" w:type="default"/>
          <w:footerReference r:id="rId5" w:type="default"/>
          <w:headerReference r:id="rId4" w:type="even"/>
          <w:footerReference r:id="rId6" w:type="even"/>
          <w:pgSz w:w="11900" w:h="16840"/>
          <w:pgMar w:top="2098" w:right="1531" w:bottom="1984" w:left="1531" w:header="850" w:footer="1587" w:gutter="0"/>
          <w:pgNumType w:fmt="numberInDash" w:start="1"/>
          <w:cols w:space="0" w:num="1"/>
          <w:titlePg/>
          <w:docGrid w:linePitch="360" w:charSpace="0"/>
        </w:sectPr>
      </w:pPr>
    </w:p>
    <w:p w14:paraId="3C153A56">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敖汉旗2024年政策性农林保险</w:t>
      </w:r>
    </w:p>
    <w:p w14:paraId="5CA24495">
      <w:pPr>
        <w:widowControl w:val="0"/>
        <w:kinsoku/>
        <w:overflowPunct w:val="0"/>
        <w:topLinePunct/>
        <w:autoSpaceDE/>
        <w:autoSpaceDN/>
        <w:snapToGrid/>
        <w:spacing w:line="578"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参保工作实施方案</w:t>
      </w:r>
    </w:p>
    <w:p w14:paraId="52E671B1">
      <w:pPr>
        <w:widowControl w:val="0"/>
        <w:kinsoku/>
        <w:overflowPunct w:val="0"/>
        <w:topLinePunct/>
        <w:autoSpaceDE/>
        <w:autoSpaceDN/>
        <w:snapToGrid/>
        <w:spacing w:line="578" w:lineRule="exact"/>
        <w:jc w:val="center"/>
        <w:rPr>
          <w:rFonts w:ascii="Times New Roman" w:hAnsi="Times New Roman" w:eastAsia="仿宋_GB2312" w:cs="Times New Roman"/>
          <w:sz w:val="44"/>
          <w:szCs w:val="44"/>
          <w:lang w:eastAsia="zh-CN"/>
        </w:rPr>
      </w:pPr>
    </w:p>
    <w:p w14:paraId="69A8279A">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为切实做好2024年全旗政策性农林保险参保工作，按照《内蒙古自治区财政厅 农牧厅 林业和草原局 国家金融监督管理总局 内蒙古监督管理局 气象局关于内蒙古自治区2024年政策性农业保险保费补贴实施方案》</w:t>
      </w:r>
      <w:r>
        <w:rPr>
          <w:rFonts w:ascii="Times New Roman" w:hAnsi="Times New Roman" w:eastAsia="仿宋_GB2312" w:cs="Times New Roman"/>
          <w:color w:val="auto"/>
          <w:sz w:val="32"/>
          <w:szCs w:val="32"/>
          <w:lang w:eastAsia="zh-CN"/>
        </w:rPr>
        <w:t>（内财金〔2024〕411号）</w:t>
      </w:r>
      <w:r>
        <w:rPr>
          <w:rFonts w:hint="eastAsia" w:ascii="Times New Roman" w:hAnsi="Times New Roman" w:eastAsia="仿宋_GB2312" w:cs="Times New Roman"/>
          <w:sz w:val="32"/>
          <w:szCs w:val="32"/>
          <w:lang w:eastAsia="zh-CN"/>
        </w:rPr>
        <w:t>要求</w:t>
      </w:r>
      <w:r>
        <w:rPr>
          <w:rFonts w:ascii="Times New Roman" w:hAnsi="Times New Roman" w:eastAsia="仿宋_GB2312" w:cs="Times New Roman"/>
          <w:sz w:val="32"/>
          <w:szCs w:val="32"/>
          <w:lang w:eastAsia="zh-CN"/>
        </w:rPr>
        <w:t>，结合全旗实际，</w:t>
      </w:r>
      <w:r>
        <w:rPr>
          <w:rFonts w:hint="eastAsia" w:ascii="Times New Roman" w:hAnsi="Times New Roman" w:eastAsia="仿宋_GB2312" w:cs="Times New Roman"/>
          <w:sz w:val="32"/>
          <w:szCs w:val="32"/>
          <w:lang w:eastAsia="zh-CN"/>
        </w:rPr>
        <w:t>特</w:t>
      </w:r>
      <w:r>
        <w:rPr>
          <w:rFonts w:ascii="Times New Roman" w:hAnsi="Times New Roman" w:eastAsia="仿宋_GB2312" w:cs="Times New Roman"/>
          <w:sz w:val="32"/>
          <w:szCs w:val="32"/>
          <w:lang w:eastAsia="zh-CN"/>
        </w:rPr>
        <w:t>制定本方案。</w:t>
      </w:r>
    </w:p>
    <w:p w14:paraId="354B2411">
      <w:pPr>
        <w:widowControl w:val="0"/>
        <w:kinsoku/>
        <w:overflowPunct w:val="0"/>
        <w:topLinePunct/>
        <w:autoSpaceDE/>
        <w:autoSpaceDN/>
        <w:snapToGrid/>
        <w:spacing w:line="578" w:lineRule="exact"/>
        <w:ind w:firstLine="640" w:firstLineChars="200"/>
        <w:jc w:val="both"/>
        <w:rPr>
          <w:rFonts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eastAsia="zh-CN"/>
        </w:rPr>
        <w:t>一、保险险种及经办机构</w:t>
      </w:r>
    </w:p>
    <w:p w14:paraId="5249B62E">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color w:val="auto"/>
          <w:sz w:val="32"/>
          <w:szCs w:val="32"/>
          <w:lang w:eastAsia="zh-CN"/>
        </w:rPr>
      </w:pPr>
      <w:r>
        <w:rPr>
          <w:rFonts w:hint="eastAsia" w:ascii="楷体_GB2312" w:hAnsi="楷体_GB2312" w:eastAsia="楷体_GB2312" w:cs="楷体_GB2312"/>
          <w:sz w:val="32"/>
          <w:szCs w:val="32"/>
          <w:lang w:eastAsia="zh-CN"/>
        </w:rPr>
        <w:t>（一）政策性种植业保险。</w:t>
      </w:r>
      <w:r>
        <w:rPr>
          <w:rFonts w:ascii="Times New Roman" w:hAnsi="Times New Roman" w:eastAsia="仿宋_GB2312" w:cs="Times New Roman"/>
          <w:sz w:val="32"/>
          <w:szCs w:val="32"/>
          <w:lang w:eastAsia="zh-CN"/>
        </w:rPr>
        <w:t>政策性种植业保险主要包括政策性直接物化成本保险、完全成本保险和制种保险。经办机构为</w:t>
      </w:r>
      <w:r>
        <w:rPr>
          <w:rFonts w:ascii="Times New Roman" w:hAnsi="Times New Roman" w:eastAsia="仿宋_GB2312" w:cs="Times New Roman"/>
          <w:color w:val="auto"/>
          <w:sz w:val="32"/>
          <w:szCs w:val="32"/>
          <w:lang w:eastAsia="zh-CN"/>
        </w:rPr>
        <w:t>中国人寿财产保险股份有限公司敖汉旗支公司和中国大地财产保险股份有限公司敖汉旗营销服务部。</w:t>
      </w:r>
    </w:p>
    <w:p w14:paraId="267AED77">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lang w:eastAsia="zh-CN"/>
        </w:rPr>
        <w:t>（二）自治区地方优势特色农业险种。</w:t>
      </w:r>
      <w:r>
        <w:rPr>
          <w:rFonts w:hint="eastAsia" w:ascii="Times New Roman" w:hAnsi="Times New Roman" w:eastAsia="仿宋_GB2312" w:cs="Times New Roman"/>
          <w:color w:val="auto"/>
          <w:sz w:val="32"/>
          <w:szCs w:val="32"/>
          <w:lang w:eastAsia="zh-CN"/>
        </w:rPr>
        <w:t>全</w:t>
      </w:r>
      <w:r>
        <w:rPr>
          <w:rFonts w:ascii="Times New Roman" w:hAnsi="Times New Roman" w:eastAsia="仿宋_GB2312" w:cs="Times New Roman"/>
          <w:color w:val="auto"/>
          <w:sz w:val="32"/>
          <w:szCs w:val="32"/>
          <w:lang w:eastAsia="zh-CN"/>
        </w:rPr>
        <w:t>旗地方优势特色农作物险种为谷子保险</w:t>
      </w:r>
      <w:r>
        <w:rPr>
          <w:rFonts w:ascii="Times New Roman" w:hAnsi="Times New Roman" w:eastAsia="仿宋_GB2312" w:cs="Times New Roman"/>
          <w:color w:val="auto"/>
          <w:sz w:val="32"/>
          <w:szCs w:val="32"/>
          <w:lang w:val="en" w:eastAsia="zh-CN"/>
        </w:rPr>
        <w:t>（面积为60万亩）</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eastAsia="zh-CN"/>
        </w:rPr>
        <w:t>经办机构为中原农业保险股份有限公司敖汉旗支公司。</w:t>
      </w:r>
    </w:p>
    <w:p w14:paraId="1519DBA9">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（三）政策性养殖业保险。</w:t>
      </w:r>
      <w:r>
        <w:rPr>
          <w:rFonts w:ascii="Times New Roman" w:hAnsi="Times New Roman" w:eastAsia="仿宋_GB2312" w:cs="Times New Roman"/>
          <w:sz w:val="32"/>
          <w:szCs w:val="32"/>
          <w:lang w:eastAsia="zh-CN"/>
        </w:rPr>
        <w:t>经办机构为中国平安财产保险股份有限公司敖汉旗支公司和中华联合财产保险股份有限公司敖汉旗支公司。</w:t>
      </w:r>
    </w:p>
    <w:p w14:paraId="3FE5A844">
      <w:pPr>
        <w:widowControl w:val="0"/>
        <w:kinsoku/>
        <w:overflowPunct w:val="0"/>
        <w:topLinePunct/>
        <w:autoSpaceDE/>
        <w:autoSpaceDN/>
        <w:snapToGrid/>
        <w:spacing w:line="578" w:lineRule="exact"/>
        <w:ind w:firstLine="616" w:firstLineChars="200"/>
        <w:jc w:val="both"/>
        <w:rPr>
          <w:rFonts w:ascii="Times New Roman" w:hAnsi="Times New Roman" w:eastAsia="仿宋_GB2312" w:cs="Times New Roman"/>
          <w:spacing w:val="-6"/>
          <w:sz w:val="32"/>
          <w:szCs w:val="32"/>
          <w:lang w:eastAsia="zh-CN"/>
        </w:rPr>
      </w:pPr>
      <w:r>
        <w:rPr>
          <w:rFonts w:hint="eastAsia" w:ascii="楷体_GB2312" w:hAnsi="楷体_GB2312" w:eastAsia="楷体_GB2312" w:cs="楷体_GB2312"/>
          <w:spacing w:val="-6"/>
          <w:sz w:val="32"/>
          <w:szCs w:val="32"/>
          <w:lang w:eastAsia="zh-CN"/>
        </w:rPr>
        <w:t>（四）森林保险。</w:t>
      </w:r>
      <w:r>
        <w:rPr>
          <w:rFonts w:ascii="Times New Roman" w:hAnsi="Times New Roman" w:eastAsia="仿宋_GB2312" w:cs="Times New Roman"/>
          <w:spacing w:val="-6"/>
          <w:sz w:val="32"/>
          <w:szCs w:val="32"/>
          <w:lang w:eastAsia="zh-CN"/>
        </w:rPr>
        <w:t>经办机构为中国太平洋财产保险股份有限公司敖汉旗支公司，森林保险按公益林和商品林属性准确投保。</w:t>
      </w:r>
    </w:p>
    <w:p w14:paraId="22EDFD9A">
      <w:pPr>
        <w:widowControl w:val="0"/>
        <w:kinsoku/>
        <w:overflowPunct w:val="0"/>
        <w:topLinePunct/>
        <w:autoSpaceDE/>
        <w:autoSpaceDN/>
        <w:snapToGrid/>
        <w:spacing w:line="578" w:lineRule="exact"/>
        <w:ind w:firstLine="640" w:firstLineChars="200"/>
        <w:jc w:val="both"/>
        <w:rPr>
          <w:rFonts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eastAsia="zh-CN"/>
        </w:rPr>
        <w:t>二、政策性农林保险保费补贴有关政策</w:t>
      </w:r>
    </w:p>
    <w:p w14:paraId="37E90EA1">
      <w:pPr>
        <w:widowControl w:val="0"/>
        <w:kinsoku/>
        <w:overflowPunct w:val="0"/>
        <w:topLinePunct/>
        <w:autoSpaceDE/>
        <w:autoSpaceDN/>
        <w:snapToGrid/>
        <w:spacing w:line="578"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（一）中央财政种植业保费补贴品种</w:t>
      </w:r>
    </w:p>
    <w:p w14:paraId="7B8EBD7A">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1.直接物化成本保险保费补贴品种为水地马铃薯、旱地马铃薯、向日葵、甜菜、大豆；</w:t>
      </w:r>
    </w:p>
    <w:p w14:paraId="32D0C230">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2.完全成本保险保费补贴品种为玉米、水稻和小麦三大粮食作物；</w:t>
      </w:r>
    </w:p>
    <w:p w14:paraId="7E8E716F">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3.制种保险保费补贴品种：符合《中华人民共和国种子法》规定，按种子生产经营许可证规定或经当地农牧部门备案开展的玉米制种，包括扩繁和商品化生产等种子生产环节；</w:t>
      </w:r>
    </w:p>
    <w:p w14:paraId="5C635ABB">
      <w:pPr>
        <w:widowControl w:val="0"/>
        <w:kinsoku/>
        <w:overflowPunct w:val="0"/>
        <w:topLinePunct/>
        <w:autoSpaceDE/>
        <w:autoSpaceDN/>
        <w:snapToGrid/>
        <w:spacing w:line="578" w:lineRule="exact"/>
        <w:ind w:firstLine="664" w:firstLineChars="200"/>
        <w:jc w:val="both"/>
        <w:rPr>
          <w:rFonts w:ascii="Times New Roman" w:hAnsi="Times New Roman" w:eastAsia="仿宋_GB2312" w:cs="Times New Roman"/>
          <w:spacing w:val="6"/>
          <w:sz w:val="32"/>
          <w:szCs w:val="32"/>
          <w:lang w:eastAsia="zh-CN"/>
        </w:rPr>
      </w:pPr>
      <w:r>
        <w:rPr>
          <w:rFonts w:ascii="Times New Roman" w:hAnsi="Times New Roman" w:eastAsia="仿宋_GB2312" w:cs="Times New Roman"/>
          <w:spacing w:val="6"/>
          <w:sz w:val="32"/>
          <w:szCs w:val="32"/>
          <w:lang w:eastAsia="zh-CN"/>
        </w:rPr>
        <w:t>4.养殖业保险保费补贴品种为：奶牛、能繁母猪、育肥猪；</w:t>
      </w:r>
    </w:p>
    <w:p w14:paraId="1134649C">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5.森林保险保费补贴品种为：生长和管理正常的公益林、商品林。</w:t>
      </w:r>
    </w:p>
    <w:p w14:paraId="3279CF7B">
      <w:pPr>
        <w:widowControl w:val="0"/>
        <w:kinsoku/>
        <w:overflowPunct w:val="0"/>
        <w:topLinePunct/>
        <w:autoSpaceDE/>
        <w:autoSpaceDN/>
        <w:snapToGrid/>
        <w:spacing w:line="578" w:lineRule="exact"/>
        <w:ind w:firstLine="640" w:firstLineChars="200"/>
        <w:jc w:val="both"/>
        <w:rPr>
          <w:rFonts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（二）自治区地方优势特色保险品种</w:t>
      </w:r>
    </w:p>
    <w:p w14:paraId="32CBB51E">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1.设施农业保险保费补贴范围为：适合当地生产条件、并经旗农牧部门认可的，且设施完善、结构合理、投保时正常种植的温室、大棚及棚内作物。</w:t>
      </w:r>
    </w:p>
    <w:p w14:paraId="1413AD1B">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2.谷子保险保费补贴范围为：适合当地种植条件种植的谷子。</w:t>
      </w:r>
    </w:p>
    <w:p w14:paraId="4A363638">
      <w:pPr>
        <w:widowControl w:val="0"/>
        <w:kinsoku/>
        <w:overflowPunct w:val="0"/>
        <w:topLinePunct/>
        <w:autoSpaceDE/>
        <w:autoSpaceDN/>
        <w:snapToGrid/>
        <w:spacing w:line="578"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（三）保险品种保额及费率</w:t>
      </w:r>
    </w:p>
    <w:p w14:paraId="0FC1854E">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1.种植业直接物化成本保险金额及费率</w:t>
      </w:r>
    </w:p>
    <w:p w14:paraId="1FB8038C">
      <w:pPr>
        <w:widowControl w:val="0"/>
        <w:kinsoku/>
        <w:overflowPunct w:val="0"/>
        <w:topLinePunct/>
        <w:autoSpaceDE/>
        <w:autoSpaceDN/>
        <w:snapToGrid/>
        <w:spacing w:line="578" w:lineRule="exact"/>
        <w:ind w:firstLine="640" w:firstLineChars="200"/>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（1）政策性直接物化成本保险</w:t>
      </w:r>
    </w:p>
    <w:p w14:paraId="2E9AC71C">
      <w:pPr>
        <w:widowControl w:val="0"/>
        <w:kinsoku/>
        <w:overflowPunct w:val="0"/>
        <w:topLinePunct/>
        <w:autoSpaceDE/>
        <w:autoSpaceDN/>
        <w:snapToGrid/>
        <w:spacing w:line="578" w:lineRule="exact"/>
        <w:ind w:firstLine="420" w:firstLineChars="200"/>
        <w:rPr>
          <w:lang w:eastAsia="zh-CN"/>
        </w:rPr>
      </w:pPr>
    </w:p>
    <w:tbl>
      <w:tblPr>
        <w:tblStyle w:val="11"/>
        <w:tblW w:w="88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7"/>
        <w:gridCol w:w="945"/>
        <w:gridCol w:w="1725"/>
        <w:gridCol w:w="1560"/>
        <w:gridCol w:w="1755"/>
        <w:gridCol w:w="1830"/>
      </w:tblGrid>
      <w:tr w14:paraId="3E0CF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972" w:type="dxa"/>
            <w:gridSpan w:val="2"/>
            <w:vAlign w:val="center"/>
          </w:tcPr>
          <w:p w14:paraId="2550AD72">
            <w:pPr>
              <w:widowControl w:val="0"/>
              <w:kinsoku/>
              <w:overflowPunct w:val="0"/>
              <w:topLinePunct/>
              <w:autoSpaceDE/>
              <w:autoSpaceDN/>
              <w:snapToGrid/>
              <w:spacing w:line="360" w:lineRule="exact"/>
              <w:jc w:val="center"/>
              <w:rPr>
                <w:rFonts w:ascii="CESI黑体-GB2312" w:hAnsi="CESI黑体-GB2312" w:eastAsia="CESI黑体-GB2312" w:cs="CESI黑体-GB2312"/>
                <w:sz w:val="24"/>
                <w:szCs w:val="24"/>
              </w:rPr>
            </w:pPr>
            <w:r>
              <w:rPr>
                <w:rFonts w:hint="eastAsia" w:ascii="CESI黑体-GB2312" w:hAnsi="CESI黑体-GB2312" w:eastAsia="CESI黑体-GB2312" w:cs="CESI黑体-GB2312"/>
                <w:sz w:val="24"/>
                <w:szCs w:val="24"/>
              </w:rPr>
              <w:t>农作物名称</w:t>
            </w:r>
          </w:p>
        </w:tc>
        <w:tc>
          <w:tcPr>
            <w:tcW w:w="1725" w:type="dxa"/>
            <w:vAlign w:val="center"/>
          </w:tcPr>
          <w:p w14:paraId="43E14801">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保险金额</w:t>
            </w:r>
          </w:p>
          <w:p w14:paraId="225E1869">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560" w:type="dxa"/>
            <w:vAlign w:val="center"/>
          </w:tcPr>
          <w:p w14:paraId="412DB364">
            <w:pPr>
              <w:widowControl w:val="0"/>
              <w:kinsoku/>
              <w:overflowPunct w:val="0"/>
              <w:topLinePunct/>
              <w:autoSpaceDE/>
              <w:autoSpaceDN/>
              <w:snapToGrid/>
              <w:spacing w:line="360" w:lineRule="exact"/>
              <w:jc w:val="center"/>
              <w:rPr>
                <w:rFonts w:ascii="CESI黑体-GB2312" w:hAnsi="CESI黑体-GB2312" w:eastAsia="CESI黑体-GB2312" w:cs="CESI黑体-GB2312"/>
                <w:sz w:val="24"/>
                <w:szCs w:val="24"/>
              </w:rPr>
            </w:pPr>
            <w:r>
              <w:rPr>
                <w:rFonts w:hint="eastAsia" w:ascii="CESI黑体-GB2312" w:hAnsi="CESI黑体-GB2312" w:eastAsia="CESI黑体-GB2312" w:cs="CESI黑体-GB2312"/>
                <w:sz w:val="24"/>
                <w:szCs w:val="24"/>
              </w:rPr>
              <w:t>保险费率</w:t>
            </w:r>
          </w:p>
          <w:p w14:paraId="662B644D">
            <w:pPr>
              <w:widowControl w:val="0"/>
              <w:kinsoku/>
              <w:overflowPunct w:val="0"/>
              <w:topLinePunct/>
              <w:autoSpaceDE/>
              <w:autoSpaceDN/>
              <w:snapToGrid/>
              <w:spacing w:line="360" w:lineRule="exact"/>
              <w:jc w:val="center"/>
              <w:rPr>
                <w:rFonts w:ascii="CESI黑体-GB2312" w:hAnsi="CESI黑体-GB2312" w:eastAsia="CESI黑体-GB2312" w:cs="CESI黑体-GB2312"/>
                <w:sz w:val="24"/>
                <w:szCs w:val="24"/>
              </w:rPr>
            </w:pPr>
            <w:r>
              <w:rPr>
                <w:rFonts w:hint="eastAsia" w:ascii="CESI黑体-GB2312" w:hAnsi="CESI黑体-GB2312" w:eastAsia="CESI黑体-GB2312" w:cs="CESI黑体-GB2312"/>
                <w:sz w:val="24"/>
                <w:szCs w:val="24"/>
              </w:rPr>
              <w:t>（%）</w:t>
            </w:r>
          </w:p>
        </w:tc>
        <w:tc>
          <w:tcPr>
            <w:tcW w:w="1755" w:type="dxa"/>
            <w:vAlign w:val="center"/>
          </w:tcPr>
          <w:p w14:paraId="74394B13">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w:t>
            </w:r>
          </w:p>
          <w:p w14:paraId="67AAE1B7">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830" w:type="dxa"/>
            <w:vAlign w:val="center"/>
          </w:tcPr>
          <w:p w14:paraId="404B9D38">
            <w:pPr>
              <w:widowControl w:val="0"/>
              <w:kinsoku/>
              <w:overflowPunct w:val="0"/>
              <w:topLinePunct/>
              <w:autoSpaceDE/>
              <w:autoSpaceDN/>
              <w:snapToGrid/>
              <w:spacing w:line="360" w:lineRule="exact"/>
              <w:jc w:val="center"/>
              <w:rPr>
                <w:rFonts w:ascii="CESI黑体-GB2312" w:hAnsi="CESI黑体-GB2312" w:eastAsia="CESI黑体-GB2312" w:cs="CESI黑体-GB2312"/>
                <w:sz w:val="24"/>
                <w:szCs w:val="24"/>
                <w:lang w:eastAsia="zh-CN"/>
              </w:rPr>
            </w:pPr>
            <w:r>
              <w:rPr>
                <w:rFonts w:hint="eastAsia" w:ascii="CESI黑体-GB2312" w:hAnsi="CESI黑体-GB2312" w:eastAsia="CESI黑体-GB2312" w:cs="CESI黑体-GB2312"/>
                <w:sz w:val="24"/>
                <w:szCs w:val="24"/>
                <w:lang w:eastAsia="zh-CN"/>
              </w:rPr>
              <w:t>农户自缴保费</w:t>
            </w:r>
          </w:p>
          <w:p w14:paraId="653C671D">
            <w:pPr>
              <w:widowControl w:val="0"/>
              <w:kinsoku/>
              <w:overflowPunct w:val="0"/>
              <w:topLinePunct/>
              <w:autoSpaceDE/>
              <w:autoSpaceDN/>
              <w:snapToGrid/>
              <w:spacing w:line="360" w:lineRule="exact"/>
              <w:jc w:val="center"/>
              <w:rPr>
                <w:rFonts w:ascii="CESI黑体-GB2312" w:hAnsi="CESI黑体-GB2312" w:eastAsia="CESI黑体-GB2312" w:cs="CESI黑体-GB2312"/>
                <w:sz w:val="24"/>
                <w:szCs w:val="24"/>
                <w:lang w:eastAsia="zh-CN"/>
              </w:rPr>
            </w:pPr>
            <w:r>
              <w:rPr>
                <w:rFonts w:hint="eastAsia" w:ascii="CESI黑体-GB2312" w:hAnsi="CESI黑体-GB2312" w:eastAsia="CESI黑体-GB2312" w:cs="CESI黑体-GB2312"/>
                <w:sz w:val="24"/>
                <w:szCs w:val="24"/>
                <w:lang w:eastAsia="zh-CN"/>
              </w:rPr>
              <w:t>（元/亩）</w:t>
            </w:r>
          </w:p>
        </w:tc>
      </w:tr>
      <w:tr w14:paraId="2A08D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027" w:type="dxa"/>
            <w:vMerge w:val="restart"/>
            <w:tcBorders>
              <w:bottom w:val="nil"/>
            </w:tcBorders>
            <w:vAlign w:val="center"/>
          </w:tcPr>
          <w:p w14:paraId="5DF39E4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马铃薯</w:t>
            </w:r>
          </w:p>
        </w:tc>
        <w:tc>
          <w:tcPr>
            <w:tcW w:w="945" w:type="dxa"/>
            <w:vAlign w:val="center"/>
          </w:tcPr>
          <w:p w14:paraId="4B61C12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水地</w:t>
            </w:r>
          </w:p>
        </w:tc>
        <w:tc>
          <w:tcPr>
            <w:tcW w:w="1725" w:type="dxa"/>
            <w:vAlign w:val="center"/>
          </w:tcPr>
          <w:p w14:paraId="02400E75">
            <w:pPr>
              <w:pStyle w:val="12"/>
              <w:widowControl w:val="0"/>
              <w:kinsoku/>
              <w:overflowPunct w:val="0"/>
              <w:topLinePunct/>
              <w:autoSpaceDE/>
              <w:autoSpaceDN/>
              <w:snapToGrid/>
              <w:spacing w:line="360" w:lineRule="exact"/>
              <w:jc w:val="center"/>
              <w:rPr>
                <w:rFonts w:eastAsia="仿宋_GB2312"/>
              </w:rPr>
            </w:pPr>
            <w:r>
              <w:rPr>
                <w:rFonts w:eastAsia="仿宋_GB2312"/>
              </w:rPr>
              <w:t>800</w:t>
            </w:r>
          </w:p>
        </w:tc>
        <w:tc>
          <w:tcPr>
            <w:tcW w:w="1560" w:type="dxa"/>
            <w:vAlign w:val="center"/>
          </w:tcPr>
          <w:p w14:paraId="6DE03CBD">
            <w:pPr>
              <w:pStyle w:val="12"/>
              <w:widowControl w:val="0"/>
              <w:kinsoku/>
              <w:overflowPunct w:val="0"/>
              <w:topLinePunct/>
              <w:autoSpaceDE/>
              <w:autoSpaceDN/>
              <w:snapToGrid/>
              <w:spacing w:line="360" w:lineRule="exact"/>
              <w:jc w:val="center"/>
              <w:rPr>
                <w:rFonts w:eastAsia="仿宋_GB2312"/>
              </w:rPr>
            </w:pPr>
            <w:r>
              <w:rPr>
                <w:rFonts w:eastAsia="仿宋_GB2312"/>
              </w:rPr>
              <w:t>3</w:t>
            </w:r>
          </w:p>
        </w:tc>
        <w:tc>
          <w:tcPr>
            <w:tcW w:w="1755" w:type="dxa"/>
            <w:vAlign w:val="center"/>
          </w:tcPr>
          <w:p w14:paraId="143F6058">
            <w:pPr>
              <w:pStyle w:val="12"/>
              <w:widowControl w:val="0"/>
              <w:kinsoku/>
              <w:overflowPunct w:val="0"/>
              <w:topLinePunct/>
              <w:autoSpaceDE/>
              <w:autoSpaceDN/>
              <w:snapToGrid/>
              <w:spacing w:line="360" w:lineRule="exact"/>
              <w:jc w:val="center"/>
              <w:rPr>
                <w:rFonts w:eastAsia="仿宋_GB2312"/>
              </w:rPr>
            </w:pPr>
            <w:r>
              <w:rPr>
                <w:rFonts w:eastAsia="仿宋_GB2312"/>
              </w:rPr>
              <w:t>24</w:t>
            </w:r>
          </w:p>
        </w:tc>
        <w:tc>
          <w:tcPr>
            <w:tcW w:w="1830" w:type="dxa"/>
            <w:vAlign w:val="center"/>
          </w:tcPr>
          <w:p w14:paraId="1051F81E">
            <w:pPr>
              <w:pStyle w:val="12"/>
              <w:widowControl w:val="0"/>
              <w:kinsoku/>
              <w:overflowPunct w:val="0"/>
              <w:topLinePunct/>
              <w:autoSpaceDE/>
              <w:autoSpaceDN/>
              <w:snapToGrid/>
              <w:spacing w:line="360" w:lineRule="exact"/>
              <w:jc w:val="center"/>
              <w:rPr>
                <w:rFonts w:eastAsia="仿宋_GB2312"/>
              </w:rPr>
            </w:pPr>
            <w:r>
              <w:rPr>
                <w:rFonts w:eastAsia="仿宋_GB2312"/>
              </w:rPr>
              <w:t>4.8</w:t>
            </w:r>
          </w:p>
        </w:tc>
      </w:tr>
      <w:tr w14:paraId="61A89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027" w:type="dxa"/>
            <w:vMerge w:val="continue"/>
            <w:tcBorders>
              <w:top w:val="nil"/>
            </w:tcBorders>
            <w:vAlign w:val="center"/>
          </w:tcPr>
          <w:p w14:paraId="7C42CDDE">
            <w:pPr>
              <w:widowControl w:val="0"/>
              <w:kinsoku/>
              <w:overflowPunct w:val="0"/>
              <w:topLinePunct/>
              <w:autoSpaceDE/>
              <w:autoSpaceDN/>
              <w:snapToGrid/>
              <w:spacing w:line="360" w:lineRule="exact"/>
              <w:ind w:firstLine="480" w:firstLineChars="200"/>
              <w:jc w:val="center"/>
              <w:rPr>
                <w:rFonts w:ascii="Times New Roman" w:hAnsi="Times New Roman" w:eastAsia="仿宋_GB2312" w:cs="Times New Roman"/>
                <w:sz w:val="24"/>
                <w:szCs w:val="24"/>
              </w:rPr>
            </w:pPr>
          </w:p>
        </w:tc>
        <w:tc>
          <w:tcPr>
            <w:tcW w:w="945" w:type="dxa"/>
            <w:vAlign w:val="center"/>
          </w:tcPr>
          <w:p w14:paraId="02C02350">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旱地</w:t>
            </w:r>
          </w:p>
        </w:tc>
        <w:tc>
          <w:tcPr>
            <w:tcW w:w="1725" w:type="dxa"/>
            <w:vAlign w:val="center"/>
          </w:tcPr>
          <w:p w14:paraId="21747BC2">
            <w:pPr>
              <w:pStyle w:val="12"/>
              <w:widowControl w:val="0"/>
              <w:kinsoku/>
              <w:overflowPunct w:val="0"/>
              <w:topLinePunct/>
              <w:autoSpaceDE/>
              <w:autoSpaceDN/>
              <w:snapToGrid/>
              <w:spacing w:line="360" w:lineRule="exact"/>
              <w:jc w:val="center"/>
              <w:rPr>
                <w:rFonts w:eastAsia="仿宋_GB2312"/>
              </w:rPr>
            </w:pPr>
            <w:r>
              <w:rPr>
                <w:rFonts w:eastAsia="仿宋_GB2312"/>
              </w:rPr>
              <w:t>300</w:t>
            </w:r>
          </w:p>
        </w:tc>
        <w:tc>
          <w:tcPr>
            <w:tcW w:w="1560" w:type="dxa"/>
            <w:vAlign w:val="center"/>
          </w:tcPr>
          <w:p w14:paraId="34D2D3D2">
            <w:pPr>
              <w:pStyle w:val="12"/>
              <w:widowControl w:val="0"/>
              <w:kinsoku/>
              <w:overflowPunct w:val="0"/>
              <w:topLinePunct/>
              <w:autoSpaceDE/>
              <w:autoSpaceDN/>
              <w:snapToGrid/>
              <w:spacing w:line="360" w:lineRule="exact"/>
              <w:jc w:val="center"/>
              <w:rPr>
                <w:rFonts w:eastAsia="仿宋_GB2312"/>
              </w:rPr>
            </w:pPr>
            <w:r>
              <w:rPr>
                <w:rFonts w:eastAsia="仿宋_GB2312"/>
              </w:rPr>
              <w:t>8.5</w:t>
            </w:r>
          </w:p>
        </w:tc>
        <w:tc>
          <w:tcPr>
            <w:tcW w:w="1755" w:type="dxa"/>
            <w:vAlign w:val="center"/>
          </w:tcPr>
          <w:p w14:paraId="0B7FAAF1">
            <w:pPr>
              <w:pStyle w:val="12"/>
              <w:widowControl w:val="0"/>
              <w:kinsoku/>
              <w:overflowPunct w:val="0"/>
              <w:topLinePunct/>
              <w:autoSpaceDE/>
              <w:autoSpaceDN/>
              <w:snapToGrid/>
              <w:spacing w:line="360" w:lineRule="exact"/>
              <w:jc w:val="center"/>
              <w:rPr>
                <w:rFonts w:eastAsia="仿宋_GB2312"/>
              </w:rPr>
            </w:pPr>
            <w:r>
              <w:rPr>
                <w:rFonts w:eastAsia="仿宋_GB2312"/>
              </w:rPr>
              <w:t>25.5</w:t>
            </w:r>
          </w:p>
        </w:tc>
        <w:tc>
          <w:tcPr>
            <w:tcW w:w="1830" w:type="dxa"/>
            <w:vAlign w:val="center"/>
          </w:tcPr>
          <w:p w14:paraId="1AE360E0">
            <w:pPr>
              <w:pStyle w:val="12"/>
              <w:widowControl w:val="0"/>
              <w:kinsoku/>
              <w:overflowPunct w:val="0"/>
              <w:topLinePunct/>
              <w:autoSpaceDE/>
              <w:autoSpaceDN/>
              <w:snapToGrid/>
              <w:spacing w:line="360" w:lineRule="exact"/>
              <w:jc w:val="center"/>
              <w:rPr>
                <w:rFonts w:eastAsia="仿宋_GB2312"/>
              </w:rPr>
            </w:pPr>
            <w:r>
              <w:rPr>
                <w:rFonts w:eastAsia="仿宋_GB2312"/>
              </w:rPr>
              <w:t>5.1</w:t>
            </w:r>
          </w:p>
        </w:tc>
      </w:tr>
      <w:tr w14:paraId="713F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972" w:type="dxa"/>
            <w:gridSpan w:val="2"/>
            <w:vAlign w:val="center"/>
          </w:tcPr>
          <w:p w14:paraId="165FEDA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向日葵</w:t>
            </w:r>
          </w:p>
        </w:tc>
        <w:tc>
          <w:tcPr>
            <w:tcW w:w="1725" w:type="dxa"/>
            <w:vAlign w:val="center"/>
          </w:tcPr>
          <w:p w14:paraId="581D580A">
            <w:pPr>
              <w:pStyle w:val="12"/>
              <w:widowControl w:val="0"/>
              <w:kinsoku/>
              <w:overflowPunct w:val="0"/>
              <w:topLinePunct/>
              <w:autoSpaceDE/>
              <w:autoSpaceDN/>
              <w:snapToGrid/>
              <w:spacing w:line="360" w:lineRule="exact"/>
              <w:jc w:val="center"/>
              <w:rPr>
                <w:rFonts w:eastAsia="仿宋_GB2312"/>
              </w:rPr>
            </w:pPr>
            <w:r>
              <w:rPr>
                <w:rFonts w:eastAsia="仿宋_GB2312"/>
              </w:rPr>
              <w:t>300</w:t>
            </w:r>
          </w:p>
        </w:tc>
        <w:tc>
          <w:tcPr>
            <w:tcW w:w="1560" w:type="dxa"/>
            <w:vAlign w:val="center"/>
          </w:tcPr>
          <w:p w14:paraId="3273D766">
            <w:pPr>
              <w:pStyle w:val="12"/>
              <w:widowControl w:val="0"/>
              <w:kinsoku/>
              <w:overflowPunct w:val="0"/>
              <w:topLinePunct/>
              <w:autoSpaceDE/>
              <w:autoSpaceDN/>
              <w:snapToGrid/>
              <w:spacing w:line="360" w:lineRule="exact"/>
              <w:jc w:val="center"/>
              <w:rPr>
                <w:rFonts w:eastAsia="仿宋_GB2312"/>
              </w:rPr>
            </w:pPr>
            <w:r>
              <w:rPr>
                <w:rFonts w:eastAsia="仿宋_GB2312"/>
              </w:rPr>
              <w:t>6</w:t>
            </w:r>
          </w:p>
        </w:tc>
        <w:tc>
          <w:tcPr>
            <w:tcW w:w="1755" w:type="dxa"/>
            <w:vAlign w:val="center"/>
          </w:tcPr>
          <w:p w14:paraId="121659B7">
            <w:pPr>
              <w:pStyle w:val="12"/>
              <w:widowControl w:val="0"/>
              <w:kinsoku/>
              <w:overflowPunct w:val="0"/>
              <w:topLinePunct/>
              <w:autoSpaceDE/>
              <w:autoSpaceDN/>
              <w:snapToGrid/>
              <w:spacing w:line="360" w:lineRule="exact"/>
              <w:jc w:val="center"/>
              <w:rPr>
                <w:rFonts w:eastAsia="仿宋_GB2312"/>
              </w:rPr>
            </w:pPr>
            <w:r>
              <w:rPr>
                <w:rFonts w:eastAsia="仿宋_GB2312"/>
              </w:rPr>
              <w:t>18</w:t>
            </w:r>
          </w:p>
        </w:tc>
        <w:tc>
          <w:tcPr>
            <w:tcW w:w="1830" w:type="dxa"/>
            <w:vAlign w:val="center"/>
          </w:tcPr>
          <w:p w14:paraId="1BDE966A">
            <w:pPr>
              <w:pStyle w:val="12"/>
              <w:widowControl w:val="0"/>
              <w:kinsoku/>
              <w:overflowPunct w:val="0"/>
              <w:topLinePunct/>
              <w:autoSpaceDE/>
              <w:autoSpaceDN/>
              <w:snapToGrid/>
              <w:spacing w:line="360" w:lineRule="exact"/>
              <w:jc w:val="center"/>
              <w:rPr>
                <w:rFonts w:eastAsia="仿宋_GB2312"/>
              </w:rPr>
            </w:pPr>
            <w:r>
              <w:rPr>
                <w:rFonts w:eastAsia="仿宋_GB2312"/>
              </w:rPr>
              <w:t>3.6</w:t>
            </w:r>
          </w:p>
        </w:tc>
      </w:tr>
      <w:tr w14:paraId="01760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972" w:type="dxa"/>
            <w:gridSpan w:val="2"/>
            <w:vAlign w:val="center"/>
          </w:tcPr>
          <w:p w14:paraId="4B45741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大豆</w:t>
            </w:r>
          </w:p>
        </w:tc>
        <w:tc>
          <w:tcPr>
            <w:tcW w:w="1725" w:type="dxa"/>
            <w:vAlign w:val="center"/>
          </w:tcPr>
          <w:p w14:paraId="48D14AE1">
            <w:pPr>
              <w:pStyle w:val="12"/>
              <w:widowControl w:val="0"/>
              <w:kinsoku/>
              <w:overflowPunct w:val="0"/>
              <w:topLinePunct/>
              <w:autoSpaceDE/>
              <w:autoSpaceDN/>
              <w:snapToGrid/>
              <w:spacing w:line="360" w:lineRule="exact"/>
              <w:jc w:val="center"/>
              <w:rPr>
                <w:rFonts w:eastAsia="仿宋_GB2312"/>
              </w:rPr>
            </w:pPr>
            <w:r>
              <w:rPr>
                <w:rFonts w:eastAsia="仿宋_GB2312"/>
              </w:rPr>
              <w:t>200</w:t>
            </w:r>
          </w:p>
        </w:tc>
        <w:tc>
          <w:tcPr>
            <w:tcW w:w="1560" w:type="dxa"/>
            <w:vAlign w:val="center"/>
          </w:tcPr>
          <w:p w14:paraId="3A496417">
            <w:pPr>
              <w:pStyle w:val="12"/>
              <w:widowControl w:val="0"/>
              <w:kinsoku/>
              <w:overflowPunct w:val="0"/>
              <w:topLinePunct/>
              <w:autoSpaceDE/>
              <w:autoSpaceDN/>
              <w:snapToGrid/>
              <w:spacing w:line="360" w:lineRule="exact"/>
              <w:jc w:val="center"/>
              <w:rPr>
                <w:rFonts w:eastAsia="仿宋_GB2312"/>
              </w:rPr>
            </w:pPr>
            <w:r>
              <w:rPr>
                <w:rFonts w:eastAsia="仿宋_GB2312"/>
              </w:rPr>
              <w:t>8</w:t>
            </w:r>
          </w:p>
        </w:tc>
        <w:tc>
          <w:tcPr>
            <w:tcW w:w="1755" w:type="dxa"/>
            <w:vAlign w:val="center"/>
          </w:tcPr>
          <w:p w14:paraId="6D41425F">
            <w:pPr>
              <w:pStyle w:val="12"/>
              <w:widowControl w:val="0"/>
              <w:kinsoku/>
              <w:overflowPunct w:val="0"/>
              <w:topLinePunct/>
              <w:autoSpaceDE/>
              <w:autoSpaceDN/>
              <w:snapToGrid/>
              <w:spacing w:line="360" w:lineRule="exact"/>
              <w:jc w:val="center"/>
              <w:rPr>
                <w:rFonts w:eastAsia="仿宋_GB2312"/>
              </w:rPr>
            </w:pPr>
            <w:r>
              <w:rPr>
                <w:rFonts w:eastAsia="仿宋_GB2312"/>
              </w:rPr>
              <w:t>16</w:t>
            </w:r>
          </w:p>
        </w:tc>
        <w:tc>
          <w:tcPr>
            <w:tcW w:w="1830" w:type="dxa"/>
            <w:vAlign w:val="center"/>
          </w:tcPr>
          <w:p w14:paraId="428487FC">
            <w:pPr>
              <w:pStyle w:val="12"/>
              <w:widowControl w:val="0"/>
              <w:kinsoku/>
              <w:overflowPunct w:val="0"/>
              <w:topLinePunct/>
              <w:autoSpaceDE/>
              <w:autoSpaceDN/>
              <w:snapToGrid/>
              <w:spacing w:line="360" w:lineRule="exact"/>
              <w:jc w:val="center"/>
              <w:rPr>
                <w:rFonts w:eastAsia="仿宋_GB2312"/>
              </w:rPr>
            </w:pPr>
            <w:r>
              <w:rPr>
                <w:rFonts w:eastAsia="仿宋_GB2312"/>
              </w:rPr>
              <w:t>3.2</w:t>
            </w:r>
          </w:p>
        </w:tc>
      </w:tr>
      <w:tr w14:paraId="0FDC8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972" w:type="dxa"/>
            <w:gridSpan w:val="2"/>
            <w:vAlign w:val="center"/>
          </w:tcPr>
          <w:p w14:paraId="0E9A7FB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甜菜</w:t>
            </w:r>
          </w:p>
        </w:tc>
        <w:tc>
          <w:tcPr>
            <w:tcW w:w="1725" w:type="dxa"/>
            <w:vAlign w:val="center"/>
          </w:tcPr>
          <w:p w14:paraId="714F4BFB">
            <w:pPr>
              <w:pStyle w:val="12"/>
              <w:widowControl w:val="0"/>
              <w:kinsoku/>
              <w:overflowPunct w:val="0"/>
              <w:topLinePunct/>
              <w:autoSpaceDE/>
              <w:autoSpaceDN/>
              <w:snapToGrid/>
              <w:spacing w:line="360" w:lineRule="exact"/>
              <w:jc w:val="center"/>
              <w:rPr>
                <w:rFonts w:eastAsia="仿宋_GB2312"/>
              </w:rPr>
            </w:pPr>
            <w:r>
              <w:rPr>
                <w:rFonts w:eastAsia="仿宋_GB2312"/>
              </w:rPr>
              <w:t>500</w:t>
            </w:r>
          </w:p>
        </w:tc>
        <w:tc>
          <w:tcPr>
            <w:tcW w:w="1560" w:type="dxa"/>
            <w:vAlign w:val="center"/>
          </w:tcPr>
          <w:p w14:paraId="7D335F6D">
            <w:pPr>
              <w:pStyle w:val="12"/>
              <w:widowControl w:val="0"/>
              <w:kinsoku/>
              <w:overflowPunct w:val="0"/>
              <w:topLinePunct/>
              <w:autoSpaceDE/>
              <w:autoSpaceDN/>
              <w:snapToGrid/>
              <w:spacing w:line="360" w:lineRule="exact"/>
              <w:jc w:val="center"/>
              <w:rPr>
                <w:rFonts w:eastAsia="仿宋_GB2312"/>
              </w:rPr>
            </w:pPr>
            <w:r>
              <w:rPr>
                <w:rFonts w:eastAsia="仿宋_GB2312"/>
              </w:rPr>
              <w:t>6</w:t>
            </w:r>
          </w:p>
        </w:tc>
        <w:tc>
          <w:tcPr>
            <w:tcW w:w="1755" w:type="dxa"/>
            <w:vAlign w:val="center"/>
          </w:tcPr>
          <w:p w14:paraId="35AD0D1F">
            <w:pPr>
              <w:pStyle w:val="12"/>
              <w:widowControl w:val="0"/>
              <w:kinsoku/>
              <w:overflowPunct w:val="0"/>
              <w:topLinePunct/>
              <w:autoSpaceDE/>
              <w:autoSpaceDN/>
              <w:snapToGrid/>
              <w:spacing w:line="360" w:lineRule="exact"/>
              <w:jc w:val="center"/>
              <w:rPr>
                <w:rFonts w:eastAsia="仿宋_GB2312"/>
              </w:rPr>
            </w:pPr>
            <w:r>
              <w:rPr>
                <w:rFonts w:eastAsia="仿宋_GB2312"/>
              </w:rPr>
              <w:t>30</w:t>
            </w:r>
          </w:p>
        </w:tc>
        <w:tc>
          <w:tcPr>
            <w:tcW w:w="1830" w:type="dxa"/>
            <w:vAlign w:val="center"/>
          </w:tcPr>
          <w:p w14:paraId="1861E442">
            <w:pPr>
              <w:pStyle w:val="12"/>
              <w:widowControl w:val="0"/>
              <w:kinsoku/>
              <w:overflowPunct w:val="0"/>
              <w:topLinePunct/>
              <w:autoSpaceDE/>
              <w:autoSpaceDN/>
              <w:snapToGrid/>
              <w:spacing w:line="360" w:lineRule="exact"/>
              <w:jc w:val="center"/>
              <w:rPr>
                <w:rFonts w:eastAsia="仿宋_GB2312"/>
              </w:rPr>
            </w:pPr>
            <w:r>
              <w:rPr>
                <w:rFonts w:eastAsia="仿宋_GB2312"/>
              </w:rPr>
              <w:t>6</w:t>
            </w:r>
          </w:p>
        </w:tc>
      </w:tr>
    </w:tbl>
    <w:tbl>
      <w:tblPr>
        <w:tblStyle w:val="11"/>
        <w:tblpPr w:leftFromText="180" w:rightFromText="180" w:vertAnchor="text" w:horzAnchor="page" w:tblpXSpec="center" w:tblpY="560"/>
        <w:tblOverlap w:val="never"/>
        <w:tblW w:w="88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960"/>
        <w:gridCol w:w="1725"/>
        <w:gridCol w:w="1560"/>
        <w:gridCol w:w="1770"/>
        <w:gridCol w:w="1848"/>
      </w:tblGrid>
      <w:tr w14:paraId="7E890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1950" w:type="dxa"/>
            <w:gridSpan w:val="2"/>
            <w:vAlign w:val="center"/>
          </w:tcPr>
          <w:p w14:paraId="2DA66D34">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农作物名称</w:t>
            </w:r>
          </w:p>
        </w:tc>
        <w:tc>
          <w:tcPr>
            <w:tcW w:w="1725" w:type="dxa"/>
            <w:vAlign w:val="center"/>
          </w:tcPr>
          <w:p w14:paraId="781FD549">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保险金额</w:t>
            </w:r>
          </w:p>
          <w:p w14:paraId="5A18B2E8">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560" w:type="dxa"/>
            <w:vAlign w:val="center"/>
          </w:tcPr>
          <w:p w14:paraId="05889563">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保险费率</w:t>
            </w:r>
          </w:p>
          <w:p w14:paraId="6F18B3EE">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w:t>
            </w:r>
          </w:p>
        </w:tc>
        <w:tc>
          <w:tcPr>
            <w:tcW w:w="1770" w:type="dxa"/>
            <w:vAlign w:val="center"/>
          </w:tcPr>
          <w:p w14:paraId="0C6AD629">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w:t>
            </w:r>
          </w:p>
          <w:p w14:paraId="52D4AD5A">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848" w:type="dxa"/>
            <w:vAlign w:val="center"/>
          </w:tcPr>
          <w:p w14:paraId="1C68FE4F">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农户自缴保费</w:t>
            </w:r>
          </w:p>
          <w:p w14:paraId="15EA8D1D">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（元/亩）</w:t>
            </w:r>
          </w:p>
        </w:tc>
      </w:tr>
      <w:tr w14:paraId="52786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990" w:type="dxa"/>
            <w:vMerge w:val="restart"/>
            <w:tcBorders>
              <w:bottom w:val="nil"/>
            </w:tcBorders>
            <w:vAlign w:val="center"/>
          </w:tcPr>
          <w:p w14:paraId="762B638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玉米</w:t>
            </w:r>
          </w:p>
        </w:tc>
        <w:tc>
          <w:tcPr>
            <w:tcW w:w="960" w:type="dxa"/>
            <w:vAlign w:val="center"/>
          </w:tcPr>
          <w:p w14:paraId="60757EB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水地</w:t>
            </w:r>
          </w:p>
        </w:tc>
        <w:tc>
          <w:tcPr>
            <w:tcW w:w="1725" w:type="dxa"/>
            <w:vAlign w:val="center"/>
          </w:tcPr>
          <w:p w14:paraId="66F201A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900</w:t>
            </w:r>
          </w:p>
        </w:tc>
        <w:tc>
          <w:tcPr>
            <w:tcW w:w="1560" w:type="dxa"/>
            <w:vAlign w:val="center"/>
          </w:tcPr>
          <w:p w14:paraId="2766487C">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1770" w:type="dxa"/>
            <w:vAlign w:val="center"/>
          </w:tcPr>
          <w:p w14:paraId="7E91700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54</w:t>
            </w:r>
          </w:p>
        </w:tc>
        <w:tc>
          <w:tcPr>
            <w:tcW w:w="1848" w:type="dxa"/>
            <w:vAlign w:val="center"/>
          </w:tcPr>
          <w:p w14:paraId="33E0947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10.8</w:t>
            </w:r>
          </w:p>
        </w:tc>
      </w:tr>
      <w:tr w14:paraId="6AC10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990" w:type="dxa"/>
            <w:vMerge w:val="continue"/>
            <w:tcBorders>
              <w:top w:val="nil"/>
            </w:tcBorders>
            <w:vAlign w:val="center"/>
          </w:tcPr>
          <w:p w14:paraId="4CB5903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p>
        </w:tc>
        <w:tc>
          <w:tcPr>
            <w:tcW w:w="960" w:type="dxa"/>
            <w:vAlign w:val="center"/>
          </w:tcPr>
          <w:p w14:paraId="4419463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旱地</w:t>
            </w:r>
          </w:p>
        </w:tc>
        <w:tc>
          <w:tcPr>
            <w:tcW w:w="1725" w:type="dxa"/>
            <w:vAlign w:val="center"/>
          </w:tcPr>
          <w:p w14:paraId="1221B722">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600</w:t>
            </w:r>
          </w:p>
        </w:tc>
        <w:tc>
          <w:tcPr>
            <w:tcW w:w="1560" w:type="dxa"/>
            <w:vAlign w:val="center"/>
          </w:tcPr>
          <w:p w14:paraId="7270DF1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1770" w:type="dxa"/>
            <w:vAlign w:val="center"/>
          </w:tcPr>
          <w:p w14:paraId="7CE54EC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48</w:t>
            </w:r>
          </w:p>
        </w:tc>
        <w:tc>
          <w:tcPr>
            <w:tcW w:w="1848" w:type="dxa"/>
            <w:vAlign w:val="center"/>
          </w:tcPr>
          <w:p w14:paraId="0BD6B5A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9.6</w:t>
            </w:r>
          </w:p>
        </w:tc>
      </w:tr>
      <w:tr w14:paraId="1A6F7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990" w:type="dxa"/>
            <w:vMerge w:val="restart"/>
            <w:tcBorders>
              <w:bottom w:val="nil"/>
            </w:tcBorders>
            <w:vAlign w:val="center"/>
          </w:tcPr>
          <w:p w14:paraId="44497AC2">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小麦</w:t>
            </w:r>
          </w:p>
        </w:tc>
        <w:tc>
          <w:tcPr>
            <w:tcW w:w="960" w:type="dxa"/>
            <w:vAlign w:val="center"/>
          </w:tcPr>
          <w:p w14:paraId="783638C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水地</w:t>
            </w:r>
          </w:p>
        </w:tc>
        <w:tc>
          <w:tcPr>
            <w:tcW w:w="1725" w:type="dxa"/>
            <w:vAlign w:val="center"/>
          </w:tcPr>
          <w:p w14:paraId="393B345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1100</w:t>
            </w:r>
          </w:p>
        </w:tc>
        <w:tc>
          <w:tcPr>
            <w:tcW w:w="1560" w:type="dxa"/>
            <w:vAlign w:val="center"/>
          </w:tcPr>
          <w:p w14:paraId="27EC5502">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1770" w:type="dxa"/>
            <w:vAlign w:val="center"/>
          </w:tcPr>
          <w:p w14:paraId="01D98D8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66</w:t>
            </w:r>
          </w:p>
        </w:tc>
        <w:tc>
          <w:tcPr>
            <w:tcW w:w="1848" w:type="dxa"/>
            <w:vAlign w:val="center"/>
          </w:tcPr>
          <w:p w14:paraId="21BF5B4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13.2</w:t>
            </w:r>
          </w:p>
        </w:tc>
      </w:tr>
      <w:tr w14:paraId="11F45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990" w:type="dxa"/>
            <w:vMerge w:val="continue"/>
            <w:tcBorders>
              <w:top w:val="nil"/>
            </w:tcBorders>
            <w:vAlign w:val="center"/>
          </w:tcPr>
          <w:p w14:paraId="39B20D70">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p>
        </w:tc>
        <w:tc>
          <w:tcPr>
            <w:tcW w:w="960" w:type="dxa"/>
            <w:vAlign w:val="center"/>
          </w:tcPr>
          <w:p w14:paraId="0802F0ED">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旱地</w:t>
            </w:r>
          </w:p>
        </w:tc>
        <w:tc>
          <w:tcPr>
            <w:tcW w:w="1725" w:type="dxa"/>
            <w:vAlign w:val="center"/>
          </w:tcPr>
          <w:p w14:paraId="55BC9C5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650</w:t>
            </w:r>
          </w:p>
        </w:tc>
        <w:tc>
          <w:tcPr>
            <w:tcW w:w="1560" w:type="dxa"/>
            <w:vAlign w:val="center"/>
          </w:tcPr>
          <w:p w14:paraId="77D3E1A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1770" w:type="dxa"/>
            <w:vAlign w:val="center"/>
          </w:tcPr>
          <w:p w14:paraId="2F8DD52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52</w:t>
            </w:r>
          </w:p>
        </w:tc>
        <w:tc>
          <w:tcPr>
            <w:tcW w:w="1848" w:type="dxa"/>
            <w:vAlign w:val="center"/>
          </w:tcPr>
          <w:p w14:paraId="71A99D5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10.4</w:t>
            </w:r>
          </w:p>
        </w:tc>
      </w:tr>
      <w:tr w14:paraId="05335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990" w:type="dxa"/>
            <w:vAlign w:val="center"/>
          </w:tcPr>
          <w:p w14:paraId="0506DFB0">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水稻</w:t>
            </w:r>
          </w:p>
        </w:tc>
        <w:tc>
          <w:tcPr>
            <w:tcW w:w="960" w:type="dxa"/>
            <w:vAlign w:val="center"/>
          </w:tcPr>
          <w:p w14:paraId="5592BEC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水地</w:t>
            </w:r>
          </w:p>
        </w:tc>
        <w:tc>
          <w:tcPr>
            <w:tcW w:w="1725" w:type="dxa"/>
            <w:vAlign w:val="center"/>
          </w:tcPr>
          <w:p w14:paraId="23027B2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1200</w:t>
            </w:r>
          </w:p>
        </w:tc>
        <w:tc>
          <w:tcPr>
            <w:tcW w:w="1560" w:type="dxa"/>
            <w:vAlign w:val="center"/>
          </w:tcPr>
          <w:p w14:paraId="6C623ED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1770" w:type="dxa"/>
            <w:vAlign w:val="center"/>
          </w:tcPr>
          <w:p w14:paraId="33F36A1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48</w:t>
            </w:r>
          </w:p>
        </w:tc>
        <w:tc>
          <w:tcPr>
            <w:tcW w:w="1848" w:type="dxa"/>
            <w:vAlign w:val="center"/>
          </w:tcPr>
          <w:p w14:paraId="552C6CB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9.6</w:t>
            </w:r>
          </w:p>
        </w:tc>
      </w:tr>
    </w:tbl>
    <w:p w14:paraId="5CC4FD3B">
      <w:pPr>
        <w:widowControl w:val="0"/>
        <w:kinsoku/>
        <w:overflowPunct w:val="0"/>
        <w:topLinePunct/>
        <w:autoSpaceDE/>
        <w:autoSpaceDN/>
        <w:snapToGrid/>
        <w:spacing w:line="560" w:lineRule="atLeas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（2）完全成本保险</w:t>
      </w:r>
    </w:p>
    <w:p w14:paraId="3AAA2A39">
      <w:pPr>
        <w:widowControl w:val="0"/>
        <w:kinsoku/>
        <w:overflowPunct w:val="0"/>
        <w:topLinePunct/>
        <w:autoSpaceDE/>
        <w:autoSpaceDN/>
        <w:snapToGrid/>
        <w:spacing w:line="560" w:lineRule="atLeas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（3）制种保险</w:t>
      </w:r>
    </w:p>
    <w:tbl>
      <w:tblPr>
        <w:tblStyle w:val="11"/>
        <w:tblW w:w="88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0"/>
        <w:gridCol w:w="1854"/>
        <w:gridCol w:w="1614"/>
        <w:gridCol w:w="1616"/>
        <w:gridCol w:w="2384"/>
      </w:tblGrid>
      <w:tr w14:paraId="4D837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1360" w:type="dxa"/>
            <w:vAlign w:val="center"/>
          </w:tcPr>
          <w:p w14:paraId="627DC2A5">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农作物名称</w:t>
            </w:r>
          </w:p>
        </w:tc>
        <w:tc>
          <w:tcPr>
            <w:tcW w:w="1854" w:type="dxa"/>
            <w:vAlign w:val="center"/>
          </w:tcPr>
          <w:p w14:paraId="413DEBDB">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保险金额</w:t>
            </w:r>
          </w:p>
          <w:p w14:paraId="7B3EB52F">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614" w:type="dxa"/>
            <w:vAlign w:val="center"/>
          </w:tcPr>
          <w:p w14:paraId="53712C93">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保险费率</w:t>
            </w:r>
          </w:p>
          <w:p w14:paraId="63890991">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w:t>
            </w:r>
          </w:p>
        </w:tc>
        <w:tc>
          <w:tcPr>
            <w:tcW w:w="1616" w:type="dxa"/>
            <w:vAlign w:val="center"/>
          </w:tcPr>
          <w:p w14:paraId="516100FB">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w:t>
            </w:r>
          </w:p>
          <w:p w14:paraId="4673FA17">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2384" w:type="dxa"/>
            <w:vAlign w:val="center"/>
          </w:tcPr>
          <w:p w14:paraId="360E11D2">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农户自缴保费</w:t>
            </w:r>
          </w:p>
          <w:p w14:paraId="68DCCC9D">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（元/亩）</w:t>
            </w:r>
          </w:p>
        </w:tc>
      </w:tr>
      <w:tr w14:paraId="73806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1360" w:type="dxa"/>
            <w:vAlign w:val="center"/>
          </w:tcPr>
          <w:p w14:paraId="33C9CC8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玉米</w:t>
            </w:r>
          </w:p>
        </w:tc>
        <w:tc>
          <w:tcPr>
            <w:tcW w:w="1854" w:type="dxa"/>
            <w:vAlign w:val="center"/>
          </w:tcPr>
          <w:p w14:paraId="0CD1FAD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800</w:t>
            </w:r>
          </w:p>
        </w:tc>
        <w:tc>
          <w:tcPr>
            <w:tcW w:w="1614" w:type="dxa"/>
            <w:vAlign w:val="center"/>
          </w:tcPr>
          <w:p w14:paraId="588EA6B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1616" w:type="dxa"/>
            <w:vAlign w:val="center"/>
          </w:tcPr>
          <w:p w14:paraId="47C3020C">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64</w:t>
            </w:r>
          </w:p>
        </w:tc>
        <w:tc>
          <w:tcPr>
            <w:tcW w:w="2384" w:type="dxa"/>
            <w:vAlign w:val="center"/>
          </w:tcPr>
          <w:p w14:paraId="4537D4A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12.8</w:t>
            </w:r>
          </w:p>
        </w:tc>
      </w:tr>
    </w:tbl>
    <w:p w14:paraId="0FBC55D2">
      <w:pPr>
        <w:widowControl w:val="0"/>
        <w:kinsoku/>
        <w:overflowPunct w:val="0"/>
        <w:topLinePunct/>
        <w:autoSpaceDE/>
        <w:autoSpaceDN/>
        <w:snapToGrid/>
        <w:spacing w:line="560" w:lineRule="atLeast"/>
        <w:ind w:firstLine="640" w:firstLineChars="200"/>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（4）谷子直接物化成本保险</w:t>
      </w:r>
    </w:p>
    <w:tbl>
      <w:tblPr>
        <w:tblStyle w:val="11"/>
        <w:tblW w:w="88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5"/>
        <w:gridCol w:w="1914"/>
        <w:gridCol w:w="1624"/>
        <w:gridCol w:w="1640"/>
        <w:gridCol w:w="2337"/>
      </w:tblGrid>
      <w:tr w14:paraId="7C0EB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1305" w:type="dxa"/>
            <w:vAlign w:val="center"/>
          </w:tcPr>
          <w:p w14:paraId="019F81C4">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农作物名称</w:t>
            </w:r>
          </w:p>
        </w:tc>
        <w:tc>
          <w:tcPr>
            <w:tcW w:w="1914" w:type="dxa"/>
            <w:vAlign w:val="center"/>
          </w:tcPr>
          <w:p w14:paraId="339EB591">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保险金额</w:t>
            </w:r>
          </w:p>
          <w:p w14:paraId="1EB04D44">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624" w:type="dxa"/>
            <w:vAlign w:val="center"/>
          </w:tcPr>
          <w:p w14:paraId="04F57C64">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保险费率</w:t>
            </w:r>
          </w:p>
          <w:p w14:paraId="610434A6">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w:t>
            </w:r>
          </w:p>
        </w:tc>
        <w:tc>
          <w:tcPr>
            <w:tcW w:w="1640" w:type="dxa"/>
            <w:vAlign w:val="center"/>
          </w:tcPr>
          <w:p w14:paraId="6683C3A8">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保险费</w:t>
            </w:r>
          </w:p>
          <w:p w14:paraId="211EA471">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2337" w:type="dxa"/>
            <w:vAlign w:val="center"/>
          </w:tcPr>
          <w:p w14:paraId="3A58C070">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农户自缴保费</w:t>
            </w:r>
          </w:p>
          <w:p w14:paraId="0650235D">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（元/亩）</w:t>
            </w:r>
          </w:p>
        </w:tc>
      </w:tr>
      <w:tr w14:paraId="67029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jc w:val="center"/>
        </w:trPr>
        <w:tc>
          <w:tcPr>
            <w:tcW w:w="1305" w:type="dxa"/>
            <w:vAlign w:val="center"/>
          </w:tcPr>
          <w:p w14:paraId="168A1160">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谷子</w:t>
            </w:r>
          </w:p>
        </w:tc>
        <w:tc>
          <w:tcPr>
            <w:tcW w:w="1914" w:type="dxa"/>
            <w:vAlign w:val="center"/>
          </w:tcPr>
          <w:p w14:paraId="7FAAB169">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2</w:t>
            </w:r>
            <w:r>
              <w:rPr>
                <w:rFonts w:ascii="Times New Roman" w:hAnsi="Times New Roman" w:eastAsia="仿宋_GB2312" w:cs="Times New Roman"/>
                <w:sz w:val="24"/>
                <w:szCs w:val="24"/>
              </w:rPr>
              <w:t>00</w:t>
            </w:r>
          </w:p>
        </w:tc>
        <w:tc>
          <w:tcPr>
            <w:tcW w:w="1624" w:type="dxa"/>
            <w:vAlign w:val="center"/>
          </w:tcPr>
          <w:p w14:paraId="3BC09666">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6</w:t>
            </w:r>
          </w:p>
        </w:tc>
        <w:tc>
          <w:tcPr>
            <w:tcW w:w="1640" w:type="dxa"/>
            <w:vAlign w:val="center"/>
          </w:tcPr>
          <w:p w14:paraId="160F4FFE">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12</w:t>
            </w:r>
          </w:p>
        </w:tc>
        <w:tc>
          <w:tcPr>
            <w:tcW w:w="2337" w:type="dxa"/>
            <w:vAlign w:val="center"/>
          </w:tcPr>
          <w:p w14:paraId="5307AA82">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2.4</w:t>
            </w:r>
          </w:p>
        </w:tc>
      </w:tr>
    </w:tbl>
    <w:p w14:paraId="5FF9D1E5">
      <w:pPr>
        <w:widowControl w:val="0"/>
        <w:kinsoku/>
        <w:overflowPunct w:val="0"/>
        <w:topLinePunct/>
        <w:autoSpaceDE/>
        <w:autoSpaceDN/>
        <w:snapToGrid/>
        <w:spacing w:line="560" w:lineRule="atLeas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温室、大棚保险：参照温室主要构成部件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墙体、棚架、棚膜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、大棚主要构成部件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棚架、棚膜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建造成本的80%，以及棚内作物的种苗费确定保险金额。</w:t>
      </w:r>
    </w:p>
    <w:p w14:paraId="71EFAF02">
      <w:pPr>
        <w:widowControl w:val="0"/>
        <w:kinsoku/>
        <w:overflowPunct w:val="0"/>
        <w:topLinePunct/>
        <w:autoSpaceDE/>
        <w:autoSpaceDN/>
        <w:snapToGrid/>
        <w:spacing w:line="560" w:lineRule="atLeast"/>
        <w:jc w:val="center"/>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温室、大棚分项标的单位保额、保险费率表、保险费</w:t>
      </w:r>
    </w:p>
    <w:tbl>
      <w:tblPr>
        <w:tblStyle w:val="11"/>
        <w:tblW w:w="88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1194"/>
        <w:gridCol w:w="2243"/>
        <w:gridCol w:w="1032"/>
        <w:gridCol w:w="1695"/>
        <w:gridCol w:w="1336"/>
      </w:tblGrid>
      <w:tr w14:paraId="24C82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318" w:type="dxa"/>
            <w:vMerge w:val="restart"/>
            <w:tcBorders>
              <w:bottom w:val="nil"/>
            </w:tcBorders>
            <w:vAlign w:val="center"/>
          </w:tcPr>
          <w:p w14:paraId="45891D5D">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类型</w:t>
            </w:r>
          </w:p>
        </w:tc>
        <w:tc>
          <w:tcPr>
            <w:tcW w:w="6164" w:type="dxa"/>
            <w:gridSpan w:val="4"/>
            <w:vAlign w:val="center"/>
          </w:tcPr>
          <w:p w14:paraId="02D0374D">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分项标的、分项保额及分项保费</w:t>
            </w:r>
          </w:p>
        </w:tc>
        <w:tc>
          <w:tcPr>
            <w:tcW w:w="1336" w:type="dxa"/>
            <w:vMerge w:val="restart"/>
            <w:tcBorders>
              <w:bottom w:val="nil"/>
            </w:tcBorders>
            <w:vAlign w:val="center"/>
          </w:tcPr>
          <w:p w14:paraId="55E52056">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农户交费（元/亩）</w:t>
            </w:r>
          </w:p>
        </w:tc>
      </w:tr>
      <w:tr w14:paraId="7867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318" w:type="dxa"/>
            <w:vMerge w:val="continue"/>
            <w:tcBorders>
              <w:top w:val="nil"/>
            </w:tcBorders>
            <w:vAlign w:val="center"/>
          </w:tcPr>
          <w:p w14:paraId="2ACF7458">
            <w:pPr>
              <w:widowControl w:val="0"/>
              <w:kinsoku/>
              <w:overflowPunct w:val="0"/>
              <w:topLinePunct/>
              <w:autoSpaceDE/>
              <w:autoSpaceDN/>
              <w:snapToGrid/>
              <w:spacing w:line="560" w:lineRule="atLeast"/>
              <w:ind w:firstLine="420" w:firstLineChars="200"/>
              <w:jc w:val="center"/>
              <w:rPr>
                <w:rFonts w:ascii="Times New Roman" w:hAnsi="Times New Roman" w:eastAsia="仿宋_GB2312" w:cs="Times New Roman"/>
              </w:rPr>
            </w:pPr>
          </w:p>
        </w:tc>
        <w:tc>
          <w:tcPr>
            <w:tcW w:w="1194" w:type="dxa"/>
            <w:vAlign w:val="center"/>
          </w:tcPr>
          <w:p w14:paraId="5B57DDD7">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分项标的</w:t>
            </w:r>
          </w:p>
        </w:tc>
        <w:tc>
          <w:tcPr>
            <w:tcW w:w="2243" w:type="dxa"/>
            <w:vAlign w:val="center"/>
          </w:tcPr>
          <w:p w14:paraId="27AB6FCB">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单位保险金额</w:t>
            </w:r>
          </w:p>
          <w:p w14:paraId="1CADE965">
            <w:pPr>
              <w:pStyle w:val="12"/>
              <w:widowControl w:val="0"/>
              <w:kinsoku/>
              <w:overflowPunct w:val="0"/>
              <w:topLinePunct/>
              <w:autoSpaceDE/>
              <w:autoSpaceDN/>
              <w:snapToGrid/>
              <w:spacing w:line="360" w:lineRule="exact"/>
              <w:jc w:val="center"/>
              <w:rPr>
                <w:rFonts w:ascii="CESI黑体-GB2312" w:hAnsi="CESI黑体-GB2312" w:eastAsia="CESI黑体-GB2312" w:cs="CESI黑体-GB2312"/>
                <w:lang w:eastAsia="zh-CN"/>
              </w:rPr>
            </w:pPr>
            <w:r>
              <w:rPr>
                <w:rFonts w:hint="eastAsia" w:ascii="CESI黑体-GB2312" w:hAnsi="CESI黑体-GB2312" w:eastAsia="CESI黑体-GB2312" w:cs="CESI黑体-GB2312"/>
                <w:lang w:eastAsia="zh-CN"/>
              </w:rPr>
              <w:t>（元/亩）</w:t>
            </w:r>
          </w:p>
        </w:tc>
        <w:tc>
          <w:tcPr>
            <w:tcW w:w="1032" w:type="dxa"/>
            <w:vAlign w:val="center"/>
          </w:tcPr>
          <w:p w14:paraId="2919BD79">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费率%</w:t>
            </w:r>
          </w:p>
        </w:tc>
        <w:tc>
          <w:tcPr>
            <w:tcW w:w="1695" w:type="dxa"/>
            <w:vAlign w:val="center"/>
          </w:tcPr>
          <w:p w14:paraId="62953623">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单位保险费</w:t>
            </w:r>
          </w:p>
          <w:p w14:paraId="77818503">
            <w:pPr>
              <w:pStyle w:val="12"/>
              <w:widowControl w:val="0"/>
              <w:kinsoku/>
              <w:overflowPunct w:val="0"/>
              <w:topLinePunct/>
              <w:autoSpaceDE/>
              <w:autoSpaceDN/>
              <w:snapToGrid/>
              <w:spacing w:line="360" w:lineRule="exact"/>
              <w:jc w:val="center"/>
              <w:rPr>
                <w:rFonts w:ascii="CESI黑体-GB2312" w:hAnsi="CESI黑体-GB2312" w:eastAsia="CESI黑体-GB2312" w:cs="CESI黑体-GB2312"/>
              </w:rPr>
            </w:pPr>
            <w:r>
              <w:rPr>
                <w:rFonts w:hint="eastAsia" w:ascii="CESI黑体-GB2312" w:hAnsi="CESI黑体-GB2312" w:eastAsia="CESI黑体-GB2312" w:cs="CESI黑体-GB2312"/>
              </w:rPr>
              <w:t>（元/亩）</w:t>
            </w:r>
          </w:p>
        </w:tc>
        <w:tc>
          <w:tcPr>
            <w:tcW w:w="1336" w:type="dxa"/>
            <w:vMerge w:val="continue"/>
            <w:tcBorders>
              <w:top w:val="nil"/>
              <w:bottom w:val="single" w:color="auto" w:sz="4" w:space="0"/>
            </w:tcBorders>
          </w:tcPr>
          <w:p w14:paraId="1EF2D311">
            <w:pPr>
              <w:widowControl w:val="0"/>
              <w:kinsoku/>
              <w:overflowPunct w:val="0"/>
              <w:topLinePunct/>
              <w:autoSpaceDE/>
              <w:autoSpaceDN/>
              <w:snapToGrid/>
              <w:spacing w:line="560" w:lineRule="atLeast"/>
              <w:ind w:firstLine="420" w:firstLineChars="200"/>
              <w:jc w:val="center"/>
              <w:rPr>
                <w:rFonts w:ascii="Times New Roman" w:hAnsi="Times New Roman" w:eastAsia="仿宋_GB2312" w:cs="Times New Roman"/>
              </w:rPr>
            </w:pPr>
          </w:p>
        </w:tc>
      </w:tr>
      <w:tr w14:paraId="4DB47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restart"/>
            <w:tcBorders>
              <w:bottom w:val="nil"/>
            </w:tcBorders>
            <w:vAlign w:val="center"/>
          </w:tcPr>
          <w:p w14:paraId="1851625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温室</w:t>
            </w:r>
          </w:p>
          <w:p w14:paraId="47D6A51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（三档）</w:t>
            </w:r>
          </w:p>
        </w:tc>
        <w:tc>
          <w:tcPr>
            <w:tcW w:w="1194" w:type="dxa"/>
            <w:vAlign w:val="center"/>
          </w:tcPr>
          <w:p w14:paraId="0ED5499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墙体</w:t>
            </w:r>
          </w:p>
        </w:tc>
        <w:tc>
          <w:tcPr>
            <w:tcW w:w="2243" w:type="dxa"/>
            <w:vAlign w:val="center"/>
          </w:tcPr>
          <w:p w14:paraId="1C6ABE4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15000</w:t>
            </w:r>
          </w:p>
        </w:tc>
        <w:tc>
          <w:tcPr>
            <w:tcW w:w="1032" w:type="dxa"/>
            <w:vAlign w:val="center"/>
          </w:tcPr>
          <w:p w14:paraId="4E8E1B99">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w:t>
            </w:r>
          </w:p>
        </w:tc>
        <w:tc>
          <w:tcPr>
            <w:tcW w:w="1695" w:type="dxa"/>
            <w:tcBorders>
              <w:right w:val="single" w:color="auto" w:sz="4" w:space="0"/>
            </w:tcBorders>
            <w:vAlign w:val="center"/>
          </w:tcPr>
          <w:p w14:paraId="7372061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150</w:t>
            </w:r>
          </w:p>
        </w:tc>
        <w:tc>
          <w:tcPr>
            <w:tcW w:w="1336" w:type="dxa"/>
            <w:vMerge w:val="restart"/>
            <w:tcBorders>
              <w:top w:val="single" w:color="auto" w:sz="4" w:space="0"/>
              <w:left w:val="single" w:color="auto" w:sz="4" w:space="0"/>
              <w:right w:val="single" w:color="auto" w:sz="4" w:space="0"/>
            </w:tcBorders>
            <w:vAlign w:val="center"/>
          </w:tcPr>
          <w:p w14:paraId="5E2F6D1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98.8</w:t>
            </w:r>
          </w:p>
        </w:tc>
      </w:tr>
      <w:tr w14:paraId="2ED15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continue"/>
            <w:tcBorders>
              <w:top w:val="nil"/>
              <w:bottom w:val="nil"/>
            </w:tcBorders>
            <w:vAlign w:val="center"/>
          </w:tcPr>
          <w:p w14:paraId="2F223489">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55F08C8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棚架</w:t>
            </w:r>
          </w:p>
        </w:tc>
        <w:tc>
          <w:tcPr>
            <w:tcW w:w="2243" w:type="dxa"/>
            <w:vAlign w:val="center"/>
          </w:tcPr>
          <w:p w14:paraId="00BE646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16000</w:t>
            </w:r>
          </w:p>
        </w:tc>
        <w:tc>
          <w:tcPr>
            <w:tcW w:w="1032" w:type="dxa"/>
            <w:vAlign w:val="center"/>
          </w:tcPr>
          <w:p w14:paraId="246E7EA3">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w:t>
            </w:r>
          </w:p>
        </w:tc>
        <w:tc>
          <w:tcPr>
            <w:tcW w:w="1695" w:type="dxa"/>
            <w:tcBorders>
              <w:right w:val="single" w:color="auto" w:sz="4" w:space="0"/>
            </w:tcBorders>
            <w:vAlign w:val="center"/>
          </w:tcPr>
          <w:p w14:paraId="0D342C5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160</w:t>
            </w:r>
          </w:p>
        </w:tc>
        <w:tc>
          <w:tcPr>
            <w:tcW w:w="1336" w:type="dxa"/>
            <w:vMerge w:val="continue"/>
            <w:tcBorders>
              <w:left w:val="single" w:color="auto" w:sz="4" w:space="0"/>
              <w:right w:val="single" w:color="auto" w:sz="4" w:space="0"/>
            </w:tcBorders>
            <w:vAlign w:val="center"/>
          </w:tcPr>
          <w:p w14:paraId="51A8406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4472B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continue"/>
            <w:tcBorders>
              <w:top w:val="nil"/>
              <w:bottom w:val="nil"/>
            </w:tcBorders>
            <w:vAlign w:val="center"/>
          </w:tcPr>
          <w:p w14:paraId="60796856">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49560EE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棚膜</w:t>
            </w:r>
          </w:p>
        </w:tc>
        <w:tc>
          <w:tcPr>
            <w:tcW w:w="2243" w:type="dxa"/>
            <w:vAlign w:val="center"/>
          </w:tcPr>
          <w:p w14:paraId="2497275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1600</w:t>
            </w:r>
          </w:p>
        </w:tc>
        <w:tc>
          <w:tcPr>
            <w:tcW w:w="1032" w:type="dxa"/>
            <w:vAlign w:val="center"/>
          </w:tcPr>
          <w:p w14:paraId="39C5CC9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4</w:t>
            </w:r>
          </w:p>
        </w:tc>
        <w:tc>
          <w:tcPr>
            <w:tcW w:w="1695" w:type="dxa"/>
            <w:tcBorders>
              <w:right w:val="single" w:color="auto" w:sz="4" w:space="0"/>
            </w:tcBorders>
            <w:vAlign w:val="center"/>
          </w:tcPr>
          <w:p w14:paraId="07322736">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64</w:t>
            </w:r>
          </w:p>
        </w:tc>
        <w:tc>
          <w:tcPr>
            <w:tcW w:w="1336" w:type="dxa"/>
            <w:vMerge w:val="continue"/>
            <w:tcBorders>
              <w:left w:val="single" w:color="auto" w:sz="4" w:space="0"/>
              <w:right w:val="single" w:color="auto" w:sz="4" w:space="0"/>
            </w:tcBorders>
            <w:vAlign w:val="center"/>
          </w:tcPr>
          <w:p w14:paraId="31FE359C">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7688C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continue"/>
            <w:tcBorders>
              <w:top w:val="nil"/>
            </w:tcBorders>
            <w:vAlign w:val="center"/>
          </w:tcPr>
          <w:p w14:paraId="70B6D40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2E18865C">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棚内作物</w:t>
            </w:r>
          </w:p>
        </w:tc>
        <w:tc>
          <w:tcPr>
            <w:tcW w:w="2243" w:type="dxa"/>
            <w:vAlign w:val="center"/>
          </w:tcPr>
          <w:p w14:paraId="1EA069C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3000</w:t>
            </w:r>
          </w:p>
        </w:tc>
        <w:tc>
          <w:tcPr>
            <w:tcW w:w="1032" w:type="dxa"/>
            <w:vAlign w:val="center"/>
          </w:tcPr>
          <w:p w14:paraId="75DB25A6">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4</w:t>
            </w:r>
          </w:p>
        </w:tc>
        <w:tc>
          <w:tcPr>
            <w:tcW w:w="1695" w:type="dxa"/>
            <w:tcBorders>
              <w:right w:val="single" w:color="auto" w:sz="4" w:space="0"/>
            </w:tcBorders>
            <w:vAlign w:val="center"/>
          </w:tcPr>
          <w:p w14:paraId="1F311D29">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120</w:t>
            </w:r>
          </w:p>
        </w:tc>
        <w:tc>
          <w:tcPr>
            <w:tcW w:w="1336" w:type="dxa"/>
            <w:vMerge w:val="continue"/>
            <w:tcBorders>
              <w:left w:val="single" w:color="auto" w:sz="4" w:space="0"/>
              <w:right w:val="single" w:color="auto" w:sz="4" w:space="0"/>
            </w:tcBorders>
            <w:vAlign w:val="center"/>
          </w:tcPr>
          <w:p w14:paraId="64590EE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25B70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318" w:type="dxa"/>
            <w:vAlign w:val="center"/>
          </w:tcPr>
          <w:p w14:paraId="56346E8B">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合计</w:t>
            </w:r>
          </w:p>
        </w:tc>
        <w:tc>
          <w:tcPr>
            <w:tcW w:w="1194" w:type="dxa"/>
            <w:vAlign w:val="center"/>
          </w:tcPr>
          <w:p w14:paraId="3203A616">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总保额</w:t>
            </w:r>
          </w:p>
        </w:tc>
        <w:tc>
          <w:tcPr>
            <w:tcW w:w="2243" w:type="dxa"/>
            <w:vAlign w:val="center"/>
          </w:tcPr>
          <w:p w14:paraId="77C66075">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35600</w:t>
            </w:r>
          </w:p>
        </w:tc>
        <w:tc>
          <w:tcPr>
            <w:tcW w:w="1032" w:type="dxa"/>
            <w:vAlign w:val="center"/>
          </w:tcPr>
          <w:p w14:paraId="56EDB8FD">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总保费</w:t>
            </w:r>
          </w:p>
        </w:tc>
        <w:tc>
          <w:tcPr>
            <w:tcW w:w="1695" w:type="dxa"/>
            <w:tcBorders>
              <w:right w:val="single" w:color="auto" w:sz="4" w:space="0"/>
            </w:tcBorders>
            <w:vAlign w:val="center"/>
          </w:tcPr>
          <w:p w14:paraId="311097DB">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494</w:t>
            </w:r>
          </w:p>
        </w:tc>
        <w:tc>
          <w:tcPr>
            <w:tcW w:w="1336" w:type="dxa"/>
            <w:vMerge w:val="continue"/>
            <w:tcBorders>
              <w:left w:val="single" w:color="auto" w:sz="4" w:space="0"/>
              <w:bottom w:val="single" w:color="auto" w:sz="4" w:space="0"/>
              <w:right w:val="single" w:color="auto" w:sz="4" w:space="0"/>
            </w:tcBorders>
            <w:vAlign w:val="center"/>
          </w:tcPr>
          <w:p w14:paraId="5707912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4F657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restart"/>
            <w:vAlign w:val="center"/>
          </w:tcPr>
          <w:p w14:paraId="3D3B2AA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温室</w:t>
            </w:r>
          </w:p>
          <w:p w14:paraId="65A458B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（四档）</w:t>
            </w:r>
          </w:p>
        </w:tc>
        <w:tc>
          <w:tcPr>
            <w:tcW w:w="1194" w:type="dxa"/>
            <w:vAlign w:val="center"/>
          </w:tcPr>
          <w:p w14:paraId="427356BD">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墙体</w:t>
            </w:r>
          </w:p>
        </w:tc>
        <w:tc>
          <w:tcPr>
            <w:tcW w:w="2243" w:type="dxa"/>
            <w:vAlign w:val="center"/>
          </w:tcPr>
          <w:p w14:paraId="510B58C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30000</w:t>
            </w:r>
          </w:p>
        </w:tc>
        <w:tc>
          <w:tcPr>
            <w:tcW w:w="1032" w:type="dxa"/>
            <w:vAlign w:val="center"/>
          </w:tcPr>
          <w:p w14:paraId="6131E21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1</w:t>
            </w:r>
          </w:p>
        </w:tc>
        <w:tc>
          <w:tcPr>
            <w:tcW w:w="1695" w:type="dxa"/>
            <w:tcBorders>
              <w:right w:val="single" w:color="auto" w:sz="4" w:space="0"/>
            </w:tcBorders>
            <w:vAlign w:val="center"/>
          </w:tcPr>
          <w:p w14:paraId="7881B89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300</w:t>
            </w:r>
          </w:p>
        </w:tc>
        <w:tc>
          <w:tcPr>
            <w:tcW w:w="1336" w:type="dxa"/>
            <w:vMerge w:val="restart"/>
            <w:tcBorders>
              <w:top w:val="single" w:color="auto" w:sz="4" w:space="0"/>
              <w:left w:val="single" w:color="auto" w:sz="4" w:space="0"/>
              <w:right w:val="single" w:color="auto" w:sz="4" w:space="0"/>
            </w:tcBorders>
            <w:vAlign w:val="center"/>
          </w:tcPr>
          <w:p w14:paraId="51253853">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205.2</w:t>
            </w:r>
          </w:p>
        </w:tc>
      </w:tr>
      <w:tr w14:paraId="33F06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continue"/>
            <w:vAlign w:val="center"/>
          </w:tcPr>
          <w:p w14:paraId="12D2B5D6">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79982C1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棚架</w:t>
            </w:r>
          </w:p>
        </w:tc>
        <w:tc>
          <w:tcPr>
            <w:tcW w:w="2243" w:type="dxa"/>
            <w:vAlign w:val="center"/>
          </w:tcPr>
          <w:p w14:paraId="54248FC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23000</w:t>
            </w:r>
          </w:p>
        </w:tc>
        <w:tc>
          <w:tcPr>
            <w:tcW w:w="1032" w:type="dxa"/>
            <w:vAlign w:val="center"/>
          </w:tcPr>
          <w:p w14:paraId="2B1C6E0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1</w:t>
            </w:r>
          </w:p>
        </w:tc>
        <w:tc>
          <w:tcPr>
            <w:tcW w:w="1695" w:type="dxa"/>
            <w:tcBorders>
              <w:right w:val="single" w:color="auto" w:sz="4" w:space="0"/>
            </w:tcBorders>
            <w:vAlign w:val="center"/>
          </w:tcPr>
          <w:p w14:paraId="0F3E1BF9">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230</w:t>
            </w:r>
          </w:p>
        </w:tc>
        <w:tc>
          <w:tcPr>
            <w:tcW w:w="1336" w:type="dxa"/>
            <w:vMerge w:val="continue"/>
            <w:tcBorders>
              <w:left w:val="single" w:color="auto" w:sz="4" w:space="0"/>
              <w:right w:val="single" w:color="auto" w:sz="4" w:space="0"/>
            </w:tcBorders>
            <w:vAlign w:val="center"/>
          </w:tcPr>
          <w:p w14:paraId="0587BCBD">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5EE7B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18" w:type="dxa"/>
            <w:vMerge w:val="continue"/>
            <w:vAlign w:val="center"/>
          </w:tcPr>
          <w:p w14:paraId="17BFE0B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49DA0F8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棚膜</w:t>
            </w:r>
          </w:p>
        </w:tc>
        <w:tc>
          <w:tcPr>
            <w:tcW w:w="2243" w:type="dxa"/>
            <w:vAlign w:val="center"/>
          </w:tcPr>
          <w:p w14:paraId="35588243">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2400</w:t>
            </w:r>
          </w:p>
        </w:tc>
        <w:tc>
          <w:tcPr>
            <w:tcW w:w="1032" w:type="dxa"/>
            <w:vAlign w:val="center"/>
          </w:tcPr>
          <w:p w14:paraId="6397BB8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4</w:t>
            </w:r>
          </w:p>
        </w:tc>
        <w:tc>
          <w:tcPr>
            <w:tcW w:w="1695" w:type="dxa"/>
            <w:tcBorders>
              <w:right w:val="single" w:color="auto" w:sz="4" w:space="0"/>
            </w:tcBorders>
            <w:vAlign w:val="center"/>
          </w:tcPr>
          <w:p w14:paraId="5CA9234B">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96</w:t>
            </w:r>
          </w:p>
        </w:tc>
        <w:tc>
          <w:tcPr>
            <w:tcW w:w="1336" w:type="dxa"/>
            <w:vMerge w:val="continue"/>
            <w:tcBorders>
              <w:left w:val="single" w:color="auto" w:sz="4" w:space="0"/>
              <w:right w:val="single" w:color="auto" w:sz="4" w:space="0"/>
            </w:tcBorders>
            <w:vAlign w:val="center"/>
          </w:tcPr>
          <w:p w14:paraId="586DD11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69D7F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1318" w:type="dxa"/>
            <w:vMerge w:val="continue"/>
            <w:vAlign w:val="center"/>
          </w:tcPr>
          <w:p w14:paraId="621DB4C2">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18EC751E">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棚内作物</w:t>
            </w:r>
          </w:p>
        </w:tc>
        <w:tc>
          <w:tcPr>
            <w:tcW w:w="2243" w:type="dxa"/>
            <w:vAlign w:val="center"/>
          </w:tcPr>
          <w:p w14:paraId="663FE833">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10000</w:t>
            </w:r>
          </w:p>
        </w:tc>
        <w:tc>
          <w:tcPr>
            <w:tcW w:w="1032" w:type="dxa"/>
            <w:vAlign w:val="center"/>
          </w:tcPr>
          <w:p w14:paraId="70D6985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lang w:eastAsia="zh-CN"/>
              </w:rPr>
              <w:t>4</w:t>
            </w:r>
          </w:p>
        </w:tc>
        <w:tc>
          <w:tcPr>
            <w:tcW w:w="1695" w:type="dxa"/>
            <w:tcBorders>
              <w:right w:val="single" w:color="auto" w:sz="4" w:space="0"/>
            </w:tcBorders>
            <w:vAlign w:val="center"/>
          </w:tcPr>
          <w:p w14:paraId="577E991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400</w:t>
            </w:r>
          </w:p>
        </w:tc>
        <w:tc>
          <w:tcPr>
            <w:tcW w:w="1336" w:type="dxa"/>
            <w:vMerge w:val="continue"/>
            <w:tcBorders>
              <w:left w:val="single" w:color="auto" w:sz="4" w:space="0"/>
              <w:right w:val="single" w:color="auto" w:sz="4" w:space="0"/>
            </w:tcBorders>
            <w:vAlign w:val="center"/>
          </w:tcPr>
          <w:p w14:paraId="0089A547">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0F0CE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Align w:val="center"/>
          </w:tcPr>
          <w:p w14:paraId="19B09D33">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合计</w:t>
            </w:r>
          </w:p>
        </w:tc>
        <w:tc>
          <w:tcPr>
            <w:tcW w:w="1194" w:type="dxa"/>
            <w:vAlign w:val="center"/>
          </w:tcPr>
          <w:p w14:paraId="472A1561">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总保额</w:t>
            </w:r>
          </w:p>
        </w:tc>
        <w:tc>
          <w:tcPr>
            <w:tcW w:w="2243" w:type="dxa"/>
            <w:vAlign w:val="center"/>
          </w:tcPr>
          <w:p w14:paraId="5E130913">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65400</w:t>
            </w:r>
          </w:p>
        </w:tc>
        <w:tc>
          <w:tcPr>
            <w:tcW w:w="1032" w:type="dxa"/>
            <w:vAlign w:val="center"/>
          </w:tcPr>
          <w:p w14:paraId="59FB3F76">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总保费</w:t>
            </w:r>
          </w:p>
        </w:tc>
        <w:tc>
          <w:tcPr>
            <w:tcW w:w="1695" w:type="dxa"/>
            <w:vAlign w:val="center"/>
          </w:tcPr>
          <w:p w14:paraId="5CAB6D64">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1026</w:t>
            </w:r>
          </w:p>
        </w:tc>
        <w:tc>
          <w:tcPr>
            <w:tcW w:w="1336" w:type="dxa"/>
            <w:vMerge w:val="continue"/>
            <w:tcBorders>
              <w:left w:val="single" w:color="auto" w:sz="4" w:space="0"/>
              <w:right w:val="single" w:color="auto" w:sz="4" w:space="0"/>
            </w:tcBorders>
            <w:vAlign w:val="center"/>
          </w:tcPr>
          <w:p w14:paraId="49C1FEC0">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r>
      <w:tr w14:paraId="45F86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restart"/>
            <w:tcBorders>
              <w:bottom w:val="nil"/>
            </w:tcBorders>
            <w:vAlign w:val="center"/>
          </w:tcPr>
          <w:p w14:paraId="57910AA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大棚</w:t>
            </w:r>
          </w:p>
          <w:p w14:paraId="0D4B6714">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（二档）</w:t>
            </w:r>
          </w:p>
        </w:tc>
        <w:tc>
          <w:tcPr>
            <w:tcW w:w="1194" w:type="dxa"/>
            <w:vAlign w:val="center"/>
          </w:tcPr>
          <w:p w14:paraId="5754E3D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棚架</w:t>
            </w:r>
          </w:p>
        </w:tc>
        <w:tc>
          <w:tcPr>
            <w:tcW w:w="2243" w:type="dxa"/>
            <w:vAlign w:val="center"/>
          </w:tcPr>
          <w:p w14:paraId="788DDE78">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10000</w:t>
            </w:r>
          </w:p>
        </w:tc>
        <w:tc>
          <w:tcPr>
            <w:tcW w:w="1032" w:type="dxa"/>
            <w:vAlign w:val="center"/>
          </w:tcPr>
          <w:p w14:paraId="1F5D27ED">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1.5</w:t>
            </w:r>
          </w:p>
        </w:tc>
        <w:tc>
          <w:tcPr>
            <w:tcW w:w="1695" w:type="dxa"/>
            <w:vAlign w:val="center"/>
          </w:tcPr>
          <w:p w14:paraId="0180FB72">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150</w:t>
            </w:r>
          </w:p>
        </w:tc>
        <w:tc>
          <w:tcPr>
            <w:tcW w:w="1336" w:type="dxa"/>
            <w:vMerge w:val="restart"/>
            <w:tcBorders>
              <w:bottom w:val="nil"/>
            </w:tcBorders>
            <w:vAlign w:val="center"/>
          </w:tcPr>
          <w:p w14:paraId="568BD2A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82.8</w:t>
            </w:r>
          </w:p>
        </w:tc>
      </w:tr>
      <w:tr w14:paraId="0CD82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continue"/>
            <w:tcBorders>
              <w:top w:val="nil"/>
              <w:bottom w:val="nil"/>
            </w:tcBorders>
            <w:vAlign w:val="center"/>
          </w:tcPr>
          <w:p w14:paraId="1A8BF93D">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0B50B0F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棚膜</w:t>
            </w:r>
          </w:p>
        </w:tc>
        <w:tc>
          <w:tcPr>
            <w:tcW w:w="2243" w:type="dxa"/>
            <w:vAlign w:val="center"/>
          </w:tcPr>
          <w:p w14:paraId="2FDFB95E">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1400</w:t>
            </w:r>
          </w:p>
        </w:tc>
        <w:tc>
          <w:tcPr>
            <w:tcW w:w="1032" w:type="dxa"/>
            <w:vAlign w:val="center"/>
          </w:tcPr>
          <w:p w14:paraId="602982DD">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6</w:t>
            </w:r>
          </w:p>
        </w:tc>
        <w:tc>
          <w:tcPr>
            <w:tcW w:w="1695" w:type="dxa"/>
            <w:vAlign w:val="center"/>
          </w:tcPr>
          <w:p w14:paraId="61C90915">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84</w:t>
            </w:r>
          </w:p>
        </w:tc>
        <w:tc>
          <w:tcPr>
            <w:tcW w:w="1336" w:type="dxa"/>
            <w:vMerge w:val="continue"/>
            <w:tcBorders>
              <w:top w:val="nil"/>
              <w:bottom w:val="nil"/>
            </w:tcBorders>
          </w:tcPr>
          <w:p w14:paraId="7190B511">
            <w:pPr>
              <w:widowControl w:val="0"/>
              <w:kinsoku/>
              <w:overflowPunct w:val="0"/>
              <w:topLinePunct/>
              <w:autoSpaceDE/>
              <w:autoSpaceDN/>
              <w:snapToGrid/>
              <w:spacing w:line="560" w:lineRule="atLeast"/>
              <w:ind w:firstLine="420" w:firstLineChars="200"/>
              <w:jc w:val="center"/>
              <w:rPr>
                <w:rFonts w:ascii="Times New Roman" w:hAnsi="Times New Roman" w:eastAsia="仿宋_GB2312" w:cs="Times New Roman"/>
              </w:rPr>
            </w:pPr>
          </w:p>
        </w:tc>
      </w:tr>
      <w:tr w14:paraId="57F26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318" w:type="dxa"/>
            <w:vMerge w:val="continue"/>
            <w:tcBorders>
              <w:top w:val="nil"/>
            </w:tcBorders>
            <w:vAlign w:val="center"/>
          </w:tcPr>
          <w:p w14:paraId="598AF96A">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p>
        </w:tc>
        <w:tc>
          <w:tcPr>
            <w:tcW w:w="1194" w:type="dxa"/>
            <w:vAlign w:val="center"/>
          </w:tcPr>
          <w:p w14:paraId="4326B68E">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棚内作物</w:t>
            </w:r>
          </w:p>
        </w:tc>
        <w:tc>
          <w:tcPr>
            <w:tcW w:w="2243" w:type="dxa"/>
            <w:vAlign w:val="center"/>
          </w:tcPr>
          <w:p w14:paraId="4FE709DF">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3000</w:t>
            </w:r>
          </w:p>
        </w:tc>
        <w:tc>
          <w:tcPr>
            <w:tcW w:w="1032" w:type="dxa"/>
            <w:vAlign w:val="center"/>
          </w:tcPr>
          <w:p w14:paraId="124CA216">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6</w:t>
            </w:r>
          </w:p>
        </w:tc>
        <w:tc>
          <w:tcPr>
            <w:tcW w:w="1695" w:type="dxa"/>
            <w:vAlign w:val="center"/>
          </w:tcPr>
          <w:p w14:paraId="7F8BBE01">
            <w:pPr>
              <w:widowControl w:val="0"/>
              <w:kinsoku/>
              <w:overflowPunct w:val="0"/>
              <w:topLinePunct/>
              <w:autoSpaceDE/>
              <w:autoSpaceDN/>
              <w:snapToGrid/>
              <w:spacing w:line="360" w:lineRule="exact"/>
              <w:jc w:val="center"/>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180</w:t>
            </w:r>
          </w:p>
        </w:tc>
        <w:tc>
          <w:tcPr>
            <w:tcW w:w="1336" w:type="dxa"/>
            <w:vMerge w:val="continue"/>
            <w:tcBorders>
              <w:top w:val="nil"/>
              <w:bottom w:val="nil"/>
            </w:tcBorders>
          </w:tcPr>
          <w:p w14:paraId="6477F854">
            <w:pPr>
              <w:widowControl w:val="0"/>
              <w:kinsoku/>
              <w:overflowPunct w:val="0"/>
              <w:topLinePunct/>
              <w:autoSpaceDE/>
              <w:autoSpaceDN/>
              <w:snapToGrid/>
              <w:spacing w:line="560" w:lineRule="atLeast"/>
              <w:ind w:firstLine="420" w:firstLineChars="200"/>
              <w:jc w:val="center"/>
              <w:rPr>
                <w:rFonts w:ascii="Times New Roman" w:hAnsi="Times New Roman" w:eastAsia="仿宋_GB2312" w:cs="Times New Roman"/>
              </w:rPr>
            </w:pPr>
          </w:p>
        </w:tc>
      </w:tr>
      <w:tr w14:paraId="13A69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318" w:type="dxa"/>
            <w:vAlign w:val="center"/>
          </w:tcPr>
          <w:p w14:paraId="0F099C4F">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合计</w:t>
            </w:r>
          </w:p>
        </w:tc>
        <w:tc>
          <w:tcPr>
            <w:tcW w:w="1194" w:type="dxa"/>
            <w:vAlign w:val="center"/>
          </w:tcPr>
          <w:p w14:paraId="34904FD4">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总保额</w:t>
            </w:r>
          </w:p>
        </w:tc>
        <w:tc>
          <w:tcPr>
            <w:tcW w:w="2243" w:type="dxa"/>
            <w:vAlign w:val="center"/>
          </w:tcPr>
          <w:p w14:paraId="74823A4D">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14400</w:t>
            </w:r>
          </w:p>
        </w:tc>
        <w:tc>
          <w:tcPr>
            <w:tcW w:w="1032" w:type="dxa"/>
            <w:vAlign w:val="center"/>
          </w:tcPr>
          <w:p w14:paraId="70CB1ECA">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总保费</w:t>
            </w:r>
          </w:p>
        </w:tc>
        <w:tc>
          <w:tcPr>
            <w:tcW w:w="1695" w:type="dxa"/>
            <w:vAlign w:val="center"/>
          </w:tcPr>
          <w:p w14:paraId="41128D1A">
            <w:pPr>
              <w:widowControl w:val="0"/>
              <w:kinsoku/>
              <w:overflowPunct w:val="0"/>
              <w:topLinePunct/>
              <w:autoSpaceDE/>
              <w:autoSpaceDN/>
              <w:snapToGrid/>
              <w:spacing w:line="360" w:lineRule="exact"/>
              <w:jc w:val="center"/>
              <w:rPr>
                <w:rFonts w:ascii="Times New Roman" w:hAnsi="Times New Roman" w:eastAsia="仿宋_GB2312" w:cs="Times New Roman"/>
                <w:b/>
                <w:bCs/>
                <w:sz w:val="24"/>
                <w:szCs w:val="24"/>
                <w:lang w:eastAsia="zh-CN"/>
              </w:rPr>
            </w:pPr>
            <w:r>
              <w:rPr>
                <w:rFonts w:ascii="Times New Roman" w:hAnsi="Times New Roman" w:eastAsia="仿宋_GB2312" w:cs="Times New Roman"/>
                <w:b/>
                <w:bCs/>
                <w:sz w:val="24"/>
                <w:szCs w:val="24"/>
                <w:lang w:eastAsia="zh-CN"/>
              </w:rPr>
              <w:t>414</w:t>
            </w:r>
          </w:p>
        </w:tc>
        <w:tc>
          <w:tcPr>
            <w:tcW w:w="1336" w:type="dxa"/>
            <w:vMerge w:val="continue"/>
            <w:tcBorders>
              <w:top w:val="nil"/>
            </w:tcBorders>
          </w:tcPr>
          <w:p w14:paraId="368DCD65">
            <w:pPr>
              <w:widowControl w:val="0"/>
              <w:kinsoku/>
              <w:overflowPunct w:val="0"/>
              <w:topLinePunct/>
              <w:autoSpaceDE/>
              <w:autoSpaceDN/>
              <w:snapToGrid/>
              <w:spacing w:line="560" w:lineRule="atLeast"/>
              <w:ind w:firstLine="420" w:firstLineChars="200"/>
              <w:jc w:val="center"/>
              <w:rPr>
                <w:rFonts w:ascii="Times New Roman" w:hAnsi="Times New Roman" w:eastAsia="仿宋_GB2312" w:cs="Times New Roman"/>
              </w:rPr>
            </w:pPr>
          </w:p>
        </w:tc>
      </w:tr>
    </w:tbl>
    <w:p w14:paraId="39052B2D">
      <w:pPr>
        <w:widowControl w:val="0"/>
        <w:kinsoku/>
        <w:overflowPunct w:val="0"/>
        <w:topLinePunct/>
        <w:autoSpaceDE/>
        <w:autoSpaceDN/>
        <w:snapToGrid/>
        <w:spacing w:line="560"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注：①温室内作物单位保险金额确定规则：种植非果类蔬菜（叶菜、根菜、茎菜、花菜等）每亩保额1000元；种植果类蔬菜、瓜类、果品每亩保额3000元；种植花卉、苗木、食用菌、育苗类每亩保额6000元；</w:t>
      </w:r>
      <w:r>
        <w:rPr>
          <w:rFonts w:ascii="Times New Roman" w:hAnsi="Times New Roman" w:eastAsia="仿宋_GB2312" w:cs="Times New Roman"/>
          <w:color w:val="auto"/>
          <w:sz w:val="32"/>
          <w:szCs w:val="32"/>
          <w:lang w:eastAsia="zh-CN"/>
        </w:rPr>
        <w:t>种植草莓、蓝莓、樱桃类每亩保额10000元。②全钢构高标准日光温室参考四档投保。</w:t>
      </w:r>
    </w:p>
    <w:p w14:paraId="0B95D14B">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养殖业保险金额及费率：按照投保标的生理价值，同时参照市场价格以及饲养成本合理确定。奶牛按不同等级品种、产奶量和市场价格差异区别投保，每头奶牛保险费率为5%，保险金额分别为10000元、8000元和6000元三个档次（保险金额10000元的，财政补贴400元，养殖户自缴保费100元；保险金额8000元的，财政补贴320元，养殖户自缴保费80元；保险金额6000元的，财政补贴240元，养殖户自缴保费60元标准缴纳），保险金额最高不得超过该品种奶牛市场价格的70%；每头能繁母猪的保险金额为1500元，保险费率6%（每头财政补贴72元，养殖户自缴保费18元）；每头育肥猪的保险金额为800元，保险费率5%（每头财政补贴32元，养殖户自缴保费8元）。</w:t>
      </w:r>
    </w:p>
    <w:p w14:paraId="6D837EAA">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w:t>
      </w:r>
      <w:r>
        <w:rPr>
          <w:rFonts w:ascii="Times New Roman" w:hAnsi="Times New Roman" w:eastAsia="仿宋_GB2312" w:cs="Times New Roman"/>
          <w:sz w:val="32"/>
          <w:szCs w:val="32"/>
          <w:lang w:val="en" w:eastAsia="zh-CN"/>
        </w:rPr>
        <w:t>.</w:t>
      </w:r>
      <w:r>
        <w:rPr>
          <w:rFonts w:ascii="Times New Roman" w:hAnsi="Times New Roman" w:eastAsia="仿宋_GB2312" w:cs="Times New Roman"/>
          <w:sz w:val="32"/>
          <w:szCs w:val="32"/>
          <w:lang w:eastAsia="zh-CN"/>
        </w:rPr>
        <w:t>森林保险金额及费率：公益林中的乔木林地每亩保险金额为1300元，灌木林地每亩保险金额为800元；商品林中的乔木林地每亩保险金额为1500元，灌木林地每亩保险金额为900元。保险费率中国人民财产保险股份有限公司敖汉旗支公司执行1.6‰，其他经办机构执行1.57‰。</w:t>
      </w:r>
    </w:p>
    <w:p w14:paraId="38A9DFA4">
      <w:pPr>
        <w:widowControl w:val="0"/>
        <w:kinsoku/>
        <w:overflowPunct w:val="0"/>
        <w:topLinePunct/>
        <w:autoSpaceDE/>
        <w:autoSpaceDN/>
        <w:snapToGrid/>
        <w:spacing w:line="578" w:lineRule="atLeas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（三）保险期限</w:t>
      </w:r>
    </w:p>
    <w:p w14:paraId="29C813F2">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1.种植业保险：自承保签单次日到2024年9月30日。</w:t>
      </w:r>
    </w:p>
    <w:p w14:paraId="5799A1F7">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2.温室、大棚保险：温室、大棚保险期限为一年。</w:t>
      </w:r>
    </w:p>
    <w:p w14:paraId="651764F8">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3.养殖业保险：能繁母猪、奶牛保险期限为一年，育肥猪保险期限为6个月。</w:t>
      </w:r>
    </w:p>
    <w:p w14:paraId="09C333AF">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4.森林保险：保险期限为一年。</w:t>
      </w:r>
    </w:p>
    <w:p w14:paraId="1C4D87AF">
      <w:pPr>
        <w:widowControl w:val="0"/>
        <w:kinsoku/>
        <w:overflowPunct w:val="0"/>
        <w:topLinePunct/>
        <w:autoSpaceDE/>
        <w:autoSpaceDN/>
        <w:snapToGrid/>
        <w:spacing w:line="578" w:lineRule="atLeas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（四）保险补贴分配比例</w:t>
      </w:r>
    </w:p>
    <w:p w14:paraId="3725B4FA">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1.种</w:t>
      </w:r>
      <w:r>
        <w:rPr>
          <w:rFonts w:ascii="Times New Roman" w:hAnsi="Times New Roman" w:eastAsia="仿宋_GB2312" w:cs="Times New Roman"/>
          <w:spacing w:val="-6"/>
          <w:sz w:val="32"/>
          <w:szCs w:val="32"/>
          <w:lang w:eastAsia="zh-CN"/>
        </w:rPr>
        <w:t>植业保险保费补贴比例。中央财政补贴45%，自治区财政补贴30%，市级和旗级分别补贴3%和2%，农户承担 20%。</w:t>
      </w:r>
    </w:p>
    <w:p w14:paraId="68D4DFF9">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6"/>
          <w:sz w:val="32"/>
          <w:szCs w:val="32"/>
          <w:lang w:eastAsia="zh-CN"/>
        </w:rPr>
        <w:t>温室、大棚保险保费补贴比例。自治区级财政补贴40%，市、旗两级共同补贴40%，温室、大棚种植户承担20%。</w:t>
      </w:r>
    </w:p>
    <w:p w14:paraId="4A870E3E">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3.奶牛保险保费补贴比例。中央财政补贴50%，自治区级财政补贴25%，市级、旗级财政补贴5%，其余20%的保费由农牧户或者农牧户与龙头企业共同承担。</w:t>
      </w:r>
    </w:p>
    <w:p w14:paraId="0764E9F2">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4.谷子保险保费补贴比例。自治区级财政补贴40%，市、旗两级共同补贴40%，其余20%的保费由农牧户或者农牧户与龙头企业共同承担。</w:t>
      </w:r>
    </w:p>
    <w:p w14:paraId="2AB07F15">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5.能繁</w:t>
      </w:r>
      <w:r>
        <w:rPr>
          <w:rFonts w:ascii="Times New Roman" w:hAnsi="Times New Roman" w:eastAsia="仿宋_GB2312" w:cs="Times New Roman"/>
          <w:spacing w:val="-6"/>
          <w:sz w:val="32"/>
          <w:szCs w:val="32"/>
          <w:lang w:eastAsia="zh-CN"/>
        </w:rPr>
        <w:t>母猪、育肥猪保险保费补贴比例。中央财政补贴50%，自治区级财政补贴20%，市级、旗级财政各补贴5%，其余20%的保费由农牧户承担或者由农牧户与龙头企业共同承担。</w:t>
      </w:r>
    </w:p>
    <w:p w14:paraId="24DC3B03">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6.森林保险保费补贴比例。公益林的中央财政补贴50%，自治区财政补贴32%，市级、旗级财政补贴18%；商品林的中央财政补贴30%，自治区财政补贴25%，市级、旗级财政补贴15%，经营者个人承担30%。</w:t>
      </w:r>
    </w:p>
    <w:p w14:paraId="7F6C4941">
      <w:pPr>
        <w:widowControl w:val="0"/>
        <w:kinsoku/>
        <w:overflowPunct w:val="0"/>
        <w:topLinePunct/>
        <w:autoSpaceDE/>
        <w:autoSpaceDN/>
        <w:snapToGrid/>
        <w:spacing w:line="578" w:lineRule="atLeast"/>
        <w:ind w:firstLine="640" w:firstLineChars="200"/>
        <w:jc w:val="both"/>
        <w:outlineLvl w:val="0"/>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7.制种保险保费补贴比例。中央财政补贴45%，自治区财政补贴35%，农户承担20%。</w:t>
      </w:r>
    </w:p>
    <w:p w14:paraId="13A4F8BB">
      <w:pPr>
        <w:widowControl w:val="0"/>
        <w:kinsoku/>
        <w:overflowPunct w:val="0"/>
        <w:topLinePunct/>
        <w:autoSpaceDE/>
        <w:autoSpaceDN/>
        <w:snapToGrid/>
        <w:spacing w:line="578" w:lineRule="atLeas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（五）理赔责任</w:t>
      </w:r>
    </w:p>
    <w:p w14:paraId="720BA357">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1.种植业保险。在保险期间内，由于暴雨、洪水（政府行蓄洪除外）、内涝、风灾、雹灾、高温、冻灾、旱灾、地震等自然灾害，泥石流、山体滑坡等地质灾害，以及火灾等意外事故，重大病虫鼠害、野生动物毁损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lang w:eastAsia="zh-CN"/>
        </w:rPr>
        <w:t>包括</w:t>
      </w:r>
      <w:r>
        <w:rPr>
          <w:rFonts w:ascii="Times New Roman" w:hAnsi="Times New Roman" w:eastAsia="仿宋_GB2312" w:cs="Times New Roman"/>
          <w:color w:val="auto"/>
          <w:sz w:val="32"/>
          <w:szCs w:val="32"/>
          <w:lang w:eastAsia="zh-CN"/>
        </w:rPr>
        <w:t>玉米制种因气象条件造成的花期不遇</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eastAsia="zh-CN"/>
        </w:rPr>
        <w:t>玉米种子质量严重下降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sz w:val="32"/>
          <w:szCs w:val="32"/>
          <w:lang w:eastAsia="zh-CN"/>
        </w:rPr>
        <w:t>造成保险农作物直接物质损坏或灭失且损失程度达到合同约定的起赔点，保险人负赔偿责任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重大病虫鼠害是指大范围发生的，经旗农牧局出具证明认定的病虫鼠害，起赔点为30%。野生动物毁损责任、火灾责任的起赔点为30%。</w:t>
      </w:r>
    </w:p>
    <w:p w14:paraId="25FF7CEF">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2.奶牛保险。在保险期间内，由于下列原因导致投保奶牛死亡，由保险经办机构应予以赔偿。</w:t>
      </w:r>
    </w:p>
    <w:p w14:paraId="1BA39970">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（1）重大病害：口蹄疫、布鲁氏菌病、牛结核病、牛焦虫病、炭疽、伪狂犬病、副结核病、牛传染性鼻气管炎、牛出血性 败血病、日本血吸虫病等疾病、疫病。</w:t>
      </w:r>
    </w:p>
    <w:p w14:paraId="489E44FA">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（2）自然灾害：暴雨、洪水（政府行蓄洪除外）、风灾</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雷击、地震、冰雹、冻灾。</w:t>
      </w:r>
    </w:p>
    <w:p w14:paraId="013AE9B2">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（3）意外事故：泥石流、山体滑坡、火灾、爆炸、建筑物倒塌、空中运行物体坠落。</w:t>
      </w:r>
    </w:p>
    <w:p w14:paraId="760A6355">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（4）发生高传染性疫病，政府实施强制扑杀。</w:t>
      </w:r>
    </w:p>
    <w:p w14:paraId="39436C62">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（5）在分娩过程中，因胎儿不能顺利娩出，造成子宫破裂或穿孔大出血。</w:t>
      </w:r>
    </w:p>
    <w:p w14:paraId="712E6C2A">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（6）产后72小时以内因患产后瘫痪或产后败血症，经积极治疗但仍无效。</w:t>
      </w:r>
    </w:p>
    <w:p w14:paraId="5996F8D9">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（7）经专家确诊为创伤性网胃炎或创伤性心包炎。</w:t>
      </w:r>
    </w:p>
    <w:p w14:paraId="2544C521">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3.能繁母猪保险、育肥猪保险。在投期间内，由于下列原因导致的投保能繁母猪、育肥猪死亡，由保险经办机构应予以赔偿。</w:t>
      </w:r>
    </w:p>
    <w:p w14:paraId="3C3D9DDB">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重大病害：猪丹毒、猪肺疫、猪水泡病、猪链球菌、猪乙型脑炎、附红细胞体病、伪狂犬病、猪细小病毒、猪传染性萎缩性鼻炎、猪支原体肺炎、旋毛虫病、猪囊尾蚴病、猪副伤寒、猪圆环病毒病、猪传染性胃肠炎、猪魏氏梭菌病、口蹄疫、猪瘟、非洲猪瘟、高致病性蓝耳病及其强制免疫副反应等疾病、疫病。</w:t>
      </w:r>
    </w:p>
    <w:p w14:paraId="3F2F3D35">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（2）自然灾害：暴雨、洪水（政府行蓄洪除外）、风灾、雷击、地震、冰雹、冻灾。</w:t>
      </w:r>
    </w:p>
    <w:p w14:paraId="567C00DE">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（3）意外事故：泥石流、山体滑坡、火灾、爆炸、建筑物倒塌、空中运行物体坠落。</w:t>
      </w:r>
    </w:p>
    <w:p w14:paraId="68730BC9">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（4）发生高传染性疫病，政府实施强制扑杀。</w:t>
      </w:r>
    </w:p>
    <w:p w14:paraId="6A4889E7">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温室、大棚保险。在保险期间内，由于雪灾、风灾（含龙卷风、暴风等）、雹灾、暴雨、洪涝、泥石流、山体滑坡造成投保温室的墙体、棚架、棚膜，保险大棚的棚架、棚膜，以及投保温室内或大棚内作物的经济损失，按照《自治区温室大棚及附加棚内作物保险条款》规定，予以赔偿。</w:t>
      </w:r>
    </w:p>
    <w:p w14:paraId="02D9D2CD">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5.森林保险。原则上为林木损失后的再植成本，包括灾害木清理、整地、种苗处理与施肥、挖坑、栽植、抚育管理到树木成活所需的一次性总费用</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在保期内因以人力无法抗拒的自然灾害为主，包括火灾、旱灾、病虫鼠兔害、暴雨、暴风、洪水、泥石流、冰雹、霜冻、暴雪、野生动物毁损，造成被保险林木流失、掩埋、主干折断、倒伏、烧毁、死亡等的损失，由保险经办机构按照《内蒙古自治区森林综合保险条款（2015修正版）》规定予以赔偿。</w:t>
      </w:r>
    </w:p>
    <w:p w14:paraId="7179F316">
      <w:pPr>
        <w:widowControl w:val="0"/>
        <w:kinsoku/>
        <w:overflowPunct w:val="0"/>
        <w:topLinePunct/>
        <w:autoSpaceDE/>
        <w:autoSpaceDN/>
        <w:snapToGrid/>
        <w:spacing w:line="578" w:lineRule="atLeast"/>
        <w:ind w:firstLine="640" w:firstLineChars="200"/>
        <w:jc w:val="both"/>
        <w:rPr>
          <w:rFonts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、承保要求及方式</w:t>
      </w:r>
    </w:p>
    <w:p w14:paraId="786C6BE2">
      <w:pPr>
        <w:widowControl w:val="0"/>
        <w:kinsoku/>
        <w:overflowPunct w:val="0"/>
        <w:topLinePunct/>
        <w:autoSpaceDE/>
        <w:autoSpaceDN/>
        <w:snapToGrid/>
        <w:spacing w:line="578" w:lineRule="atLeas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（一）承保要求</w:t>
      </w:r>
    </w:p>
    <w:p w14:paraId="2DA1FE76">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种植业保险。投保主体要以行政村、国营农牧林场投保为主，种植户也可以与农民专业合作社共同参与投保。对种植大户（300亩以上）、家庭农牧场、农民专业合作社等新型经营主体，要单独出具保险单。被保险人本着“自主自愿”的原则，投保农户必须是土地经营者或承包者，禁止单位和个人代替投保。按照实际种植面积投保，对于投保农作物面积超过本农户土地面积的，在承保时要附承包合同或土地流转合同；无承包合同或土地流转合同的，由村委会对所有投保农户核实投保品种、面积，准确无误后，出具确认证明。旗农林业保险领导小组办公室将组织有关部门对各乡镇苏木街道投保标的进行实地抽查核对，对违反投保要求和弄虚作假行为，保险公司不予办理投保手续，出现灾情不予理赔。</w:t>
      </w:r>
    </w:p>
    <w:p w14:paraId="495EB48F">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投保作物要求：水地玉米应为具备水源保证和灌溉设施，在农作物生长期内能正常灌溉的耕地视为水地（只能春季灌溉一次的“一水地”，按旱地玉米投保）；旱地玉米应为无任何灌溉条件的地块。被保险人应将符合条件的保险农作物全部投保，不得选择性投保。同时，不适宜种植玉米、水稻、马铃薯、向日葵、甜菜、棉花的地块不予投保。</w:t>
      </w:r>
    </w:p>
    <w:p w14:paraId="305233CD">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2.养殖业保险。奶牛、能繁母猪、育肥猪保险投保范围为全旗境内所有养殖户，且投保率达到100%。</w:t>
      </w:r>
    </w:p>
    <w:p w14:paraId="1B08611C">
      <w:pPr>
        <w:widowControl w:val="0"/>
        <w:kinsoku/>
        <w:overflowPunct w:val="0"/>
        <w:topLinePunct/>
        <w:autoSpaceDE/>
        <w:autoSpaceDN/>
        <w:snapToGrid/>
        <w:spacing w:line="578" w:lineRule="atLeas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（二）投保方式</w:t>
      </w:r>
    </w:p>
    <w:p w14:paraId="17401C7A">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1.由村委会、国营农牧林场组织投保，逐户核实农牧民投保品种、数量，负责收缴农牧户应承担的保险费。</w:t>
      </w:r>
    </w:p>
    <w:p w14:paraId="30AE6730">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村委会要按品种、数量填写投保分户清单，各项内容要详实准确；养殖业奶牛、能繁母猪、育肥猪必须登记投保标的耳标号，农牧户亲笔签名并按手印。对集体组织投保的，要实行被保险人签字制度。由于被保险人外出等原因本人无法签字的，经被保险人授权同意，可由他人代签，注明代签人身份信息，禁止他人模仿被保险人签字。对承保信息不实或不完整的农牧户，保险公司不予承保。</w:t>
      </w:r>
    </w:p>
    <w:p w14:paraId="04EF03C7">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各乡镇苏木街道负责对本辖区投保信息进行汇总，制定分户标的投保清单录制成电子文档，确保电子表格与《分户标的投保清单》中被保险人姓名、身份证号、“一卡通”账号、保险标的数量等信息完整一致。同时要严格按照规定地点、方式和时间进行承保信息公示，广泛接受社会监督。</w:t>
      </w:r>
    </w:p>
    <w:p w14:paraId="05FEA099">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经公示无异议后，各乡镇苏木街道将填写真实完整的《分户标的投保清单》，汇总报送至保险经办机构，保险经办机构及时组织人员进行实地验标后，将经办范围内承保情况汇总上报旗农林保险领导小组办公室。领导小组办公室依据投保情况，实地对投保标的抽查核实，核实无误后，由保险公司出具保险单。</w:t>
      </w:r>
    </w:p>
    <w:p w14:paraId="2D8F203F">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w:t>
      </w:r>
      <w:r>
        <w:rPr>
          <w:rFonts w:ascii="Times New Roman" w:hAnsi="Times New Roman" w:eastAsia="仿宋_GB2312" w:cs="Times New Roman"/>
          <w:spacing w:val="-6"/>
          <w:sz w:val="32"/>
          <w:szCs w:val="32"/>
          <w:lang w:eastAsia="zh-CN"/>
        </w:rPr>
        <w:t>采取以村委会、国营农牧林场为投保单位的投保业务。保险公司将保险单、分户标的保险清单、保险凭证，由乡镇苏木街道办、国营农牧林场及时组织，将凭证发放到参保农牧户。</w:t>
      </w:r>
    </w:p>
    <w:p w14:paraId="303AA85B">
      <w:pPr>
        <w:widowControl w:val="0"/>
        <w:kinsoku/>
        <w:overflowPunct w:val="0"/>
        <w:topLinePunct/>
        <w:autoSpaceDE/>
        <w:autoSpaceDN/>
        <w:snapToGrid/>
        <w:spacing w:line="578" w:lineRule="atLeas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（三）森林保险</w:t>
      </w:r>
    </w:p>
    <w:p w14:paraId="7B66AA31">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由旗林草局作为代理投保人统一投保，统一管理投保资金，统一标准恢复重建，及时编制灾后治理及植被恢复实施方案，严格灾后原地治理及原地植被恢复管理，对原灾害发生地无法进行灾后治理及植被恢复的，要逐级上报，待批准后实施异地造林。原树种为乔木的，必须恢复为乔木林地，原地树种是灌木的，可恢复为灌木、乔灌混交或乔木林地。</w:t>
      </w:r>
    </w:p>
    <w:p w14:paraId="0CA0A609">
      <w:pPr>
        <w:widowControl w:val="0"/>
        <w:kinsoku/>
        <w:overflowPunct w:val="0"/>
        <w:topLinePunct/>
        <w:autoSpaceDE/>
        <w:autoSpaceDN/>
        <w:snapToGrid/>
        <w:spacing w:line="578" w:lineRule="atLeast"/>
        <w:ind w:firstLine="640" w:firstLineChars="200"/>
        <w:jc w:val="both"/>
        <w:rPr>
          <w:rFonts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eastAsia="zh-CN"/>
        </w:rPr>
        <w:t>四、农林业保险理赔</w:t>
      </w:r>
    </w:p>
    <w:p w14:paraId="7E07AF87">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（一）理赔原则。</w:t>
      </w:r>
      <w:r>
        <w:rPr>
          <w:rFonts w:ascii="Times New Roman" w:hAnsi="Times New Roman" w:eastAsia="仿宋_GB2312" w:cs="Times New Roman"/>
          <w:sz w:val="32"/>
          <w:szCs w:val="32"/>
          <w:lang w:eastAsia="zh-CN"/>
        </w:rPr>
        <w:t>农林业保险经办机构必须严格按照《农业保险</w:t>
      </w:r>
      <w:r>
        <w:rPr>
          <w:rFonts w:hint="eastAsia" w:ascii="Times New Roman" w:hAnsi="Times New Roman" w:eastAsia="仿宋_GB2312" w:cs="Times New Roman"/>
          <w:sz w:val="32"/>
          <w:szCs w:val="32"/>
          <w:lang w:val="en-US" w:eastAsia="zh-CN"/>
        </w:rPr>
        <w:t>条例</w:t>
      </w:r>
      <w:r>
        <w:rPr>
          <w:rFonts w:ascii="Times New Roman" w:hAnsi="Times New Roman" w:eastAsia="仿宋_GB2312" w:cs="Times New Roman"/>
          <w:sz w:val="32"/>
          <w:szCs w:val="32"/>
          <w:lang w:eastAsia="zh-CN"/>
        </w:rPr>
        <w:t>》（国务院令第629号）、《农业保险承保理赔管理办法》（银保监规〔2022〕4号）和《内蒙古自治区森林综合保险条款（2022修正版）》规定的程序及时查勘、定损、理赔。参保奶牛因布鲁氏菌病、牛结核病疫情被政府实施捕杀，保险经办机构要按照保险金额扣减政府捕杀专项补贴金额后进行赔付。对因重大病害死亡的奶牛、能繁母猪、育肥猪，由旗畜牧防疫部门按照国家相关法律、法规进行无害化处理后，保险经办机构进行赔偿。杜绝出现平均发放或变相补贴现象。</w:t>
      </w:r>
    </w:p>
    <w:p w14:paraId="104F3C18">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（二）灾情报案。</w:t>
      </w:r>
      <w:r>
        <w:rPr>
          <w:rFonts w:ascii="Times New Roman" w:hAnsi="Times New Roman" w:eastAsia="仿宋_GB2312" w:cs="Times New Roman"/>
          <w:sz w:val="32"/>
          <w:szCs w:val="32"/>
          <w:lang w:eastAsia="zh-CN"/>
        </w:rPr>
        <w:t>灾情发生后，属于种植业领域的首先要向投保村委会报案，村委会初步核查灾情并汇总后，再向所属乡镇苏木综合保障和技术推广中心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街道</w:t>
      </w:r>
      <w:r>
        <w:rPr>
          <w:rFonts w:hint="eastAsia" w:ascii="Times New Roman" w:hAnsi="Times New Roman" w:eastAsia="仿宋_GB2312" w:cs="Times New Roman"/>
          <w:sz w:val="32"/>
          <w:szCs w:val="32"/>
          <w:lang w:eastAsia="zh-CN"/>
        </w:rPr>
        <w:t>办农业站）</w:t>
      </w:r>
      <w:r>
        <w:rPr>
          <w:rFonts w:ascii="Times New Roman" w:hAnsi="Times New Roman" w:eastAsia="仿宋_GB2312" w:cs="Times New Roman"/>
          <w:sz w:val="32"/>
          <w:szCs w:val="32"/>
          <w:lang w:eastAsia="zh-CN"/>
        </w:rPr>
        <w:t>报案；属于养殖业领域的要第一时间向乡镇苏木综合保障和技术推广中心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街道</w:t>
      </w:r>
      <w:r>
        <w:rPr>
          <w:rFonts w:hint="eastAsia" w:ascii="Times New Roman" w:hAnsi="Times New Roman" w:eastAsia="仿宋_GB2312" w:cs="Times New Roman"/>
          <w:sz w:val="32"/>
          <w:szCs w:val="32"/>
          <w:lang w:eastAsia="zh-CN"/>
        </w:rPr>
        <w:t>办农业站）</w:t>
      </w:r>
      <w:r>
        <w:rPr>
          <w:rFonts w:ascii="Times New Roman" w:hAnsi="Times New Roman" w:eastAsia="仿宋_GB2312" w:cs="Times New Roman"/>
          <w:sz w:val="32"/>
          <w:szCs w:val="32"/>
          <w:lang w:eastAsia="zh-CN"/>
        </w:rPr>
        <w:t>报案。森林灾害发生后，要分别向乡镇苏木综合保障和技术推广中心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街道</w:t>
      </w:r>
      <w:r>
        <w:rPr>
          <w:rFonts w:hint="eastAsia" w:ascii="Times New Roman" w:hAnsi="Times New Roman" w:eastAsia="仿宋_GB2312" w:cs="Times New Roman"/>
          <w:sz w:val="32"/>
          <w:szCs w:val="32"/>
          <w:lang w:eastAsia="zh-CN"/>
        </w:rPr>
        <w:t>办农业站）</w:t>
      </w:r>
      <w:r>
        <w:rPr>
          <w:rFonts w:ascii="Times New Roman" w:hAnsi="Times New Roman" w:eastAsia="仿宋_GB2312" w:cs="Times New Roman"/>
          <w:sz w:val="32"/>
          <w:szCs w:val="32"/>
          <w:lang w:eastAsia="zh-CN"/>
        </w:rPr>
        <w:t>、国有林场、旗林业和草原局报灾，然后向保险公司报案。上报灾情时，应如实写清楚被保险人名称、保单号码、受灾时间、受灾地点、受灾原因、损失标的数量或面积、受灾农户、损失程度、联系方式。对因未及时报案的，导致保险经办机构无法认定事故原因的，保险经办机构不予以赔偿。以下为相关机构联系方式：</w:t>
      </w:r>
    </w:p>
    <w:p w14:paraId="132DAC32">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中国人寿财产保险股份有限公司敖汉旗支公司报案电话：0476—4321333    13948768700</w:t>
      </w:r>
    </w:p>
    <w:p w14:paraId="1F4E4296">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中国大地财产保险股份有限公司敖汉旗营销服务部报案电话：0476—4345768    13848862187</w:t>
      </w:r>
    </w:p>
    <w:p w14:paraId="4D84938D">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中国太平洋财产保险股份有限公司敖汉旗支公司报案电话：0476—4300111    18748041172</w:t>
      </w:r>
    </w:p>
    <w:p w14:paraId="4C7B6832">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中国平安财产保险股份有限公司敖汉旗支公司报案电话：0476—2829090    15391051007</w:t>
      </w:r>
    </w:p>
    <w:p w14:paraId="12E1DA81">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中原农业保险股份有限公司敖汉旗支公司报案电话：0476—4488666  </w:t>
      </w:r>
      <w:r>
        <w:rPr>
          <w:rFonts w:hint="eastAsia" w:ascii="Times New Roman" w:hAnsi="Times New Roman" w:eastAsia="仿宋_GB2312" w:cs="Times New Roman"/>
          <w:sz w:val="32"/>
          <w:szCs w:val="32"/>
          <w:lang w:eastAsia="zh-CN"/>
        </w:rPr>
        <w:t xml:space="preserve">  </w:t>
      </w:r>
      <w:r>
        <w:rPr>
          <w:rFonts w:ascii="Times New Roman" w:hAnsi="Times New Roman" w:eastAsia="仿宋_GB2312" w:cs="Times New Roman"/>
          <w:sz w:val="32"/>
          <w:szCs w:val="32"/>
          <w:lang w:eastAsia="zh-CN"/>
        </w:rPr>
        <w:t>13404875000</w:t>
      </w:r>
    </w:p>
    <w:p w14:paraId="56DB2E27">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（三）查勘定损。</w:t>
      </w:r>
      <w:r>
        <w:rPr>
          <w:rFonts w:ascii="Times New Roman" w:hAnsi="Times New Roman" w:eastAsia="仿宋_GB2312" w:cs="Times New Roman"/>
          <w:sz w:val="32"/>
          <w:szCs w:val="32"/>
          <w:lang w:eastAsia="zh-CN"/>
        </w:rPr>
        <w:t>保险公司接案后，要及时协调农牧林气象专业技术人员与乡镇苏木街道查勘实际受灾地块，经与被保险人沟通协商，核定保险标的受损情况。养殖业出险后，保险经办机构要监督被保险人进行无害化处理，否则不予理赔。</w:t>
      </w:r>
    </w:p>
    <w:p w14:paraId="03380DC0">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（四）索赔材料。</w:t>
      </w:r>
      <w:r>
        <w:rPr>
          <w:rFonts w:ascii="Times New Roman" w:hAnsi="Times New Roman" w:eastAsia="仿宋_GB2312" w:cs="Times New Roman"/>
          <w:sz w:val="32"/>
          <w:szCs w:val="32"/>
          <w:lang w:eastAsia="zh-CN"/>
        </w:rPr>
        <w:t>被保险人申请保险经办机构赔偿时，应提交以下书面理赔材料：保险单、发票正本复印件，据实填写受灾农户、养殖户损失清单，由受灾户签字确认；旗农牧局、林草局出具的损失鉴定，旗气象局出具的灾害事故程度证明；以养殖场为单位填写理赔申请书和损失清单及保险经办机构要求的其他证明材料。</w:t>
      </w:r>
    </w:p>
    <w:p w14:paraId="03E3F1C8">
      <w:pPr>
        <w:widowControl w:val="0"/>
        <w:kinsoku/>
        <w:overflowPunct w:val="0"/>
        <w:topLinePunct/>
        <w:autoSpaceDE/>
        <w:autoSpaceDN/>
        <w:snapToGrid/>
        <w:spacing w:line="578" w:lineRule="atLeas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（五）理赔公示及赔款发放。</w:t>
      </w:r>
      <w:r>
        <w:rPr>
          <w:rFonts w:ascii="Times New Roman" w:hAnsi="Times New Roman" w:eastAsia="仿宋_GB2312" w:cs="Times New Roman"/>
          <w:sz w:val="32"/>
          <w:szCs w:val="32"/>
          <w:lang w:eastAsia="zh-CN"/>
        </w:rPr>
        <w:t>保险经办机构在兑现理赔前，以村委会、国营农牧林场为单位投保的要将受灾情况、赔付标准、赔付金额予以公示，时间为3天，无异议后10日内将理赔资金通过“一卡通”直接支付给受灾农户。对公益林保险理赔的，保险经办机构要直接支付到旗林草局公益林保险理赔资金账户，由旗林草局组织进行灾害治理、植被恢复，保险理赔资金必须专款专用。</w:t>
      </w:r>
    </w:p>
    <w:p w14:paraId="08CD031C">
      <w:pPr>
        <w:widowControl w:val="0"/>
        <w:kinsoku/>
        <w:overflowPunct w:val="0"/>
        <w:topLinePunct/>
        <w:autoSpaceDE/>
        <w:autoSpaceDN/>
        <w:snapToGrid/>
        <w:spacing w:line="578" w:lineRule="atLeast"/>
        <w:ind w:firstLine="640" w:firstLineChars="200"/>
        <w:jc w:val="both"/>
        <w:rPr>
          <w:rFonts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eastAsia="zh-CN"/>
        </w:rPr>
        <w:t>五、工作保障</w:t>
      </w:r>
    </w:p>
    <w:p w14:paraId="75409309">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（一）充分宣传发动。</w:t>
      </w:r>
      <w:r>
        <w:rPr>
          <w:rFonts w:hint="eastAsia" w:ascii="Times New Roman" w:hAnsi="Times New Roman" w:eastAsia="仿宋_GB2312" w:cs="Times New Roman"/>
          <w:sz w:val="32"/>
          <w:szCs w:val="32"/>
          <w:lang w:eastAsia="zh-CN"/>
        </w:rPr>
        <w:t>各乡镇项目街道、各有关部门</w:t>
      </w:r>
      <w:r>
        <w:rPr>
          <w:rFonts w:ascii="Times New Roman" w:hAnsi="Times New Roman" w:eastAsia="仿宋_GB2312" w:cs="Times New Roman"/>
          <w:sz w:val="32"/>
          <w:szCs w:val="32"/>
          <w:lang w:eastAsia="zh-CN"/>
        </w:rPr>
        <w:t>要</w:t>
      </w:r>
      <w:r>
        <w:rPr>
          <w:rFonts w:hint="eastAsia" w:ascii="Times New Roman" w:hAnsi="Times New Roman" w:eastAsia="仿宋_GB2312" w:cs="Times New Roman"/>
          <w:sz w:val="32"/>
          <w:szCs w:val="32"/>
          <w:lang w:eastAsia="zh-CN"/>
        </w:rPr>
        <w:t>充分</w:t>
      </w:r>
      <w:r>
        <w:rPr>
          <w:rFonts w:ascii="Times New Roman" w:hAnsi="Times New Roman" w:eastAsia="仿宋_GB2312" w:cs="Times New Roman"/>
          <w:sz w:val="32"/>
          <w:szCs w:val="32"/>
          <w:lang w:eastAsia="zh-CN"/>
        </w:rPr>
        <w:t>利用报纸、广播、电视和网络等媒体向广大农牧民宣传《农业保险</w:t>
      </w:r>
      <w:r>
        <w:rPr>
          <w:rFonts w:hint="eastAsia" w:ascii="Times New Roman" w:hAnsi="Times New Roman" w:eastAsia="仿宋_GB2312" w:cs="Times New Roman"/>
          <w:sz w:val="32"/>
          <w:szCs w:val="32"/>
          <w:lang w:val="en-US" w:eastAsia="zh-CN"/>
        </w:rPr>
        <w:t>条例</w:t>
      </w:r>
      <w:bookmarkStart w:id="0" w:name="_GoBack"/>
      <w:bookmarkEnd w:id="0"/>
      <w:r>
        <w:rPr>
          <w:rFonts w:ascii="Times New Roman" w:hAnsi="Times New Roman" w:eastAsia="仿宋_GB2312" w:cs="Times New Roman"/>
          <w:sz w:val="32"/>
          <w:szCs w:val="32"/>
          <w:lang w:eastAsia="zh-CN"/>
        </w:rPr>
        <w:t>》及相关政策，做到家喻户晓、不留死角，提高农牧民投保积极性。</w:t>
      </w:r>
    </w:p>
    <w:p w14:paraId="41A89966">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（二）全面调查摸底。</w:t>
      </w:r>
      <w:r>
        <w:rPr>
          <w:rFonts w:ascii="Times New Roman" w:hAnsi="Times New Roman" w:eastAsia="仿宋_GB2312" w:cs="Times New Roman"/>
          <w:sz w:val="32"/>
          <w:szCs w:val="32"/>
          <w:lang w:eastAsia="zh-CN"/>
        </w:rPr>
        <w:t>保险经办机构和各乡镇苏木街道要深入村、组，对补贴品种情况进行摸底，落实投保数量，确定投保形式，开展承保业务。</w:t>
      </w:r>
    </w:p>
    <w:p w14:paraId="64463E59">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（三）认真组织实施。</w:t>
      </w:r>
      <w:r>
        <w:rPr>
          <w:rFonts w:ascii="Times New Roman" w:hAnsi="Times New Roman" w:eastAsia="仿宋_GB2312" w:cs="Times New Roman"/>
          <w:sz w:val="32"/>
          <w:szCs w:val="32"/>
          <w:lang w:eastAsia="zh-CN"/>
        </w:rPr>
        <w:t>各乡镇苏木街道要组织好本辖区保险承保工作，及时将投保资料上报到承保机构，协调承保机构及时与农牧户进行保险签单。</w:t>
      </w:r>
    </w:p>
    <w:p w14:paraId="1A0E3AFF">
      <w:pPr>
        <w:widowControl w:val="0"/>
        <w:kinsoku/>
        <w:overflowPunct w:val="0"/>
        <w:topLinePunct/>
        <w:autoSpaceDE/>
        <w:autoSpaceDN/>
        <w:snapToGrid/>
        <w:spacing w:line="578" w:lineRule="exact"/>
        <w:ind w:firstLine="640" w:firstLineChars="200"/>
        <w:jc w:val="both"/>
        <w:rPr>
          <w:rFonts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eastAsia="zh-CN"/>
        </w:rPr>
        <w:t>六、领导组织及工作职责</w:t>
      </w:r>
    </w:p>
    <w:p w14:paraId="54169622">
      <w:pPr>
        <w:widowControl w:val="0"/>
        <w:kinsoku/>
        <w:overflowPunct w:val="0"/>
        <w:topLinePunct/>
        <w:autoSpaceDE/>
        <w:autoSpaceDN/>
        <w:snapToGrid/>
        <w:spacing w:line="578"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（一）成立领导组织</w:t>
      </w:r>
    </w:p>
    <w:p w14:paraId="2A9ADCB7">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成立敖汉旗</w:t>
      </w:r>
      <w:r>
        <w:rPr>
          <w:rFonts w:ascii="Times New Roman" w:hAnsi="Times New Roman" w:eastAsia="仿宋_GB2312" w:cs="Times New Roman"/>
          <w:sz w:val="32"/>
          <w:szCs w:val="32"/>
          <w:lang w:val="en" w:eastAsia="zh-CN"/>
        </w:rPr>
        <w:t>2</w:t>
      </w:r>
      <w:r>
        <w:rPr>
          <w:rFonts w:ascii="Times New Roman" w:hAnsi="Times New Roman" w:eastAsia="仿宋_GB2312" w:cs="Times New Roman"/>
          <w:sz w:val="32"/>
          <w:szCs w:val="32"/>
          <w:lang w:eastAsia="zh-CN"/>
        </w:rPr>
        <w:t>024年政策性农林保险参保工作领导小组，组成人员名单如下。</w:t>
      </w:r>
    </w:p>
    <w:p w14:paraId="56300947">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hint="eastAsia" w:ascii="CESI黑体-GB2312" w:hAnsi="CESI黑体-GB2312" w:eastAsia="CESI黑体-GB2312" w:cs="CESI黑体-GB2312"/>
          <w:sz w:val="32"/>
          <w:szCs w:val="32"/>
          <w:lang w:eastAsia="zh-CN"/>
        </w:rPr>
        <w:t>组  长：</w:t>
      </w:r>
      <w:r>
        <w:rPr>
          <w:rFonts w:ascii="Times New Roman" w:hAnsi="Times New Roman" w:eastAsia="仿宋_GB2312" w:cs="Times New Roman"/>
          <w:sz w:val="32"/>
          <w:szCs w:val="32"/>
          <w:lang w:eastAsia="zh-CN"/>
        </w:rPr>
        <w:t>季旭东</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旗政府副旗长</w:t>
      </w:r>
    </w:p>
    <w:p w14:paraId="71C8CBC5">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CESI黑体-GB2312" w:hAnsi="CESI黑体-GB2312" w:eastAsia="CESI黑体-GB2312" w:cs="CESI黑体-GB2312"/>
          <w:sz w:val="32"/>
          <w:szCs w:val="32"/>
          <w:lang w:eastAsia="zh-CN"/>
        </w:rPr>
        <w:t>成  员</w:t>
      </w:r>
      <w:r>
        <w:rPr>
          <w:rFonts w:hint="eastAsia" w:ascii="CESI黑体-GB2312" w:hAnsi="CESI黑体-GB2312" w:eastAsia="CESI黑体-GB2312" w:cs="CESI黑体-GB2312"/>
          <w:sz w:val="32"/>
          <w:szCs w:val="32"/>
          <w:lang w:eastAsia="zh-CN"/>
        </w:rPr>
        <w:t>：</w:t>
      </w:r>
      <w:r>
        <w:rPr>
          <w:rFonts w:ascii="Times New Roman" w:hAnsi="Times New Roman" w:eastAsia="仿宋_GB2312" w:cs="Times New Roman"/>
          <w:sz w:val="32"/>
          <w:szCs w:val="32"/>
          <w:lang w:eastAsia="zh-CN"/>
        </w:rPr>
        <w:t>王银泽</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旗政府办副主任</w:t>
      </w:r>
    </w:p>
    <w:p w14:paraId="2342DD66">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祁英飞</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旗财政局局长</w:t>
      </w:r>
    </w:p>
    <w:p w14:paraId="60C0B79E">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陈向民</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旗审计局局长</w:t>
      </w:r>
    </w:p>
    <w:p w14:paraId="20F935A9">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刘佰华</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旗统计局局长</w:t>
      </w:r>
    </w:p>
    <w:p w14:paraId="637F5A45">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张旭东</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旗林草局局长</w:t>
      </w:r>
    </w:p>
    <w:p w14:paraId="73158BD9">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赵金华</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旗气象局局长</w:t>
      </w:r>
    </w:p>
    <w:p w14:paraId="5337078F">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任旭东</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旗金融监督管理支局局长</w:t>
      </w:r>
    </w:p>
    <w:p w14:paraId="59FE2F1A">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经志民</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旗农牧局副局长</w:t>
      </w:r>
    </w:p>
    <w:p w14:paraId="1CCC89A9">
      <w:pPr>
        <w:widowControl w:val="0"/>
        <w:kinsoku/>
        <w:overflowPunct w:val="0"/>
        <w:topLinePunct/>
        <w:autoSpaceDE/>
        <w:autoSpaceDN/>
        <w:snapToGrid/>
        <w:spacing w:line="578" w:lineRule="exact"/>
        <w:ind w:firstLine="1939" w:firstLineChars="606"/>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张宝东</w:t>
      </w:r>
      <w:r>
        <w:rPr>
          <w:rFonts w:hint="eastAsia" w:ascii="Times New Roman" w:hAnsi="Times New Roman" w:eastAsia="仿宋_GB2312" w:cs="Times New Roman"/>
          <w:sz w:val="32"/>
          <w:szCs w:val="32"/>
          <w:lang w:eastAsia="zh-CN"/>
        </w:rPr>
        <w:t>　</w:t>
      </w:r>
      <w:r>
        <w:rPr>
          <w:rFonts w:ascii="Times New Roman" w:hAnsi="Times New Roman" w:eastAsia="仿宋_GB2312" w:cs="Times New Roman"/>
          <w:sz w:val="32"/>
          <w:szCs w:val="32"/>
          <w:lang w:eastAsia="zh-CN"/>
        </w:rPr>
        <w:t>旗林草局副局长</w:t>
      </w:r>
    </w:p>
    <w:p w14:paraId="050B0639">
      <w:pPr>
        <w:widowControl w:val="0"/>
        <w:kinsoku/>
        <w:overflowPunct w:val="0"/>
        <w:topLinePunct/>
        <w:autoSpaceDE/>
        <w:autoSpaceDN/>
        <w:snapToGrid/>
        <w:spacing w:line="578" w:lineRule="exact"/>
        <w:ind w:firstLine="1920" w:firstLineChars="6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各乡镇苏木人民政府主要负责人、各街道办主任</w:t>
      </w:r>
    </w:p>
    <w:p w14:paraId="6D9D1465">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领导小组下设办公室</w:t>
      </w:r>
      <w:r>
        <w:rPr>
          <w:rFonts w:hint="eastAsia" w:ascii="Times New Roman" w:hAnsi="Times New Roman" w:eastAsia="仿宋_GB2312" w:cs="Times New Roman"/>
          <w:sz w:val="32"/>
          <w:szCs w:val="32"/>
          <w:lang w:eastAsia="zh-CN"/>
        </w:rPr>
        <w:t>下设</w:t>
      </w:r>
      <w:r>
        <w:rPr>
          <w:rFonts w:ascii="Times New Roman" w:hAnsi="Times New Roman" w:eastAsia="仿宋_GB2312" w:cs="Times New Roman"/>
          <w:sz w:val="32"/>
          <w:szCs w:val="32"/>
          <w:lang w:eastAsia="zh-CN"/>
        </w:rPr>
        <w:t>农业保险办公室</w:t>
      </w:r>
      <w:r>
        <w:rPr>
          <w:rFonts w:hint="eastAsia" w:ascii="Times New Roman" w:hAnsi="Times New Roman" w:eastAsia="仿宋_GB2312" w:cs="Times New Roman"/>
          <w:sz w:val="32"/>
          <w:szCs w:val="32"/>
          <w:lang w:eastAsia="zh-CN"/>
        </w:rPr>
        <w:t>和</w:t>
      </w:r>
      <w:r>
        <w:rPr>
          <w:rFonts w:ascii="Times New Roman" w:hAnsi="Times New Roman" w:eastAsia="仿宋_GB2312" w:cs="Times New Roman"/>
          <w:sz w:val="32"/>
          <w:szCs w:val="32"/>
          <w:lang w:eastAsia="zh-CN"/>
        </w:rPr>
        <w:t>森林保险办公室，农业保险办公室设在旗农牧局，主任：经志民（兼）；森林保险办公室设在旗林草局，办公室主任：张宝东（兼）。</w:t>
      </w:r>
      <w:r>
        <w:rPr>
          <w:rFonts w:ascii="Times New Roman" w:hAnsi="Times New Roman" w:eastAsia="仿宋_GB2312" w:cs="Times New Roman"/>
          <w:sz w:val="32"/>
          <w:szCs w:val="32"/>
          <w:lang w:val="en" w:eastAsia="zh-CN"/>
        </w:rPr>
        <w:t>2</w:t>
      </w:r>
      <w:r>
        <w:rPr>
          <w:rFonts w:ascii="Times New Roman" w:hAnsi="Times New Roman" w:eastAsia="仿宋_GB2312" w:cs="Times New Roman"/>
          <w:sz w:val="32"/>
          <w:szCs w:val="32"/>
          <w:lang w:eastAsia="zh-CN"/>
        </w:rPr>
        <w:t>024年</w:t>
      </w:r>
      <w:r>
        <w:rPr>
          <w:rFonts w:hint="eastAsia" w:ascii="Times New Roman" w:hAnsi="Times New Roman" w:eastAsia="仿宋_GB2312" w:cs="Times New Roman"/>
          <w:sz w:val="32"/>
          <w:szCs w:val="32"/>
          <w:lang w:eastAsia="zh-CN"/>
        </w:rPr>
        <w:t>度全旗</w:t>
      </w:r>
      <w:r>
        <w:rPr>
          <w:rFonts w:ascii="Times New Roman" w:hAnsi="Times New Roman" w:eastAsia="仿宋_GB2312" w:cs="Times New Roman"/>
          <w:sz w:val="32"/>
          <w:szCs w:val="32"/>
          <w:lang w:eastAsia="zh-CN"/>
        </w:rPr>
        <w:t>政策性农林保险参保工作</w:t>
      </w:r>
      <w:r>
        <w:rPr>
          <w:rFonts w:hint="eastAsia" w:ascii="Times New Roman" w:hAnsi="Times New Roman" w:eastAsia="仿宋_GB2312" w:cs="Times New Roman"/>
          <w:sz w:val="32"/>
          <w:szCs w:val="32"/>
          <w:lang w:eastAsia="zh-CN"/>
        </w:rPr>
        <w:t>结束后，领导小组自行撤销。</w:t>
      </w:r>
    </w:p>
    <w:p w14:paraId="1DF75A7C">
      <w:pPr>
        <w:widowControl w:val="0"/>
        <w:kinsoku/>
        <w:overflowPunct w:val="0"/>
        <w:topLinePunct/>
        <w:autoSpaceDE/>
        <w:autoSpaceDN/>
        <w:snapToGrid/>
        <w:spacing w:line="578"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（二）工作职责</w:t>
      </w:r>
    </w:p>
    <w:p w14:paraId="39D44734">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旗农牧局、林草局负责领导小组办公室日常工作，做好防灾减灾工作，要充分发挥专业优势，为政策性保险经办机构提供相关技术服务。</w:t>
      </w:r>
    </w:p>
    <w:p w14:paraId="771D9034">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旗财政局、审计局负责完善保费补贴政策，发挥必要的综合协调作用，加强保费补贴资金监管，确保补贴资金及时足额到位。</w:t>
      </w:r>
    </w:p>
    <w:p w14:paraId="3A7E96AA">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旗统计局负责提供农业保险经营机构开办业务所需的统计数据。</w:t>
      </w:r>
    </w:p>
    <w:p w14:paraId="391E028B">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旗金融监督管理支局加强农业保险业务监管，指导承保机构依法合规展业。</w:t>
      </w:r>
    </w:p>
    <w:p w14:paraId="1BCFC747">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旗气象局负责提供气象资料和参保标的灾害测定数据、灾情评估及相关证明，配合相关部门、保险经办机构建立生产防灾预警机制和开展防灾防损工作。</w:t>
      </w:r>
    </w:p>
    <w:p w14:paraId="2B19DC01">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各乡镇苏木街道负责组织各村委会对辖区内的农户自愿投保保费的收缴、统计核实公示，将经公示无异议后相关材料提交保险经办机构办理参保手续。同时，做好农业保险的宣传、发动、投保数据、资料收集工作；做好发生灾害事故的报案、协助查勘、定损和理赔资料的收集上报、协助理赔等工作；做到“五公开、三到户”，切实让党的惠民政策惠及千家万户。</w:t>
      </w:r>
    </w:p>
    <w:p w14:paraId="5630657F">
      <w:pPr>
        <w:widowControl w:val="0"/>
        <w:kinsoku/>
        <w:overflowPunct w:val="0"/>
        <w:topLinePunct/>
        <w:autoSpaceDE/>
        <w:autoSpaceDN/>
        <w:snapToGrid/>
        <w:spacing w:line="578"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（三）严格监督检查</w:t>
      </w:r>
    </w:p>
    <w:p w14:paraId="7F91A780">
      <w:pPr>
        <w:widowControl w:val="0"/>
        <w:kinsoku/>
        <w:overflowPunct w:val="0"/>
        <w:topLinePunct/>
        <w:autoSpaceDE/>
        <w:autoSpaceDN/>
        <w:snapToGrid/>
        <w:spacing w:line="578"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领导小组要组织有关部门对各乡镇苏木街道农林保险保费补贴工作情况进行监督和检查，重点农林保险承保、理赔、公示等工作开展情况，及时纠正和解决农林保险实施过程中出现的各类问题，维护好参保农牧户的切身利益。在签单承保和受灾理赔的关键时期，要组织人员深入基层检查和指导，自觉接受群众的民主监督和新闻媒体的舆论监督。定期深入乡镇苏木街道、嘎查村、种养户中宣传农林保险政策，对签订保单、查勘定损、理赔等环节工作进行专项检查，及时解决工作中存在的问题。</w:t>
      </w:r>
    </w:p>
    <w:p w14:paraId="3956DC9C">
      <w:pPr>
        <w:widowControl w:val="0"/>
        <w:kinsoku/>
        <w:overflowPunct w:val="0"/>
        <w:topLinePunct/>
        <w:autoSpaceDE/>
        <w:autoSpaceDN/>
        <w:snapToGrid/>
        <w:spacing w:line="578" w:lineRule="exact"/>
        <w:ind w:firstLine="420" w:firstLineChars="200"/>
        <w:rPr>
          <w:rFonts w:ascii="Times New Roman" w:hAnsi="Times New Roman" w:eastAsia="仿宋_GB2312" w:cs="Times New Roman"/>
          <w:lang w:eastAsia="zh-CN"/>
        </w:rPr>
      </w:pPr>
    </w:p>
    <w:p w14:paraId="11222319">
      <w:pPr>
        <w:widowControl w:val="0"/>
        <w:kinsoku/>
        <w:overflowPunct w:val="0"/>
        <w:topLinePunct/>
        <w:autoSpaceDE/>
        <w:autoSpaceDN/>
        <w:snapToGrid/>
        <w:spacing w:line="560" w:lineRule="atLeast"/>
        <w:ind w:firstLine="420" w:firstLineChars="200"/>
        <w:rPr>
          <w:rFonts w:ascii="Times New Roman" w:hAnsi="Times New Roman" w:eastAsia="仿宋_GB2312" w:cs="Times New Roman"/>
          <w:lang w:eastAsia="zh-CN"/>
        </w:rPr>
      </w:pPr>
    </w:p>
    <w:p w14:paraId="702FDFB6">
      <w:pPr>
        <w:widowControl w:val="0"/>
        <w:kinsoku/>
        <w:overflowPunct w:val="0"/>
        <w:topLinePunct/>
        <w:autoSpaceDE/>
        <w:autoSpaceDN/>
        <w:snapToGrid/>
        <w:spacing w:line="560" w:lineRule="atLeast"/>
        <w:ind w:firstLine="420" w:firstLineChars="200"/>
        <w:rPr>
          <w:rFonts w:ascii="Times New Roman" w:hAnsi="Times New Roman" w:eastAsia="仿宋_GB2312" w:cs="Times New Roman"/>
          <w:lang w:eastAsia="zh-CN"/>
        </w:rPr>
      </w:pPr>
    </w:p>
    <w:p w14:paraId="25B91908">
      <w:pPr>
        <w:widowControl w:val="0"/>
        <w:kinsoku/>
        <w:overflowPunct w:val="0"/>
        <w:topLinePunct/>
        <w:autoSpaceDE/>
        <w:autoSpaceDN/>
        <w:snapToGrid/>
        <w:spacing w:line="560" w:lineRule="atLeast"/>
        <w:ind w:firstLine="420" w:firstLineChars="200"/>
        <w:rPr>
          <w:rFonts w:ascii="Times New Roman" w:hAnsi="Times New Roman" w:eastAsia="仿宋_GB2312" w:cs="Times New Roman"/>
          <w:lang w:eastAsia="zh-CN"/>
        </w:rPr>
      </w:pPr>
    </w:p>
    <w:p w14:paraId="342BF51B">
      <w:pPr>
        <w:widowControl w:val="0"/>
        <w:kinsoku/>
        <w:overflowPunct w:val="0"/>
        <w:topLinePunct/>
        <w:autoSpaceDE/>
        <w:autoSpaceDN/>
        <w:snapToGrid/>
        <w:spacing w:line="560" w:lineRule="atLeast"/>
        <w:ind w:firstLine="420" w:firstLineChars="200"/>
        <w:rPr>
          <w:rFonts w:ascii="Times New Roman" w:hAnsi="Times New Roman" w:eastAsia="仿宋_GB2312" w:cs="Times New Roman"/>
          <w:lang w:eastAsia="zh-CN"/>
        </w:rPr>
      </w:pPr>
    </w:p>
    <w:p w14:paraId="7F4E5E82">
      <w:pPr>
        <w:widowControl w:val="0"/>
        <w:kinsoku/>
        <w:overflowPunct w:val="0"/>
        <w:topLinePunct/>
        <w:autoSpaceDE/>
        <w:autoSpaceDN/>
        <w:snapToGrid/>
        <w:spacing w:line="560" w:lineRule="atLeast"/>
        <w:rPr>
          <w:rFonts w:ascii="Times New Roman" w:hAnsi="Times New Roman" w:eastAsia="仿宋_GB2312" w:cs="Times New Roman"/>
          <w:lang w:eastAsia="zh-CN"/>
        </w:rPr>
      </w:pPr>
    </w:p>
    <w:p w14:paraId="67EA59A3">
      <w:pPr>
        <w:widowControl w:val="0"/>
        <w:kinsoku/>
        <w:overflowPunct w:val="0"/>
        <w:topLinePunct/>
        <w:autoSpaceDE/>
        <w:autoSpaceDN/>
        <w:snapToGrid/>
        <w:spacing w:line="560" w:lineRule="atLeast"/>
        <w:rPr>
          <w:rFonts w:ascii="Times New Roman" w:hAnsi="Times New Roman" w:eastAsia="仿宋_GB2312" w:cs="Times New Roman"/>
          <w:lang w:eastAsia="zh-CN"/>
        </w:rPr>
      </w:pPr>
    </w:p>
    <w:p w14:paraId="4AE8444D">
      <w:pPr>
        <w:widowControl w:val="0"/>
        <w:kinsoku/>
        <w:overflowPunct w:val="0"/>
        <w:topLinePunct/>
        <w:autoSpaceDE/>
        <w:autoSpaceDN/>
        <w:snapToGrid/>
        <w:spacing w:line="560" w:lineRule="atLeast"/>
        <w:rPr>
          <w:rFonts w:ascii="Times New Roman" w:hAnsi="Times New Roman" w:eastAsia="仿宋_GB2312" w:cs="Times New Roman"/>
          <w:lang w:eastAsia="zh-CN"/>
        </w:rPr>
      </w:pPr>
    </w:p>
    <w:p w14:paraId="6C644C7D">
      <w:pPr>
        <w:widowControl w:val="0"/>
        <w:kinsoku/>
        <w:overflowPunct w:val="0"/>
        <w:topLinePunct/>
        <w:autoSpaceDE/>
        <w:autoSpaceDN/>
        <w:snapToGrid/>
        <w:spacing w:line="560" w:lineRule="atLeast"/>
        <w:rPr>
          <w:rFonts w:ascii="Times New Roman" w:hAnsi="Times New Roman" w:eastAsia="仿宋_GB2312" w:cs="Times New Roman"/>
          <w:lang w:eastAsia="zh-CN"/>
        </w:rPr>
      </w:pPr>
    </w:p>
    <w:p w14:paraId="696D5C5F">
      <w:pPr>
        <w:widowControl w:val="0"/>
        <w:kinsoku/>
        <w:overflowPunct w:val="0"/>
        <w:topLinePunct/>
        <w:autoSpaceDE/>
        <w:autoSpaceDN/>
        <w:snapToGrid/>
        <w:spacing w:line="560" w:lineRule="atLeast"/>
        <w:rPr>
          <w:rFonts w:ascii="Times New Roman" w:hAnsi="Times New Roman" w:eastAsia="仿宋_GB2312" w:cs="Times New Roman"/>
          <w:lang w:eastAsia="zh-CN"/>
        </w:rPr>
      </w:pPr>
    </w:p>
    <w:p w14:paraId="6F4FB34C">
      <w:pPr>
        <w:widowControl w:val="0"/>
        <w:kinsoku/>
        <w:overflowPunct w:val="0"/>
        <w:topLinePunct/>
        <w:autoSpaceDE/>
        <w:autoSpaceDN/>
        <w:snapToGrid/>
        <w:spacing w:line="560" w:lineRule="atLeast"/>
        <w:rPr>
          <w:rFonts w:ascii="Times New Roman" w:hAnsi="Times New Roman" w:eastAsia="仿宋_GB2312" w:cs="Times New Roman"/>
          <w:lang w:eastAsia="zh-CN"/>
        </w:rPr>
      </w:pPr>
    </w:p>
    <w:p w14:paraId="28522EAB">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6EB00D1A">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109A01F2">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2F331A0C">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435E7727">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14A1030D">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6C9C9B40">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4CFF7886">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65FF1C23">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0AB99CC3">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2DB6F72B">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1345B358">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024C7D2E">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2438EDE0">
      <w:pPr>
        <w:pStyle w:val="8"/>
        <w:widowControl w:val="0"/>
        <w:kinsoku/>
        <w:spacing w:line="560" w:lineRule="exact"/>
        <w:ind w:firstLine="0" w:firstLineChars="0"/>
        <w:rPr>
          <w:rFonts w:ascii="Times New Roman" w:hAnsi="Times New Roman" w:eastAsia="仿宋_GB2312" w:cs="Times New Roman"/>
          <w:sz w:val="32"/>
          <w:szCs w:val="32"/>
          <w:lang w:eastAsia="zh-CN"/>
        </w:rPr>
      </w:pPr>
    </w:p>
    <w:p w14:paraId="760F31E3">
      <w:pPr>
        <w:pStyle w:val="8"/>
        <w:widowControl w:val="0"/>
        <w:tabs>
          <w:tab w:val="left" w:pos="3687"/>
        </w:tabs>
        <w:kinsoku/>
        <w:spacing w:line="560" w:lineRule="exact"/>
        <w:ind w:firstLine="0" w:firstLineChars="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ab/>
      </w:r>
    </w:p>
    <w:p w14:paraId="40E61C63">
      <w:pPr>
        <w:pStyle w:val="8"/>
        <w:widowControl w:val="0"/>
        <w:kinsoku/>
        <w:spacing w:line="560" w:lineRule="exact"/>
        <w:ind w:firstLine="0" w:firstLineChars="0"/>
        <w:rPr>
          <w:rFonts w:ascii="Times New Roman" w:hAnsi="Times New Roman" w:eastAsia="仿宋_GB2312" w:cs="Times New Roman"/>
          <w:sz w:val="32"/>
          <w:szCs w:val="32"/>
          <w:lang w:eastAsia="zh-CN"/>
        </w:rPr>
      </w:pPr>
    </w:p>
    <w:tbl>
      <w:tblPr>
        <w:tblStyle w:val="11"/>
        <w:tblpPr w:leftFromText="180" w:rightFromText="180" w:vertAnchor="text" w:horzAnchor="page" w:tblpXSpec="center" w:tblpY="286"/>
        <w:tblOverlap w:val="never"/>
        <w:tblW w:w="8849" w:type="dxa"/>
        <w:jc w:val="center"/>
        <w:tblBorders>
          <w:top w:val="single" w:color="000000" w:sz="6" w:space="0"/>
          <w:left w:val="none" w:color="auto" w:sz="0" w:space="0"/>
          <w:bottom w:val="single" w:color="000000" w:sz="6"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8849"/>
      </w:tblGrid>
      <w:tr w14:paraId="09042C57">
        <w:tblPrEx>
          <w:tblBorders>
            <w:top w:val="single" w:color="000000" w:sz="6" w:space="0"/>
            <w:left w:val="none" w:color="auto" w:sz="0" w:space="0"/>
            <w:bottom w:val="single" w:color="000000" w:sz="6"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86" w:hRule="atLeast"/>
          <w:jc w:val="center"/>
        </w:trPr>
        <w:tc>
          <w:tcPr>
            <w:tcW w:w="8849" w:type="dxa"/>
            <w:tcBorders>
              <w:tl2br w:val="nil"/>
              <w:tr2bl w:val="nil"/>
            </w:tcBorders>
            <w:vAlign w:val="center"/>
          </w:tcPr>
          <w:p w14:paraId="5A2B4474">
            <w:pPr>
              <w:widowControl w:val="0"/>
              <w:kinsoku/>
              <w:autoSpaceDE/>
              <w:autoSpaceDN/>
              <w:adjustRightInd/>
              <w:snapToGrid/>
              <w:spacing w:line="400" w:lineRule="exact"/>
              <w:ind w:firstLine="280" w:firstLineChars="100"/>
              <w:textAlignment w:val="auto"/>
              <w:rPr>
                <w:rFonts w:ascii="Times New Roman" w:hAnsi="Times New Roman" w:eastAsia="仿宋_GB2312" w:cs="Times New Roman"/>
                <w:sz w:val="28"/>
                <w:szCs w:val="28"/>
                <w:lang w:eastAsia="zh-CN"/>
              </w:rPr>
            </w:pPr>
            <w:r>
              <w:rPr>
                <w:rFonts w:ascii="Times New Roman" w:hAnsi="Times New Roman" w:eastAsia="仿宋_GB2312" w:cs="Times New Roman"/>
                <w:sz w:val="28"/>
                <w:szCs w:val="28"/>
                <w:lang w:eastAsia="zh-CN"/>
              </w:rPr>
              <w:t>抄送：旗委办，旗人大常委会办公室，政协办。</w:t>
            </w:r>
          </w:p>
        </w:tc>
      </w:tr>
      <w:tr w14:paraId="1F5A9ED9">
        <w:tblPrEx>
          <w:tblBorders>
            <w:top w:val="single" w:color="000000" w:sz="6" w:space="0"/>
            <w:left w:val="none" w:color="auto" w:sz="0" w:space="0"/>
            <w:bottom w:val="single" w:color="000000" w:sz="6"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5" w:hRule="atLeast"/>
          <w:jc w:val="center"/>
        </w:trPr>
        <w:tc>
          <w:tcPr>
            <w:tcW w:w="8849" w:type="dxa"/>
            <w:tcBorders>
              <w:tl2br w:val="nil"/>
              <w:tr2bl w:val="nil"/>
            </w:tcBorders>
            <w:vAlign w:val="center"/>
          </w:tcPr>
          <w:p w14:paraId="0B894292">
            <w:pPr>
              <w:widowControl w:val="0"/>
              <w:kinsoku/>
              <w:autoSpaceDE/>
              <w:autoSpaceDN/>
              <w:adjustRightInd/>
              <w:snapToGrid/>
              <w:spacing w:line="400" w:lineRule="exact"/>
              <w:ind w:firstLine="280" w:firstLineChars="100"/>
              <w:textAlignment w:val="auto"/>
              <w:rPr>
                <w:rFonts w:ascii="Times New Roman" w:hAnsi="Times New Roman" w:eastAsia="仿宋_GB2312" w:cs="Times New Roman"/>
                <w:sz w:val="28"/>
                <w:szCs w:val="28"/>
                <w:lang w:eastAsia="zh-CN"/>
              </w:rPr>
            </w:pPr>
            <w:r>
              <w:rPr>
                <w:rFonts w:ascii="Times New Roman" w:hAnsi="Times New Roman" w:eastAsia="仿宋_GB2312" w:cs="Times New Roman"/>
                <w:sz w:val="28"/>
                <w:szCs w:val="28"/>
                <w:lang w:eastAsia="zh-CN"/>
              </w:rPr>
              <w:t xml:space="preserve">敖汉旗人民政府办公室                </w:t>
            </w:r>
            <w:r>
              <w:rPr>
                <w:rFonts w:hint="eastAsia" w:ascii="Times New Roman" w:hAnsi="Times New Roman" w:eastAsia="仿宋_GB2312" w:cs="Times New Roman"/>
                <w:sz w:val="28"/>
                <w:szCs w:val="28"/>
                <w:lang w:eastAsia="zh-CN"/>
              </w:rPr>
              <w:t xml:space="preserve">                       </w:t>
            </w:r>
            <w:r>
              <w:rPr>
                <w:rFonts w:ascii="Times New Roman" w:hAnsi="Times New Roman" w:eastAsia="仿宋_GB2312" w:cs="Times New Roman"/>
                <w:sz w:val="28"/>
                <w:szCs w:val="28"/>
                <w:lang w:eastAsia="zh-CN"/>
              </w:rPr>
              <w:t xml:space="preserve">  202</w:t>
            </w:r>
            <w:r>
              <w:rPr>
                <w:rFonts w:hint="eastAsia" w:ascii="Times New Roman" w:hAnsi="Times New Roman" w:eastAsia="仿宋_GB2312" w:cs="Times New Roman"/>
                <w:sz w:val="28"/>
                <w:szCs w:val="28"/>
                <w:lang w:eastAsia="zh-CN"/>
              </w:rPr>
              <w:t>4</w:t>
            </w:r>
            <w:r>
              <w:rPr>
                <w:rFonts w:ascii="Times New Roman" w:hAnsi="Times New Roman" w:eastAsia="仿宋_GB2312" w:cs="Times New Roman"/>
                <w:sz w:val="28"/>
                <w:szCs w:val="28"/>
                <w:lang w:eastAsia="zh-CN"/>
              </w:rPr>
              <w:t>年</w:t>
            </w:r>
            <w:r>
              <w:rPr>
                <w:rFonts w:hint="eastAsia" w:ascii="Times New Roman" w:hAnsi="Times New Roman" w:eastAsia="仿宋_GB2312" w:cs="Times New Roman"/>
                <w:sz w:val="28"/>
                <w:szCs w:val="28"/>
                <w:lang w:eastAsia="zh-CN"/>
              </w:rPr>
              <w:t>5</w:t>
            </w:r>
            <w:r>
              <w:rPr>
                <w:rFonts w:ascii="Times New Roman" w:hAnsi="Times New Roman" w:eastAsia="仿宋_GB2312" w:cs="Times New Roman"/>
                <w:sz w:val="28"/>
                <w:szCs w:val="28"/>
                <w:lang w:eastAsia="zh-CN"/>
              </w:rPr>
              <w:t>月</w:t>
            </w:r>
            <w:r>
              <w:rPr>
                <w:rFonts w:hint="eastAsia" w:ascii="Times New Roman" w:hAnsi="Times New Roman" w:eastAsia="仿宋_GB2312" w:cs="Times New Roman"/>
                <w:sz w:val="28"/>
                <w:szCs w:val="28"/>
                <w:lang w:eastAsia="zh-CN"/>
              </w:rPr>
              <w:t>23</w:t>
            </w:r>
            <w:r>
              <w:rPr>
                <w:rFonts w:ascii="Times New Roman" w:hAnsi="Times New Roman" w:eastAsia="仿宋_GB2312" w:cs="Times New Roman"/>
                <w:sz w:val="28"/>
                <w:szCs w:val="28"/>
                <w:lang w:eastAsia="zh-CN"/>
              </w:rPr>
              <w:t>日印发</w:t>
            </w:r>
          </w:p>
        </w:tc>
      </w:tr>
    </w:tbl>
    <w:p w14:paraId="1496D90C">
      <w:pPr>
        <w:pStyle w:val="5"/>
        <w:widowControl w:val="0"/>
        <w:kinsoku/>
        <w:overflowPunct w:val="0"/>
        <w:topLinePunct/>
        <w:autoSpaceDE/>
        <w:autoSpaceDN/>
        <w:snapToGrid/>
        <w:spacing w:line="14" w:lineRule="exact"/>
        <w:ind w:firstLine="420" w:firstLineChars="200"/>
        <w:rPr>
          <w:rFonts w:ascii="Times New Roman" w:hAnsi="Times New Roman" w:eastAsia="仿宋_GB2312" w:cs="Times New Roman"/>
          <w:lang w:eastAsia="zh-CN"/>
        </w:rPr>
      </w:pPr>
    </w:p>
    <w:sectPr>
      <w:footerReference r:id="rId7" w:type="default"/>
      <w:pgSz w:w="11906" w:h="16839"/>
      <w:pgMar w:top="2098" w:right="1531" w:bottom="1984" w:left="1531" w:header="0" w:footer="1443" w:gutter="0"/>
      <w:pgNumType w:fmt="numberInDash"/>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5949EC4-1C04-45DF-BCBB-744DD925494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2FAC9487-481F-4201-9AC1-38681AF1D3F5}"/>
  </w:font>
  <w:font w:name="仿宋_GB2312">
    <w:panose1 w:val="02010609030101010101"/>
    <w:charset w:val="86"/>
    <w:family w:val="modern"/>
    <w:pitch w:val="default"/>
    <w:sig w:usb0="00000001" w:usb1="080E0000" w:usb2="00000000" w:usb3="00000000" w:csb0="00040000" w:csb1="00000000"/>
    <w:embedRegular r:id="rId3" w:fontKey="{AF3B1804-CBEC-48A2-8CA0-9DCE1891691B}"/>
  </w:font>
  <w:font w:name="CESI黑体-GB2312">
    <w:altName w:val="黑体"/>
    <w:panose1 w:val="00000000000000000000"/>
    <w:charset w:val="86"/>
    <w:family w:val="auto"/>
    <w:pitch w:val="default"/>
    <w:sig w:usb0="00000000" w:usb1="00000000" w:usb2="00000012" w:usb3="00000000" w:csb0="0004000F" w:csb1="00000000"/>
    <w:embedRegular r:id="rId4" w:fontKey="{CE62B5A5-240A-4044-8395-8509FE36768E}"/>
  </w:font>
  <w:font w:name="楷体_GB2312">
    <w:panose1 w:val="02010609030101010101"/>
    <w:charset w:val="86"/>
    <w:family w:val="modern"/>
    <w:pitch w:val="default"/>
    <w:sig w:usb0="00000001" w:usb1="080E0000" w:usb2="00000000" w:usb3="00000000" w:csb0="00040000" w:csb1="00000000"/>
    <w:embedRegular r:id="rId5" w:fontKey="{CD482A19-33E0-4AF6-8804-D03D1CE59A5F}"/>
  </w:font>
  <w:font w:name="KSOFBDAA233C">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6345F">
    <w:pPr>
      <w:widowControl w:val="0"/>
      <w:spacing w:line="1" w:lineRule="exact"/>
    </w:pPr>
    <w:r>
      <w:rPr>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8EC4E">
                          <w:pPr>
                            <w:pStyle w:val="6"/>
                          </w:pPr>
                          <w:r>
                            <w:fldChar w:fldCharType="begin"/>
                          </w:r>
                          <w:r>
                            <w:instrText xml:space="preserve"> PAGE  \* MERGEFORMAT </w:instrText>
                          </w:r>
                          <w:r>
                            <w:fldChar w:fldCharType="separate"/>
                          </w:r>
                          <w:r>
                            <w:t>- 147 -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B58EC4E">
                    <w:pPr>
                      <w:pStyle w:val="6"/>
                    </w:pPr>
                    <w:r>
                      <w:fldChar w:fldCharType="begin"/>
                    </w:r>
                    <w:r>
                      <w:instrText xml:space="preserve"> PAGE  \* MERGEFORMAT </w:instrText>
                    </w:r>
                    <w:r>
                      <w:fldChar w:fldCharType="separate"/>
                    </w:r>
                    <w:r>
                      <w:t>- 147 -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6571E">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1ADF">
    <w:pPr>
      <w:pStyle w:val="6"/>
    </w:pPr>
    <w:r>
      <w:rPr>
        <w:lang w:eastAsia="zh-C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FC0C1">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8FFC0C1">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7997">
    <w:pPr>
      <w:widowControl w:val="0"/>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07A6C">
    <w:pPr>
      <w:widowControl w:val="0"/>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NThlMDJhNzg0YjAzZTE1OTBkMzhiOTgzNzBlMmRlMTMifQ=="/>
  </w:docVars>
  <w:rsids>
    <w:rsidRoot w:val="004916C1"/>
    <w:rsid w:val="000E7206"/>
    <w:rsid w:val="004916C1"/>
    <w:rsid w:val="00E11915"/>
    <w:rsid w:val="03B865CF"/>
    <w:rsid w:val="059B15E9"/>
    <w:rsid w:val="06E72E5D"/>
    <w:rsid w:val="0BEE0758"/>
    <w:rsid w:val="0FFE255B"/>
    <w:rsid w:val="1213282A"/>
    <w:rsid w:val="14904B4F"/>
    <w:rsid w:val="14B1457F"/>
    <w:rsid w:val="17162468"/>
    <w:rsid w:val="184F26DA"/>
    <w:rsid w:val="19892B64"/>
    <w:rsid w:val="1C974673"/>
    <w:rsid w:val="246A0F18"/>
    <w:rsid w:val="270A3A8A"/>
    <w:rsid w:val="28441A80"/>
    <w:rsid w:val="2DCF52C8"/>
    <w:rsid w:val="36341386"/>
    <w:rsid w:val="3C145EE2"/>
    <w:rsid w:val="412065EA"/>
    <w:rsid w:val="43503578"/>
    <w:rsid w:val="48036E0A"/>
    <w:rsid w:val="4B7B4262"/>
    <w:rsid w:val="4BF47196"/>
    <w:rsid w:val="4C1344D9"/>
    <w:rsid w:val="4E691CE2"/>
    <w:rsid w:val="53C44028"/>
    <w:rsid w:val="54930906"/>
    <w:rsid w:val="593D739E"/>
    <w:rsid w:val="5BB4249E"/>
    <w:rsid w:val="5CDEE939"/>
    <w:rsid w:val="5D915822"/>
    <w:rsid w:val="67CB3049"/>
    <w:rsid w:val="69924742"/>
    <w:rsid w:val="6FE79AC8"/>
    <w:rsid w:val="707E1833"/>
    <w:rsid w:val="71914080"/>
    <w:rsid w:val="72A945B8"/>
    <w:rsid w:val="756C2D59"/>
    <w:rsid w:val="75F145C2"/>
    <w:rsid w:val="7B426C07"/>
    <w:rsid w:val="7C2D19A1"/>
    <w:rsid w:val="FBFA126E"/>
    <w:rsid w:val="FDEE5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keepNext/>
      <w:keepLines/>
      <w:spacing w:line="560" w:lineRule="exact"/>
      <w:jc w:val="center"/>
      <w:outlineLvl w:val="0"/>
    </w:pPr>
    <w:rPr>
      <w:rFonts w:ascii="方正小标宋简体" w:hAnsi="方正小标宋简体" w:eastAsia="方正小标宋简体" w:cs="方正小标宋简体"/>
      <w:b/>
      <w:kern w:val="44"/>
      <w:sz w:val="44"/>
      <w:szCs w:val="44"/>
    </w:rPr>
  </w:style>
  <w:style w:type="paragraph" w:styleId="2">
    <w:name w:val="heading 2"/>
    <w:basedOn w:val="1"/>
    <w:next w:val="1"/>
    <w:qFormat/>
    <w:uiPriority w:val="0"/>
    <w:pPr>
      <w:keepNext/>
      <w:keepLines/>
      <w:spacing w:before="260" w:after="260" w:line="413" w:lineRule="auto"/>
      <w:outlineLvl w:val="1"/>
    </w:pPr>
    <w:rPr>
      <w:rFonts w:eastAsia="黑体"/>
      <w:sz w:val="32"/>
    </w:rPr>
  </w:style>
  <w:style w:type="paragraph" w:styleId="4">
    <w:name w:val="heading 4"/>
    <w:basedOn w:val="1"/>
    <w:next w:val="1"/>
    <w:qFormat/>
    <w:uiPriority w:val="0"/>
    <w:pPr>
      <w:keepNext/>
      <w:keepLines/>
      <w:spacing w:before="240"/>
      <w:outlineLvl w:val="3"/>
    </w:pPr>
    <w:rPr>
      <w:rFonts w:eastAsia="黑体"/>
      <w:bCs/>
      <w:sz w:val="2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4"/>
    <w:semiHidden/>
    <w:qFormat/>
    <w:uiPriority w:val="0"/>
  </w:style>
  <w:style w:type="paragraph" w:styleId="6">
    <w:name w:val="footer"/>
    <w:basedOn w:val="1"/>
    <w:qFormat/>
    <w:uiPriority w:val="0"/>
    <w:pPr>
      <w:tabs>
        <w:tab w:val="center" w:pos="4153"/>
        <w:tab w:val="right" w:pos="8306"/>
      </w:tabs>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Body Text First Indent"/>
    <w:basedOn w:val="5"/>
    <w:unhideWhenUsed/>
    <w:qFormat/>
    <w:uiPriority w:val="99"/>
    <w:pPr>
      <w:ind w:firstLine="420" w:firstLineChars="1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Times New Roman" w:hAnsi="Times New Roman" w:eastAsia="Times New Roman" w:cs="Times New Roman"/>
      <w:sz w:val="24"/>
      <w:szCs w:val="24"/>
    </w:rPr>
  </w:style>
  <w:style w:type="paragraph" w:customStyle="1" w:styleId="13">
    <w:name w:val="Body text|2"/>
    <w:basedOn w:val="1"/>
    <w:qFormat/>
    <w:uiPriority w:val="0"/>
    <w:pPr>
      <w:widowControl w:val="0"/>
      <w:spacing w:after="580"/>
      <w:jc w:val="center"/>
    </w:pPr>
    <w:rPr>
      <w:rFonts w:ascii="宋体" w:hAnsi="宋体" w:eastAsia="宋体" w:cs="宋体"/>
      <w:sz w:val="42"/>
      <w:szCs w:val="4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1009</Words>
  <Characters>1051</Characters>
  <Lines>58</Lines>
  <Paragraphs>16</Paragraphs>
  <TotalTime>2</TotalTime>
  <ScaleCrop>false</ScaleCrop>
  <LinksUpToDate>false</LinksUpToDate>
  <CharactersWithSpaces>1060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2024-06-19T01:29:00Z</dcterms:created>
  <dc:creator>xt256.com</dc:creator>
  <cp:lastModifiedBy>你过来我不打死你</cp:lastModifiedBy>
  <cp:lastPrinted>2024-05-24T17:52:00Z</cp:lastPrinted>
  <dcterms:modified xsi:type="dcterms:W3CDTF">2026-06-29T07:14:57Z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2024-05-16T11:15:54Z</vt:filetime>
  </property>
  <property fmtid="{D5CDD505-2E9C-101B-9397-08002B2CF9AE}" pid="4" name="KSOProductBuildVer">
    <vt:lpwstr>2052-12.1.0.26895</vt:lpwstr>
  </property>
  <property fmtid="{D5CDD505-2E9C-101B-9397-08002B2CF9AE}" pid="5" name="ICV">
    <vt:lpwstr>BFE50F2893664496A2194A1054BCC19F_13</vt:lpwstr>
  </property>
  <property fmtid="{D5CDD505-2E9C-101B-9397-08002B2CF9AE}" pid="6" name="KSOTemplateDocerSaveRecord">
    <vt:lpwstr>eyJoZGlkIjoiYmQ4NGE2OTU2Zjc1MTNhMGEwZDkyNTFkZDZjZjEyNzAiLCJ1c2VySWQiOiIyNTQ5NDgyMjgifQ==</vt:lpwstr>
  </property>
</Properties>
</file>