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8F1245">
      <w:pPr>
        <w:widowControl/>
        <w:topLinePunct/>
        <w:adjustRightInd/>
        <w:snapToGrid/>
        <w:spacing w:line="800" w:lineRule="exact"/>
        <w:ind w:left="-240" w:leftChars="-100" w:right="-240" w:rightChars="-100" w:firstLine="0" w:firstLineChars="0"/>
        <w:jc w:val="center"/>
        <w:rPr>
          <w:rFonts w:hint="eastAsia" w:ascii="宋体" w:hAnsi="宋体" w:eastAsia="宋体" w:cs="宋体"/>
          <w:b/>
          <w:sz w:val="40"/>
          <w:szCs w:val="40"/>
          <w:lang w:val="en-US" w:eastAsia="zh-CN"/>
        </w:rPr>
      </w:pPr>
    </w:p>
    <w:p w14:paraId="0669424D">
      <w:pPr>
        <w:widowControl/>
        <w:topLinePunct/>
        <w:adjustRightInd/>
        <w:snapToGrid/>
        <w:spacing w:line="800" w:lineRule="exact"/>
        <w:ind w:left="-240" w:leftChars="-100" w:right="-240" w:rightChars="-100" w:firstLine="0" w:firstLineChars="0"/>
        <w:jc w:val="center"/>
        <w:rPr>
          <w:rFonts w:hint="eastAsia" w:ascii="宋体" w:hAnsi="宋体" w:eastAsia="宋体" w:cs="宋体"/>
          <w:b/>
          <w:sz w:val="40"/>
          <w:szCs w:val="40"/>
          <w:lang w:val="en-US" w:eastAsia="zh-CN"/>
        </w:rPr>
      </w:pPr>
    </w:p>
    <w:p w14:paraId="53EF52A7">
      <w:pPr>
        <w:widowControl/>
        <w:topLinePunct/>
        <w:adjustRightInd/>
        <w:snapToGrid/>
        <w:spacing w:line="800" w:lineRule="exact"/>
        <w:ind w:left="-240" w:leftChars="-100" w:right="-240" w:rightChars="-100" w:firstLine="0" w:firstLineChars="0"/>
        <w:jc w:val="center"/>
        <w:rPr>
          <w:rFonts w:hint="eastAsia" w:ascii="宋体" w:hAnsi="宋体" w:eastAsia="宋体" w:cs="宋体"/>
          <w:b/>
          <w:sz w:val="40"/>
          <w:szCs w:val="40"/>
          <w:lang w:val="en-US" w:eastAsia="zh-CN"/>
        </w:rPr>
      </w:pPr>
    </w:p>
    <w:p w14:paraId="153223E6">
      <w:pPr>
        <w:widowControl/>
        <w:topLinePunct/>
        <w:adjustRightInd/>
        <w:snapToGrid/>
        <w:spacing w:line="800" w:lineRule="exact"/>
        <w:ind w:left="-240" w:leftChars="-100" w:right="-240" w:rightChars="-100" w:firstLine="0" w:firstLineChars="0"/>
        <w:jc w:val="center"/>
        <w:rPr>
          <w:rFonts w:hint="default" w:ascii="宋体" w:hAnsi="宋体" w:eastAsia="宋体" w:cs="宋体"/>
          <w:b/>
          <w:sz w:val="40"/>
          <w:szCs w:val="40"/>
          <w:lang w:val="en-US" w:eastAsia="zh-CN"/>
        </w:rPr>
      </w:pPr>
      <w:r>
        <w:rPr>
          <w:rFonts w:hint="eastAsia" w:ascii="宋体" w:hAnsi="宋体" w:eastAsia="宋体" w:cs="宋体"/>
          <w:b/>
          <w:sz w:val="40"/>
          <w:szCs w:val="40"/>
          <w:lang w:val="en-US" w:eastAsia="zh-CN"/>
        </w:rPr>
        <w:t>202</w:t>
      </w:r>
      <w:r>
        <w:rPr>
          <w:rFonts w:hint="eastAsia" w:ascii="宋体" w:hAnsi="宋体" w:cs="宋体"/>
          <w:b/>
          <w:sz w:val="40"/>
          <w:szCs w:val="40"/>
          <w:lang w:val="en-US" w:eastAsia="zh-CN"/>
        </w:rPr>
        <w:t>6</w:t>
      </w:r>
      <w:r>
        <w:rPr>
          <w:rFonts w:hint="eastAsia" w:ascii="宋体" w:hAnsi="宋体" w:eastAsia="宋体" w:cs="宋体"/>
          <w:b/>
          <w:sz w:val="40"/>
          <w:szCs w:val="40"/>
          <w:lang w:val="en-US" w:eastAsia="zh-CN"/>
        </w:rPr>
        <w:t>年度</w:t>
      </w:r>
      <w:r>
        <w:rPr>
          <w:rFonts w:hint="eastAsia" w:ascii="宋体" w:hAnsi="宋体" w:cs="宋体"/>
          <w:b/>
          <w:sz w:val="40"/>
          <w:szCs w:val="40"/>
          <w:lang w:val="en-US" w:eastAsia="zh-CN"/>
        </w:rPr>
        <w:t>内蒙古金陶股份有限公司金厂沟梁金矿</w:t>
      </w:r>
    </w:p>
    <w:p w14:paraId="222E1233">
      <w:pPr>
        <w:widowControl/>
        <w:topLinePunct/>
        <w:adjustRightInd/>
        <w:snapToGrid/>
        <w:spacing w:line="800" w:lineRule="exact"/>
        <w:ind w:left="-240" w:leftChars="-100" w:right="-240" w:rightChars="-100" w:firstLine="0" w:firstLineChars="0"/>
        <w:jc w:val="center"/>
        <w:rPr>
          <w:rFonts w:hint="default" w:ascii="宋体" w:hAnsi="宋体" w:eastAsia="宋体" w:cs="宋体"/>
          <w:b/>
          <w:kern w:val="0"/>
          <w:sz w:val="44"/>
          <w:szCs w:val="44"/>
          <w:lang w:val="en-US" w:eastAsia="zh-CN"/>
        </w:rPr>
      </w:pPr>
      <w:r>
        <w:rPr>
          <w:rFonts w:hint="eastAsia" w:ascii="宋体" w:hAnsi="宋体" w:eastAsia="宋体" w:cs="宋体"/>
          <w:b/>
          <w:sz w:val="40"/>
          <w:szCs w:val="40"/>
        </w:rPr>
        <w:t>矿山地质环境治理</w:t>
      </w:r>
      <w:r>
        <w:rPr>
          <w:rFonts w:hint="eastAsia" w:ascii="宋体" w:hAnsi="宋体" w:eastAsia="宋体" w:cs="宋体"/>
          <w:b/>
          <w:sz w:val="40"/>
          <w:szCs w:val="40"/>
          <w:lang w:val="en-US" w:eastAsia="zh-CN"/>
        </w:rPr>
        <w:t>与土地复垦计划</w:t>
      </w:r>
    </w:p>
    <w:p w14:paraId="1E942772"/>
    <w:p w14:paraId="2C2921CB"/>
    <w:p w14:paraId="1EF2538C"/>
    <w:p w14:paraId="7428E8D9"/>
    <w:p w14:paraId="0140BCCE"/>
    <w:p w14:paraId="678FF55D"/>
    <w:p w14:paraId="5B52D3D4"/>
    <w:p w14:paraId="05B47ED3"/>
    <w:p w14:paraId="5533DBCA"/>
    <w:p w14:paraId="530C7E86"/>
    <w:p w14:paraId="18979695"/>
    <w:p w14:paraId="496CF6C5"/>
    <w:p w14:paraId="7B6FDBBD"/>
    <w:p w14:paraId="0A69A565"/>
    <w:p w14:paraId="456A72E2"/>
    <w:p w14:paraId="2A1BC646"/>
    <w:p w14:paraId="151DBAE2">
      <w:pPr>
        <w:ind w:left="0" w:leftChars="0" w:firstLine="2570" w:firstLineChars="800"/>
        <w:jc w:val="both"/>
        <w:rPr>
          <w:rFonts w:hint="eastAsia"/>
          <w:b/>
          <w:bCs/>
          <w:sz w:val="32"/>
          <w:szCs w:val="32"/>
          <w:lang w:val="en-US" w:eastAsia="zh-CN"/>
        </w:rPr>
      </w:pPr>
      <w:r>
        <w:rPr>
          <w:rFonts w:hint="eastAsia"/>
          <w:b/>
          <w:bCs/>
          <w:sz w:val="32"/>
          <w:szCs w:val="32"/>
          <w:lang w:val="en-US" w:eastAsia="zh-CN"/>
        </w:rPr>
        <w:t>内蒙古金陶股份有限公司</w:t>
      </w:r>
    </w:p>
    <w:p w14:paraId="452F1B39">
      <w:pPr>
        <w:jc w:val="center"/>
        <w:rPr>
          <w:rFonts w:hint="eastAsia"/>
          <w:b/>
          <w:bCs/>
          <w:sz w:val="32"/>
          <w:szCs w:val="32"/>
          <w:lang w:val="en-US" w:eastAsia="zh-CN"/>
        </w:rPr>
      </w:pPr>
      <w:r>
        <w:rPr>
          <w:rFonts w:hint="eastAsia"/>
          <w:b/>
          <w:bCs/>
          <w:sz w:val="32"/>
          <w:szCs w:val="32"/>
          <w:lang w:val="en-US" w:eastAsia="zh-CN"/>
        </w:rPr>
        <w:t>二零二六年三月</w:t>
      </w:r>
    </w:p>
    <w:p w14:paraId="3D5C9728">
      <w:pPr>
        <w:jc w:val="center"/>
        <w:rPr>
          <w:rFonts w:hint="eastAsia"/>
          <w:b/>
          <w:bCs/>
          <w:sz w:val="32"/>
          <w:szCs w:val="32"/>
          <w:lang w:val="en-US" w:eastAsia="zh-CN"/>
        </w:rPr>
      </w:pPr>
    </w:p>
    <w:p w14:paraId="3B747485">
      <w:pPr>
        <w:jc w:val="center"/>
        <w:rPr>
          <w:rFonts w:hint="eastAsia"/>
          <w:b/>
          <w:bCs/>
          <w:sz w:val="32"/>
          <w:szCs w:val="32"/>
          <w:lang w:val="en-US" w:eastAsia="zh-CN"/>
        </w:rPr>
      </w:pPr>
    </w:p>
    <w:p w14:paraId="64E04BF5">
      <w:pPr>
        <w:jc w:val="center"/>
        <w:rPr>
          <w:rFonts w:hint="eastAsia"/>
          <w:b/>
          <w:bCs/>
          <w:sz w:val="32"/>
          <w:szCs w:val="32"/>
          <w:lang w:val="en-US" w:eastAsia="zh-CN"/>
        </w:rPr>
      </w:pPr>
    </w:p>
    <w:p w14:paraId="1B9810A9">
      <w:pPr>
        <w:jc w:val="center"/>
        <w:rPr>
          <w:rFonts w:hint="eastAsia"/>
          <w:b/>
          <w:bCs/>
          <w:sz w:val="32"/>
          <w:szCs w:val="32"/>
          <w:lang w:val="en-US" w:eastAsia="zh-CN"/>
        </w:rPr>
      </w:pPr>
    </w:p>
    <w:p w14:paraId="59404E60">
      <w:pPr>
        <w:widowControl/>
        <w:topLinePunct/>
        <w:adjustRightInd/>
        <w:snapToGrid/>
        <w:spacing w:line="800" w:lineRule="exact"/>
        <w:ind w:left="-240" w:leftChars="-100" w:right="-240" w:rightChars="-100" w:firstLine="0" w:firstLineChars="0"/>
        <w:jc w:val="center"/>
        <w:rPr>
          <w:rFonts w:hint="eastAsia" w:ascii="宋体" w:hAnsi="宋体" w:eastAsia="宋体" w:cs="宋体"/>
          <w:b/>
          <w:sz w:val="40"/>
          <w:szCs w:val="40"/>
          <w:lang w:val="en-US" w:eastAsia="zh-CN"/>
        </w:rPr>
      </w:pPr>
    </w:p>
    <w:p w14:paraId="4BB58663">
      <w:pPr>
        <w:widowControl/>
        <w:topLinePunct/>
        <w:adjustRightInd/>
        <w:snapToGrid/>
        <w:spacing w:line="800" w:lineRule="exact"/>
        <w:ind w:left="0" w:leftChars="0" w:right="-240" w:rightChars="-100" w:firstLine="0" w:firstLineChars="0"/>
        <w:jc w:val="both"/>
        <w:rPr>
          <w:rFonts w:hint="eastAsia" w:ascii="宋体" w:hAnsi="宋体" w:eastAsia="宋体" w:cs="宋体"/>
          <w:b/>
          <w:sz w:val="40"/>
          <w:szCs w:val="40"/>
          <w:lang w:val="en-US" w:eastAsia="zh-CN"/>
        </w:rPr>
      </w:pPr>
    </w:p>
    <w:p w14:paraId="77A465A7">
      <w:pPr>
        <w:widowControl/>
        <w:topLinePunct/>
        <w:adjustRightInd/>
        <w:snapToGrid/>
        <w:spacing w:line="800" w:lineRule="exact"/>
        <w:ind w:left="0" w:leftChars="0" w:right="-240" w:rightChars="-100" w:firstLine="0" w:firstLineChars="0"/>
        <w:jc w:val="both"/>
        <w:rPr>
          <w:rFonts w:hint="default" w:ascii="宋体" w:hAnsi="宋体" w:eastAsia="宋体" w:cs="宋体"/>
          <w:b/>
          <w:sz w:val="40"/>
          <w:szCs w:val="40"/>
          <w:lang w:val="en-US" w:eastAsia="zh-CN"/>
        </w:rPr>
      </w:pPr>
      <w:r>
        <w:rPr>
          <w:rFonts w:hint="eastAsia" w:ascii="宋体" w:hAnsi="宋体" w:eastAsia="宋体" w:cs="宋体"/>
          <w:b/>
          <w:sz w:val="40"/>
          <w:szCs w:val="40"/>
          <w:lang w:val="en-US" w:eastAsia="zh-CN"/>
        </w:rPr>
        <w:t>202</w:t>
      </w:r>
      <w:r>
        <w:rPr>
          <w:rFonts w:hint="eastAsia" w:ascii="宋体" w:hAnsi="宋体" w:cs="宋体"/>
          <w:b/>
          <w:sz w:val="40"/>
          <w:szCs w:val="40"/>
          <w:lang w:val="en-US" w:eastAsia="zh-CN"/>
        </w:rPr>
        <w:t>6</w:t>
      </w:r>
      <w:r>
        <w:rPr>
          <w:rFonts w:hint="eastAsia" w:ascii="宋体" w:hAnsi="宋体" w:eastAsia="宋体" w:cs="宋体"/>
          <w:b/>
          <w:sz w:val="40"/>
          <w:szCs w:val="40"/>
          <w:lang w:val="en-US" w:eastAsia="zh-CN"/>
        </w:rPr>
        <w:t>年度</w:t>
      </w:r>
      <w:r>
        <w:rPr>
          <w:rFonts w:hint="eastAsia" w:ascii="宋体" w:hAnsi="宋体" w:cs="宋体"/>
          <w:b/>
          <w:sz w:val="40"/>
          <w:szCs w:val="40"/>
          <w:lang w:val="en-US" w:eastAsia="zh-CN"/>
        </w:rPr>
        <w:t>内蒙古金陶股份有限公司金厂沟梁金矿</w:t>
      </w:r>
    </w:p>
    <w:p w14:paraId="0EC25B14">
      <w:pPr>
        <w:widowControl/>
        <w:topLinePunct/>
        <w:adjustRightInd/>
        <w:snapToGrid/>
        <w:spacing w:line="800" w:lineRule="exact"/>
        <w:ind w:left="-240" w:leftChars="-100" w:right="-240" w:rightChars="-100" w:firstLine="0" w:firstLineChars="0"/>
        <w:jc w:val="center"/>
        <w:rPr>
          <w:rFonts w:hint="default" w:ascii="宋体" w:hAnsi="宋体" w:eastAsia="宋体" w:cs="宋体"/>
          <w:b/>
          <w:kern w:val="0"/>
          <w:sz w:val="44"/>
          <w:szCs w:val="44"/>
          <w:lang w:val="en-US" w:eastAsia="zh-CN"/>
        </w:rPr>
      </w:pPr>
      <w:r>
        <w:rPr>
          <w:rFonts w:hint="eastAsia" w:ascii="宋体" w:hAnsi="宋体" w:eastAsia="宋体" w:cs="宋体"/>
          <w:b/>
          <w:sz w:val="40"/>
          <w:szCs w:val="40"/>
        </w:rPr>
        <w:t>矿山地质环境治理</w:t>
      </w:r>
      <w:r>
        <w:rPr>
          <w:rFonts w:hint="eastAsia" w:ascii="宋体" w:hAnsi="宋体" w:eastAsia="宋体" w:cs="宋体"/>
          <w:b/>
          <w:sz w:val="40"/>
          <w:szCs w:val="40"/>
          <w:lang w:val="en-US" w:eastAsia="zh-CN"/>
        </w:rPr>
        <w:t>与土地复垦计划</w:t>
      </w:r>
    </w:p>
    <w:p w14:paraId="057C6C3C">
      <w:pPr>
        <w:ind w:left="0" w:leftChars="0" w:firstLine="0" w:firstLineChars="0"/>
        <w:jc w:val="both"/>
        <w:rPr>
          <w:rFonts w:hint="default"/>
          <w:b/>
          <w:bCs/>
          <w:sz w:val="32"/>
          <w:szCs w:val="32"/>
          <w:lang w:val="en-US" w:eastAsia="zh-CN"/>
        </w:rPr>
      </w:pPr>
    </w:p>
    <w:p w14:paraId="3BE634A6">
      <w:pPr>
        <w:bidi w:val="0"/>
        <w:rPr>
          <w:rFonts w:hint="default" w:ascii="Times New Roman" w:hAnsi="Times New Roman" w:eastAsia="宋体" w:cs="Times New Roman"/>
          <w:kern w:val="2"/>
          <w:sz w:val="24"/>
          <w:lang w:val="en-US" w:eastAsia="zh-CN" w:bidi="ar-SA"/>
        </w:rPr>
      </w:pPr>
    </w:p>
    <w:p w14:paraId="4DE0745D">
      <w:pPr>
        <w:bidi w:val="0"/>
        <w:rPr>
          <w:rFonts w:hint="default"/>
          <w:lang w:val="en-US" w:eastAsia="zh-CN"/>
        </w:rPr>
      </w:pPr>
    </w:p>
    <w:p w14:paraId="058F21D6">
      <w:pPr>
        <w:bidi w:val="0"/>
        <w:rPr>
          <w:rFonts w:hint="default"/>
          <w:lang w:val="en-US" w:eastAsia="zh-CN"/>
        </w:rPr>
      </w:pPr>
    </w:p>
    <w:p w14:paraId="423C5AD8">
      <w:pPr>
        <w:bidi w:val="0"/>
        <w:rPr>
          <w:rFonts w:hint="default"/>
          <w:lang w:val="en-US" w:eastAsia="zh-CN"/>
        </w:rPr>
      </w:pPr>
    </w:p>
    <w:p w14:paraId="5425EE01">
      <w:pPr>
        <w:bidi w:val="0"/>
        <w:rPr>
          <w:rFonts w:hint="default"/>
          <w:lang w:val="en-US" w:eastAsia="zh-CN"/>
        </w:rPr>
      </w:pPr>
    </w:p>
    <w:p w14:paraId="4C4D1CF3">
      <w:pPr>
        <w:bidi w:val="0"/>
        <w:rPr>
          <w:rFonts w:hint="default"/>
          <w:lang w:val="en-US" w:eastAsia="zh-CN"/>
        </w:rPr>
      </w:pPr>
    </w:p>
    <w:p w14:paraId="2FD9D986">
      <w:pPr>
        <w:spacing w:line="480" w:lineRule="auto"/>
        <w:ind w:firstLine="0" w:firstLineChars="0"/>
        <w:rPr>
          <w:rFonts w:hint="eastAsia"/>
          <w:b/>
          <w:sz w:val="32"/>
          <w:lang w:val="en-US" w:eastAsia="zh-CN"/>
        </w:rPr>
      </w:pPr>
      <w:r>
        <w:rPr>
          <w:rFonts w:hint="eastAsia"/>
          <w:b/>
          <w:sz w:val="32"/>
        </w:rPr>
        <w:t>提交单位：</w:t>
      </w:r>
      <w:r>
        <w:rPr>
          <w:rFonts w:hint="eastAsia"/>
          <w:b/>
          <w:sz w:val="32"/>
          <w:lang w:val="en-US" w:eastAsia="zh-CN"/>
        </w:rPr>
        <w:t>内蒙古金陶股份有限公司</w:t>
      </w:r>
    </w:p>
    <w:p w14:paraId="0D8F57C0">
      <w:pPr>
        <w:spacing w:line="480" w:lineRule="auto"/>
        <w:ind w:firstLine="0" w:firstLineChars="0"/>
        <w:rPr>
          <w:rFonts w:hint="default" w:eastAsia="宋体"/>
          <w:b/>
          <w:sz w:val="32"/>
          <w:lang w:val="en-US" w:eastAsia="zh-CN"/>
        </w:rPr>
      </w:pPr>
      <w:r>
        <w:rPr>
          <w:rFonts w:hint="eastAsia"/>
          <w:b/>
          <w:sz w:val="32"/>
        </w:rPr>
        <w:t>法定代表人：</w:t>
      </w:r>
      <w:r>
        <w:rPr>
          <w:rFonts w:hint="eastAsia"/>
          <w:b/>
          <w:sz w:val="32"/>
          <w:lang w:val="en-US" w:eastAsia="zh-CN"/>
        </w:rPr>
        <w:t>李事捷</w:t>
      </w:r>
    </w:p>
    <w:p w14:paraId="68B71C53">
      <w:pPr>
        <w:spacing w:line="480" w:lineRule="auto"/>
        <w:ind w:firstLine="0" w:firstLineChars="0"/>
        <w:rPr>
          <w:rFonts w:hint="eastAsia" w:eastAsia="宋体"/>
          <w:b/>
          <w:sz w:val="32"/>
          <w:lang w:val="en-US" w:eastAsia="zh-CN"/>
        </w:rPr>
      </w:pPr>
      <w:r>
        <w:rPr>
          <w:rFonts w:hint="eastAsia"/>
          <w:b/>
          <w:sz w:val="32"/>
        </w:rPr>
        <w:t>总  经  理：</w:t>
      </w:r>
      <w:r>
        <w:rPr>
          <w:rFonts w:hint="eastAsia"/>
          <w:b/>
          <w:sz w:val="32"/>
          <w:lang w:val="en-US" w:eastAsia="zh-CN"/>
        </w:rPr>
        <w:t>李达</w:t>
      </w:r>
    </w:p>
    <w:p w14:paraId="13339E18">
      <w:pPr>
        <w:spacing w:line="480" w:lineRule="auto"/>
        <w:ind w:firstLine="0" w:firstLineChars="0"/>
        <w:rPr>
          <w:rFonts w:hint="eastAsia"/>
          <w:b/>
          <w:sz w:val="32"/>
        </w:rPr>
      </w:pPr>
      <w:r>
        <w:rPr>
          <w:rFonts w:hint="eastAsia"/>
          <w:b/>
          <w:sz w:val="32"/>
        </w:rPr>
        <w:t>编写单位：内蒙古通达矿业技术服务有限公司</w:t>
      </w:r>
    </w:p>
    <w:p w14:paraId="4E436564">
      <w:pPr>
        <w:spacing w:line="480" w:lineRule="auto"/>
        <w:ind w:firstLine="0" w:firstLineChars="0"/>
        <w:rPr>
          <w:rFonts w:hint="eastAsia"/>
          <w:b/>
          <w:sz w:val="32"/>
        </w:rPr>
      </w:pPr>
      <w:r>
        <w:rPr>
          <w:rFonts w:hint="eastAsia"/>
          <w:b/>
          <w:sz w:val="32"/>
        </w:rPr>
        <w:t>法定代表人：张艳华</w:t>
      </w:r>
    </w:p>
    <w:p w14:paraId="43EC22F7">
      <w:pPr>
        <w:spacing w:line="480" w:lineRule="auto"/>
        <w:ind w:firstLine="0" w:firstLineChars="0"/>
        <w:rPr>
          <w:rFonts w:hint="eastAsia"/>
          <w:b/>
          <w:sz w:val="32"/>
        </w:rPr>
      </w:pPr>
      <w:r>
        <w:rPr>
          <w:rFonts w:hint="eastAsia"/>
          <w:b/>
          <w:sz w:val="32"/>
        </w:rPr>
        <w:t>项目负责人：王浩宇</w:t>
      </w:r>
    </w:p>
    <w:p w14:paraId="577E5743">
      <w:pPr>
        <w:spacing w:line="480" w:lineRule="auto"/>
        <w:ind w:firstLine="0" w:firstLineChars="0"/>
        <w:rPr>
          <w:rFonts w:hint="eastAsia"/>
          <w:b/>
          <w:sz w:val="32"/>
        </w:rPr>
      </w:pPr>
      <w:r>
        <w:rPr>
          <w:rFonts w:hint="eastAsia"/>
          <w:b/>
          <w:sz w:val="32"/>
        </w:rPr>
        <w:t xml:space="preserve">编写人：石烨 </w:t>
      </w:r>
    </w:p>
    <w:p w14:paraId="32ED1506">
      <w:pPr>
        <w:bidi w:val="0"/>
        <w:spacing w:line="480" w:lineRule="auto"/>
        <w:ind w:firstLine="0" w:firstLineChars="0"/>
        <w:rPr>
          <w:rFonts w:hint="eastAsia" w:eastAsia="宋体"/>
          <w:b/>
          <w:sz w:val="32"/>
          <w:lang w:val="en-US" w:eastAsia="zh-CN"/>
        </w:rPr>
        <w:sectPr>
          <w:footerReference r:id="rId5" w:type="default"/>
          <w:pgSz w:w="11906" w:h="16838"/>
          <w:pgMar w:top="1440" w:right="1800" w:bottom="1440" w:left="1800" w:header="851" w:footer="992" w:gutter="0"/>
          <w:pgNumType w:fmt="decimal"/>
          <w:cols w:space="425" w:num="1"/>
          <w:docGrid w:type="lines" w:linePitch="312" w:charSpace="0"/>
        </w:sectPr>
      </w:pPr>
      <w:r>
        <w:rPr>
          <w:rFonts w:hint="eastAsia"/>
          <w:b/>
          <w:sz w:val="32"/>
        </w:rPr>
        <w:t>审核人：</w:t>
      </w:r>
      <w:r>
        <w:rPr>
          <w:rFonts w:hint="eastAsia"/>
          <w:b/>
          <w:sz w:val="32"/>
          <w:lang w:val="en-US" w:eastAsia="zh-CN"/>
        </w:rPr>
        <w:t>赵春光</w:t>
      </w:r>
    </w:p>
    <w:p w14:paraId="3A0CC6F0">
      <w:pPr>
        <w:keepNext w:val="0"/>
        <w:keepLines w:val="0"/>
        <w:pageBreakBefore w:val="0"/>
        <w:widowControl w:val="0"/>
        <w:kinsoku/>
        <w:wordWrap/>
        <w:overflowPunct/>
        <w:topLinePunct w:val="0"/>
        <w:autoSpaceDE w:val="0"/>
        <w:autoSpaceDN w:val="0"/>
        <w:bidi w:val="0"/>
        <w:adjustRightInd w:val="0"/>
        <w:snapToGrid/>
        <w:spacing w:line="720" w:lineRule="auto"/>
        <w:ind w:left="0" w:leftChars="0" w:firstLine="0" w:firstLineChars="0"/>
        <w:jc w:val="center"/>
        <w:textAlignment w:val="auto"/>
        <w:rPr>
          <w:rFonts w:hint="eastAsia" w:ascii="宋体" w:hAnsi="宋体" w:eastAsia="宋体" w:cs="宋体"/>
          <w:b/>
          <w:sz w:val="28"/>
          <w:szCs w:val="28"/>
        </w:rPr>
      </w:pPr>
      <w:r>
        <w:rPr>
          <w:rFonts w:hint="eastAsia" w:ascii="宋体" w:hAnsi="宋体" w:eastAsia="宋体" w:cs="宋体"/>
          <w:b/>
          <w:sz w:val="28"/>
          <w:szCs w:val="28"/>
        </w:rPr>
        <w:t>目  录</w:t>
      </w:r>
    </w:p>
    <w:p w14:paraId="310551A8">
      <w:pPr>
        <w:pStyle w:val="8"/>
        <w:tabs>
          <w:tab w:val="right" w:leader="dot" w:pos="8385"/>
        </w:tabs>
      </w:pPr>
      <w:r>
        <w:rPr>
          <w:rFonts w:hint="eastAsia" w:ascii="宋体" w:hAnsi="宋体" w:eastAsia="宋体" w:cs="宋体"/>
          <w:bCs w:val="0"/>
          <w:caps w:val="0"/>
          <w:sz w:val="28"/>
          <w:szCs w:val="28"/>
        </w:rPr>
        <w:fldChar w:fldCharType="begin"/>
      </w:r>
      <w:r>
        <w:rPr>
          <w:rFonts w:hint="eastAsia" w:ascii="宋体" w:hAnsi="宋体" w:eastAsia="宋体" w:cs="宋体"/>
          <w:bCs w:val="0"/>
          <w:caps w:val="0"/>
          <w:sz w:val="28"/>
          <w:szCs w:val="28"/>
        </w:rPr>
        <w:instrText xml:space="preserve"> TOC \o "1-2" \h \z \u </w:instrText>
      </w:r>
      <w:r>
        <w:rPr>
          <w:rFonts w:hint="eastAsia" w:ascii="宋体" w:hAnsi="宋体" w:eastAsia="宋体" w:cs="宋体"/>
          <w:bCs w:val="0"/>
          <w:caps w:val="0"/>
          <w:sz w:val="28"/>
          <w:szCs w:val="28"/>
        </w:rPr>
        <w:fldChar w:fldCharType="separate"/>
      </w:r>
      <w:r>
        <w:rPr>
          <w:rFonts w:hint="eastAsia" w:ascii="宋体" w:hAnsi="宋体" w:eastAsia="宋体" w:cs="宋体"/>
          <w:bCs w:val="0"/>
          <w:caps w:val="0"/>
          <w:szCs w:val="28"/>
        </w:rPr>
        <w:fldChar w:fldCharType="begin"/>
      </w:r>
      <w:r>
        <w:rPr>
          <w:rFonts w:hint="eastAsia" w:ascii="宋体" w:hAnsi="宋体" w:eastAsia="宋体" w:cs="宋体"/>
          <w:bCs w:val="0"/>
          <w:caps w:val="0"/>
          <w:szCs w:val="28"/>
        </w:rPr>
        <w:instrText xml:space="preserve"> HYPERLINK \l _Toc6165 </w:instrText>
      </w:r>
      <w:r>
        <w:rPr>
          <w:rFonts w:hint="eastAsia" w:ascii="宋体" w:hAnsi="宋体" w:eastAsia="宋体" w:cs="宋体"/>
          <w:bCs w:val="0"/>
          <w:caps w:val="0"/>
          <w:szCs w:val="28"/>
        </w:rPr>
        <w:fldChar w:fldCharType="separate"/>
      </w:r>
      <w:r>
        <w:rPr>
          <w:rFonts w:hint="eastAsia" w:ascii="宋体" w:hAnsi="宋体" w:eastAsia="宋体" w:cs="宋体"/>
          <w:bCs/>
          <w:szCs w:val="30"/>
          <w:lang w:val="en-US" w:eastAsia="zh-CN"/>
        </w:rPr>
        <w:t xml:space="preserve">第一章  </w:t>
      </w:r>
      <w:r>
        <w:rPr>
          <w:rFonts w:hint="eastAsia" w:ascii="宋体" w:hAnsi="宋体" w:eastAsia="宋体" w:cs="宋体"/>
          <w:bCs/>
          <w:szCs w:val="30"/>
        </w:rPr>
        <w:t>矿山基本情况</w:t>
      </w:r>
      <w:r>
        <w:tab/>
      </w:r>
      <w:r>
        <w:fldChar w:fldCharType="begin"/>
      </w:r>
      <w:r>
        <w:instrText xml:space="preserve"> PAGEREF _Toc6165 \h </w:instrText>
      </w:r>
      <w:r>
        <w:fldChar w:fldCharType="separate"/>
      </w:r>
      <w:r>
        <w:t>1</w:t>
      </w:r>
      <w:r>
        <w:fldChar w:fldCharType="end"/>
      </w:r>
      <w:r>
        <w:rPr>
          <w:rFonts w:hint="eastAsia" w:ascii="宋体" w:hAnsi="宋体" w:eastAsia="宋体" w:cs="宋体"/>
          <w:bCs w:val="0"/>
          <w:caps w:val="0"/>
          <w:szCs w:val="28"/>
        </w:rPr>
        <w:fldChar w:fldCharType="end"/>
      </w:r>
    </w:p>
    <w:p w14:paraId="02E6C463">
      <w:pPr>
        <w:pStyle w:val="8"/>
        <w:tabs>
          <w:tab w:val="right" w:leader="dot" w:pos="8385"/>
        </w:tabs>
      </w:pPr>
      <w:r>
        <w:rPr>
          <w:rFonts w:hint="eastAsia" w:ascii="宋体" w:hAnsi="宋体" w:eastAsia="宋体" w:cs="宋体"/>
          <w:bCs w:val="0"/>
          <w:caps w:val="0"/>
          <w:szCs w:val="28"/>
        </w:rPr>
        <w:fldChar w:fldCharType="begin"/>
      </w:r>
      <w:r>
        <w:rPr>
          <w:rFonts w:hint="eastAsia" w:ascii="宋体" w:hAnsi="宋体" w:eastAsia="宋体" w:cs="宋体"/>
          <w:bCs w:val="0"/>
          <w:caps w:val="0"/>
          <w:szCs w:val="28"/>
        </w:rPr>
        <w:instrText xml:space="preserve"> HYPERLINK \l _Toc28 </w:instrText>
      </w:r>
      <w:r>
        <w:rPr>
          <w:rFonts w:hint="eastAsia" w:ascii="宋体" w:hAnsi="宋体" w:eastAsia="宋体" w:cs="宋体"/>
          <w:bCs w:val="0"/>
          <w:caps w:val="0"/>
          <w:szCs w:val="28"/>
        </w:rPr>
        <w:fldChar w:fldCharType="separate"/>
      </w:r>
      <w:r>
        <w:rPr>
          <w:rFonts w:hint="eastAsia" w:ascii="宋体" w:hAnsi="宋体" w:eastAsia="宋体" w:cs="宋体"/>
          <w:szCs w:val="30"/>
        </w:rPr>
        <w:t xml:space="preserve">第二章  </w:t>
      </w:r>
      <w:r>
        <w:rPr>
          <w:rFonts w:hint="eastAsia" w:ascii="宋体" w:hAnsi="宋体" w:eastAsia="宋体" w:cs="宋体"/>
          <w:szCs w:val="30"/>
          <w:lang w:val="en-US" w:eastAsia="zh-CN"/>
        </w:rPr>
        <w:t>矿山开采现状</w:t>
      </w:r>
      <w:r>
        <w:tab/>
      </w:r>
      <w:r>
        <w:fldChar w:fldCharType="begin"/>
      </w:r>
      <w:r>
        <w:instrText xml:space="preserve"> PAGEREF _Toc28 \h </w:instrText>
      </w:r>
      <w:r>
        <w:fldChar w:fldCharType="separate"/>
      </w:r>
      <w:r>
        <w:t>2</w:t>
      </w:r>
      <w:r>
        <w:fldChar w:fldCharType="end"/>
      </w:r>
      <w:r>
        <w:rPr>
          <w:rFonts w:hint="eastAsia" w:ascii="宋体" w:hAnsi="宋体" w:eastAsia="宋体" w:cs="宋体"/>
          <w:bCs w:val="0"/>
          <w:caps w:val="0"/>
          <w:szCs w:val="28"/>
        </w:rPr>
        <w:fldChar w:fldCharType="end"/>
      </w:r>
    </w:p>
    <w:p w14:paraId="0DF6C779">
      <w:pPr>
        <w:pStyle w:val="9"/>
        <w:tabs>
          <w:tab w:val="right" w:leader="dot" w:pos="8385"/>
        </w:tabs>
      </w:pPr>
      <w:r>
        <w:rPr>
          <w:rFonts w:hint="eastAsia" w:ascii="宋体" w:hAnsi="宋体" w:eastAsia="宋体" w:cs="宋体"/>
          <w:bCs/>
          <w:caps/>
          <w:szCs w:val="28"/>
        </w:rPr>
        <w:fldChar w:fldCharType="begin"/>
      </w:r>
      <w:r>
        <w:rPr>
          <w:rFonts w:hint="eastAsia" w:ascii="宋体" w:hAnsi="宋体" w:eastAsia="宋体" w:cs="宋体"/>
          <w:bCs/>
          <w:caps/>
          <w:szCs w:val="28"/>
        </w:rPr>
        <w:instrText xml:space="preserve"> HYPERLINK \l _Toc28309 </w:instrText>
      </w:r>
      <w:r>
        <w:rPr>
          <w:rFonts w:hint="eastAsia" w:ascii="宋体" w:hAnsi="宋体" w:eastAsia="宋体" w:cs="宋体"/>
          <w:bCs/>
          <w:caps/>
          <w:szCs w:val="28"/>
        </w:rPr>
        <w:fldChar w:fldCharType="separate"/>
      </w:r>
      <w:r>
        <w:rPr>
          <w:rFonts w:hint="eastAsia" w:ascii="宋体" w:hAnsi="宋体" w:eastAsia="宋体" w:cs="宋体"/>
          <w:szCs w:val="28"/>
        </w:rPr>
        <w:t>一、</w:t>
      </w:r>
      <w:r>
        <w:rPr>
          <w:rFonts w:hint="eastAsia" w:ascii="宋体" w:hAnsi="宋体" w:eastAsia="宋体" w:cs="宋体"/>
          <w:szCs w:val="28"/>
          <w:lang w:val="en-US" w:eastAsia="zh-CN"/>
        </w:rPr>
        <w:t>矿山开采历史及采空区分布情况</w:t>
      </w:r>
      <w:r>
        <w:tab/>
      </w:r>
      <w:r>
        <w:fldChar w:fldCharType="begin"/>
      </w:r>
      <w:r>
        <w:instrText xml:space="preserve"> PAGEREF _Toc28309 \h </w:instrText>
      </w:r>
      <w:r>
        <w:fldChar w:fldCharType="separate"/>
      </w:r>
      <w:r>
        <w:t>2</w:t>
      </w:r>
      <w:r>
        <w:fldChar w:fldCharType="end"/>
      </w:r>
      <w:r>
        <w:rPr>
          <w:rFonts w:hint="eastAsia" w:ascii="宋体" w:hAnsi="宋体" w:eastAsia="宋体" w:cs="宋体"/>
          <w:bCs/>
          <w:caps/>
          <w:szCs w:val="28"/>
        </w:rPr>
        <w:fldChar w:fldCharType="end"/>
      </w:r>
    </w:p>
    <w:p w14:paraId="1B3A8545">
      <w:pPr>
        <w:pStyle w:val="9"/>
        <w:tabs>
          <w:tab w:val="right" w:leader="dot" w:pos="8385"/>
        </w:tabs>
      </w:pPr>
      <w:r>
        <w:rPr>
          <w:rFonts w:hint="eastAsia" w:ascii="宋体" w:hAnsi="宋体" w:eastAsia="宋体" w:cs="宋体"/>
          <w:bCs/>
          <w:caps/>
          <w:szCs w:val="28"/>
        </w:rPr>
        <w:fldChar w:fldCharType="begin"/>
      </w:r>
      <w:r>
        <w:rPr>
          <w:rFonts w:hint="eastAsia" w:ascii="宋体" w:hAnsi="宋体" w:eastAsia="宋体" w:cs="宋体"/>
          <w:bCs/>
          <w:caps/>
          <w:szCs w:val="28"/>
        </w:rPr>
        <w:instrText xml:space="preserve"> HYPERLINK \l _Toc13805 </w:instrText>
      </w:r>
      <w:r>
        <w:rPr>
          <w:rFonts w:hint="eastAsia" w:ascii="宋体" w:hAnsi="宋体" w:eastAsia="宋体" w:cs="宋体"/>
          <w:bCs/>
          <w:caps/>
          <w:szCs w:val="28"/>
        </w:rPr>
        <w:fldChar w:fldCharType="separate"/>
      </w:r>
      <w:r>
        <w:rPr>
          <w:rFonts w:hint="eastAsia" w:ascii="宋体" w:hAnsi="宋体" w:eastAsia="宋体" w:cs="宋体"/>
          <w:szCs w:val="28"/>
          <w:highlight w:val="none"/>
        </w:rPr>
        <w:t>二、本年度</w:t>
      </w:r>
      <w:r>
        <w:rPr>
          <w:rFonts w:hint="eastAsia" w:ascii="宋体" w:hAnsi="宋体" w:eastAsia="宋体" w:cs="宋体"/>
          <w:szCs w:val="28"/>
          <w:highlight w:val="none"/>
          <w:lang w:val="en-US" w:eastAsia="zh-CN"/>
        </w:rPr>
        <w:t>开采计划</w:t>
      </w:r>
      <w:r>
        <w:tab/>
      </w:r>
      <w:r>
        <w:fldChar w:fldCharType="begin"/>
      </w:r>
      <w:r>
        <w:instrText xml:space="preserve"> PAGEREF _Toc13805 \h </w:instrText>
      </w:r>
      <w:r>
        <w:fldChar w:fldCharType="separate"/>
      </w:r>
      <w:r>
        <w:t>2</w:t>
      </w:r>
      <w:r>
        <w:fldChar w:fldCharType="end"/>
      </w:r>
      <w:r>
        <w:rPr>
          <w:rFonts w:hint="eastAsia" w:ascii="宋体" w:hAnsi="宋体" w:eastAsia="宋体" w:cs="宋体"/>
          <w:bCs/>
          <w:caps/>
          <w:szCs w:val="28"/>
        </w:rPr>
        <w:fldChar w:fldCharType="end"/>
      </w:r>
    </w:p>
    <w:p w14:paraId="5C226803">
      <w:pPr>
        <w:pStyle w:val="9"/>
        <w:tabs>
          <w:tab w:val="right" w:leader="dot" w:pos="8385"/>
        </w:tabs>
      </w:pPr>
      <w:r>
        <w:rPr>
          <w:rFonts w:hint="eastAsia" w:ascii="宋体" w:hAnsi="宋体" w:eastAsia="宋体" w:cs="宋体"/>
          <w:bCs/>
          <w:caps/>
          <w:szCs w:val="28"/>
        </w:rPr>
        <w:fldChar w:fldCharType="begin"/>
      </w:r>
      <w:r>
        <w:rPr>
          <w:rFonts w:hint="eastAsia" w:ascii="宋体" w:hAnsi="宋体" w:eastAsia="宋体" w:cs="宋体"/>
          <w:bCs/>
          <w:caps/>
          <w:szCs w:val="28"/>
        </w:rPr>
        <w:instrText xml:space="preserve"> HYPERLINK \l _Toc21579 </w:instrText>
      </w:r>
      <w:r>
        <w:rPr>
          <w:rFonts w:hint="eastAsia" w:ascii="宋体" w:hAnsi="宋体" w:eastAsia="宋体" w:cs="宋体"/>
          <w:bCs/>
          <w:caps/>
          <w:szCs w:val="28"/>
        </w:rPr>
        <w:fldChar w:fldCharType="separate"/>
      </w:r>
      <w:r>
        <w:rPr>
          <w:rFonts w:hint="eastAsia" w:ascii="宋体" w:hAnsi="宋体" w:eastAsia="宋体" w:cs="宋体"/>
          <w:szCs w:val="28"/>
        </w:rPr>
        <w:t>三、</w:t>
      </w:r>
      <w:r>
        <w:rPr>
          <w:rFonts w:hint="eastAsia" w:ascii="宋体" w:hAnsi="宋体" w:eastAsia="宋体" w:cs="宋体"/>
          <w:szCs w:val="28"/>
          <w:lang w:val="en-US" w:eastAsia="zh-CN"/>
        </w:rPr>
        <w:t>征占土地情况</w:t>
      </w:r>
      <w:r>
        <w:tab/>
      </w:r>
      <w:r>
        <w:rPr>
          <w:rFonts w:hint="eastAsia"/>
          <w:lang w:val="en-US" w:eastAsia="zh-CN"/>
        </w:rPr>
        <w:t>3</w:t>
      </w:r>
      <w:r>
        <w:rPr>
          <w:rFonts w:hint="eastAsia" w:ascii="宋体" w:hAnsi="宋体" w:eastAsia="宋体" w:cs="宋体"/>
          <w:bCs/>
          <w:caps/>
          <w:szCs w:val="28"/>
        </w:rPr>
        <w:fldChar w:fldCharType="end"/>
      </w:r>
    </w:p>
    <w:p w14:paraId="3B6DC7E2">
      <w:pPr>
        <w:pStyle w:val="8"/>
        <w:tabs>
          <w:tab w:val="right" w:leader="dot" w:pos="8385"/>
        </w:tabs>
      </w:pPr>
      <w:r>
        <w:rPr>
          <w:rFonts w:hint="eastAsia" w:ascii="宋体" w:hAnsi="宋体" w:eastAsia="宋体" w:cs="宋体"/>
          <w:bCs w:val="0"/>
          <w:caps w:val="0"/>
          <w:szCs w:val="28"/>
        </w:rPr>
        <w:fldChar w:fldCharType="begin"/>
      </w:r>
      <w:r>
        <w:rPr>
          <w:rFonts w:hint="eastAsia" w:ascii="宋体" w:hAnsi="宋体" w:eastAsia="宋体" w:cs="宋体"/>
          <w:bCs w:val="0"/>
          <w:caps w:val="0"/>
          <w:szCs w:val="28"/>
        </w:rPr>
        <w:instrText xml:space="preserve"> HYPERLINK \l _Toc22001 </w:instrText>
      </w:r>
      <w:r>
        <w:rPr>
          <w:rFonts w:hint="eastAsia" w:ascii="宋体" w:hAnsi="宋体" w:eastAsia="宋体" w:cs="宋体"/>
          <w:bCs w:val="0"/>
          <w:caps w:val="0"/>
          <w:szCs w:val="28"/>
        </w:rPr>
        <w:fldChar w:fldCharType="separate"/>
      </w:r>
      <w:r>
        <w:rPr>
          <w:rFonts w:hint="eastAsia" w:ascii="宋体" w:hAnsi="宋体" w:eastAsia="宋体" w:cs="宋体"/>
          <w:szCs w:val="30"/>
        </w:rPr>
        <w:t>第</w:t>
      </w:r>
      <w:r>
        <w:rPr>
          <w:rFonts w:hint="eastAsia" w:ascii="宋体" w:hAnsi="宋体" w:eastAsia="宋体" w:cs="宋体"/>
          <w:szCs w:val="30"/>
          <w:lang w:val="en-US" w:eastAsia="zh-CN"/>
        </w:rPr>
        <w:t>三</w:t>
      </w:r>
      <w:r>
        <w:rPr>
          <w:rFonts w:hint="eastAsia" w:ascii="宋体" w:hAnsi="宋体" w:eastAsia="宋体" w:cs="宋体"/>
          <w:szCs w:val="30"/>
        </w:rPr>
        <w:t>章  矿山</w:t>
      </w:r>
      <w:r>
        <w:rPr>
          <w:rFonts w:hint="eastAsia" w:ascii="宋体" w:hAnsi="宋体" w:eastAsia="宋体" w:cs="宋体"/>
          <w:szCs w:val="30"/>
          <w:lang w:val="en-US" w:eastAsia="zh-CN"/>
        </w:rPr>
        <w:t>土地损毁现状</w:t>
      </w:r>
      <w:r>
        <w:tab/>
      </w:r>
      <w:r>
        <w:rPr>
          <w:rFonts w:hint="eastAsia"/>
          <w:lang w:val="en-US" w:eastAsia="zh-CN"/>
        </w:rPr>
        <w:t>4</w:t>
      </w:r>
      <w:r>
        <w:rPr>
          <w:rFonts w:hint="eastAsia" w:ascii="宋体" w:hAnsi="宋体" w:eastAsia="宋体" w:cs="宋体"/>
          <w:bCs w:val="0"/>
          <w:caps w:val="0"/>
          <w:szCs w:val="28"/>
        </w:rPr>
        <w:fldChar w:fldCharType="end"/>
      </w:r>
    </w:p>
    <w:p w14:paraId="0EA79BF2">
      <w:pPr>
        <w:pStyle w:val="9"/>
        <w:tabs>
          <w:tab w:val="right" w:leader="dot" w:pos="8385"/>
        </w:tabs>
      </w:pPr>
      <w:r>
        <w:rPr>
          <w:rFonts w:hint="eastAsia" w:ascii="宋体" w:hAnsi="宋体" w:eastAsia="宋体" w:cs="宋体"/>
          <w:bCs/>
          <w:caps/>
          <w:szCs w:val="28"/>
        </w:rPr>
        <w:fldChar w:fldCharType="begin"/>
      </w:r>
      <w:r>
        <w:rPr>
          <w:rFonts w:hint="eastAsia" w:ascii="宋体" w:hAnsi="宋体" w:eastAsia="宋体" w:cs="宋体"/>
          <w:bCs/>
          <w:caps/>
          <w:szCs w:val="28"/>
        </w:rPr>
        <w:instrText xml:space="preserve"> HYPERLINK \l _Toc19699 </w:instrText>
      </w:r>
      <w:r>
        <w:rPr>
          <w:rFonts w:hint="eastAsia" w:ascii="宋体" w:hAnsi="宋体" w:eastAsia="宋体" w:cs="宋体"/>
          <w:bCs/>
          <w:caps/>
          <w:szCs w:val="28"/>
        </w:rPr>
        <w:fldChar w:fldCharType="separate"/>
      </w:r>
      <w:r>
        <w:rPr>
          <w:rFonts w:hint="eastAsia" w:ascii="宋体" w:hAnsi="宋体" w:eastAsia="宋体" w:cs="宋体"/>
          <w:szCs w:val="28"/>
        </w:rPr>
        <w:t>一、矿山地质环境问题现状</w:t>
      </w:r>
      <w:r>
        <w:tab/>
      </w:r>
      <w:r>
        <w:rPr>
          <w:rFonts w:hint="eastAsia"/>
          <w:lang w:val="en-US" w:eastAsia="zh-CN"/>
        </w:rPr>
        <w:t>4</w:t>
      </w:r>
      <w:r>
        <w:rPr>
          <w:rFonts w:hint="eastAsia" w:ascii="宋体" w:hAnsi="宋体" w:eastAsia="宋体" w:cs="宋体"/>
          <w:bCs/>
          <w:caps/>
          <w:szCs w:val="28"/>
        </w:rPr>
        <w:fldChar w:fldCharType="end"/>
      </w:r>
    </w:p>
    <w:p w14:paraId="7819A746">
      <w:pPr>
        <w:pStyle w:val="9"/>
        <w:tabs>
          <w:tab w:val="right" w:leader="dot" w:pos="8385"/>
        </w:tabs>
        <w:rPr>
          <w:rFonts w:hint="eastAsia" w:eastAsia="宋体"/>
          <w:lang w:val="en-US" w:eastAsia="zh-CN"/>
        </w:rPr>
      </w:pPr>
      <w:r>
        <w:rPr>
          <w:rFonts w:hint="eastAsia" w:ascii="宋体" w:hAnsi="宋体" w:eastAsia="宋体" w:cs="宋体"/>
          <w:bCs/>
          <w:caps/>
          <w:szCs w:val="28"/>
        </w:rPr>
        <w:fldChar w:fldCharType="begin"/>
      </w:r>
      <w:r>
        <w:rPr>
          <w:rFonts w:hint="eastAsia" w:ascii="宋体" w:hAnsi="宋体" w:eastAsia="宋体" w:cs="宋体"/>
          <w:bCs/>
          <w:caps/>
          <w:szCs w:val="28"/>
        </w:rPr>
        <w:instrText xml:space="preserve"> HYPERLINK \l _Toc32129 </w:instrText>
      </w:r>
      <w:r>
        <w:rPr>
          <w:rFonts w:hint="eastAsia" w:ascii="宋体" w:hAnsi="宋体" w:eastAsia="宋体" w:cs="宋体"/>
          <w:bCs/>
          <w:caps/>
          <w:szCs w:val="28"/>
        </w:rPr>
        <w:fldChar w:fldCharType="separate"/>
      </w:r>
      <w:r>
        <w:rPr>
          <w:rFonts w:hint="eastAsia" w:ascii="宋体" w:hAnsi="宋体" w:eastAsia="宋体" w:cs="宋体"/>
          <w:szCs w:val="28"/>
          <w:lang w:eastAsia="zh-CN"/>
        </w:rPr>
        <w:t>二、矿山地质环境问题预测</w:t>
      </w:r>
      <w:r>
        <w:tab/>
      </w:r>
      <w:r>
        <w:rPr>
          <w:rFonts w:hint="eastAsia"/>
          <w:lang w:val="en-US" w:eastAsia="zh-CN"/>
        </w:rPr>
        <w:t>1</w:t>
      </w:r>
      <w:r>
        <w:rPr>
          <w:rFonts w:hint="eastAsia" w:ascii="宋体" w:hAnsi="宋体" w:eastAsia="宋体" w:cs="宋体"/>
          <w:bCs/>
          <w:caps/>
          <w:szCs w:val="28"/>
        </w:rPr>
        <w:fldChar w:fldCharType="end"/>
      </w:r>
      <w:r>
        <w:rPr>
          <w:rFonts w:hint="eastAsia" w:ascii="宋体" w:hAnsi="宋体" w:cs="宋体"/>
          <w:bCs/>
          <w:caps/>
          <w:szCs w:val="28"/>
          <w:lang w:val="en-US" w:eastAsia="zh-CN"/>
        </w:rPr>
        <w:t>3</w:t>
      </w:r>
    </w:p>
    <w:p w14:paraId="5604E5F8">
      <w:pPr>
        <w:pStyle w:val="8"/>
        <w:tabs>
          <w:tab w:val="right" w:leader="dot" w:pos="8385"/>
        </w:tabs>
        <w:rPr>
          <w:rFonts w:hint="eastAsia" w:eastAsia="宋体"/>
          <w:lang w:val="en-US" w:eastAsia="zh-CN"/>
        </w:rPr>
      </w:pPr>
      <w:r>
        <w:rPr>
          <w:rFonts w:hint="eastAsia" w:ascii="宋体" w:hAnsi="宋体" w:eastAsia="宋体" w:cs="宋体"/>
          <w:bCs w:val="0"/>
          <w:caps w:val="0"/>
          <w:szCs w:val="28"/>
        </w:rPr>
        <w:fldChar w:fldCharType="begin"/>
      </w:r>
      <w:r>
        <w:rPr>
          <w:rFonts w:hint="eastAsia" w:ascii="宋体" w:hAnsi="宋体" w:eastAsia="宋体" w:cs="宋体"/>
          <w:bCs w:val="0"/>
          <w:caps w:val="0"/>
          <w:szCs w:val="28"/>
        </w:rPr>
        <w:instrText xml:space="preserve"> HYPERLINK \l _Toc20166 </w:instrText>
      </w:r>
      <w:r>
        <w:rPr>
          <w:rFonts w:hint="eastAsia" w:ascii="宋体" w:hAnsi="宋体" w:eastAsia="宋体" w:cs="宋体"/>
          <w:bCs w:val="0"/>
          <w:caps w:val="0"/>
          <w:szCs w:val="28"/>
        </w:rPr>
        <w:fldChar w:fldCharType="separate"/>
      </w:r>
      <w:r>
        <w:rPr>
          <w:rFonts w:hint="eastAsia" w:ascii="宋体" w:hAnsi="宋体" w:eastAsia="宋体" w:cs="宋体"/>
          <w:szCs w:val="30"/>
          <w:highlight w:val="none"/>
        </w:rPr>
        <w:t>第</w:t>
      </w:r>
      <w:r>
        <w:rPr>
          <w:rFonts w:hint="eastAsia" w:ascii="宋体" w:hAnsi="宋体" w:eastAsia="宋体" w:cs="宋体"/>
          <w:szCs w:val="30"/>
          <w:highlight w:val="none"/>
          <w:lang w:val="en-US" w:eastAsia="zh-CN"/>
        </w:rPr>
        <w:t>四</w:t>
      </w:r>
      <w:r>
        <w:rPr>
          <w:rFonts w:hint="eastAsia" w:ascii="宋体" w:hAnsi="宋体" w:eastAsia="宋体" w:cs="宋体"/>
          <w:szCs w:val="30"/>
          <w:highlight w:val="none"/>
        </w:rPr>
        <w:t xml:space="preserve">章  </w:t>
      </w:r>
      <w:r>
        <w:rPr>
          <w:rFonts w:hint="eastAsia" w:ascii="宋体" w:hAnsi="宋体" w:eastAsia="宋体" w:cs="宋体"/>
          <w:szCs w:val="30"/>
          <w:highlight w:val="none"/>
          <w:lang w:val="en-US" w:eastAsia="zh-CN"/>
        </w:rPr>
        <w:t>以往矿山地质环境治理工程及土地复垦成效</w:t>
      </w:r>
      <w:r>
        <w:tab/>
      </w:r>
      <w:r>
        <w:rPr>
          <w:rFonts w:hint="eastAsia"/>
          <w:lang w:val="en-US" w:eastAsia="zh-CN"/>
        </w:rPr>
        <w:t>1</w:t>
      </w:r>
      <w:r>
        <w:rPr>
          <w:rFonts w:hint="eastAsia" w:ascii="宋体" w:hAnsi="宋体" w:eastAsia="宋体" w:cs="宋体"/>
          <w:bCs w:val="0"/>
          <w:caps w:val="0"/>
          <w:szCs w:val="28"/>
        </w:rPr>
        <w:fldChar w:fldCharType="end"/>
      </w:r>
      <w:r>
        <w:rPr>
          <w:rFonts w:hint="eastAsia" w:ascii="宋体" w:hAnsi="宋体" w:cs="宋体"/>
          <w:bCs w:val="0"/>
          <w:caps w:val="0"/>
          <w:szCs w:val="28"/>
          <w:lang w:val="en-US" w:eastAsia="zh-CN"/>
        </w:rPr>
        <w:t>4</w:t>
      </w:r>
    </w:p>
    <w:p w14:paraId="6CADE0AD">
      <w:pPr>
        <w:pStyle w:val="9"/>
        <w:tabs>
          <w:tab w:val="right" w:leader="dot" w:pos="8385"/>
        </w:tabs>
        <w:rPr>
          <w:rFonts w:hint="eastAsia" w:eastAsia="宋体"/>
          <w:lang w:val="en-US" w:eastAsia="zh-CN"/>
        </w:rPr>
      </w:pPr>
      <w:r>
        <w:rPr>
          <w:rFonts w:hint="eastAsia" w:ascii="宋体" w:hAnsi="宋体" w:eastAsia="宋体" w:cs="宋体"/>
          <w:bCs/>
          <w:caps/>
          <w:szCs w:val="28"/>
        </w:rPr>
        <w:fldChar w:fldCharType="begin"/>
      </w:r>
      <w:r>
        <w:rPr>
          <w:rFonts w:hint="eastAsia" w:ascii="宋体" w:hAnsi="宋体" w:eastAsia="宋体" w:cs="宋体"/>
          <w:bCs/>
          <w:caps/>
          <w:szCs w:val="28"/>
        </w:rPr>
        <w:instrText xml:space="preserve"> HYPERLINK \l _Toc1815 </w:instrText>
      </w:r>
      <w:r>
        <w:rPr>
          <w:rFonts w:hint="eastAsia" w:ascii="宋体" w:hAnsi="宋体" w:eastAsia="宋体" w:cs="宋体"/>
          <w:bCs/>
          <w:caps/>
          <w:szCs w:val="28"/>
        </w:rPr>
        <w:fldChar w:fldCharType="separate"/>
      </w:r>
      <w:r>
        <w:rPr>
          <w:rFonts w:hint="eastAsia" w:ascii="宋体" w:hAnsi="宋体" w:eastAsia="宋体" w:cs="宋体"/>
          <w:szCs w:val="28"/>
          <w:lang w:val="en-US" w:eastAsia="zh-CN"/>
        </w:rPr>
        <w:t>一、矿山地质环境治理及土地复垦现状</w:t>
      </w:r>
      <w:r>
        <w:tab/>
      </w:r>
      <w:r>
        <w:rPr>
          <w:rFonts w:hint="eastAsia"/>
          <w:lang w:val="en-US" w:eastAsia="zh-CN"/>
        </w:rPr>
        <w:t>1</w:t>
      </w:r>
      <w:r>
        <w:rPr>
          <w:rFonts w:hint="eastAsia" w:ascii="宋体" w:hAnsi="宋体" w:eastAsia="宋体" w:cs="宋体"/>
          <w:bCs/>
          <w:caps/>
          <w:szCs w:val="28"/>
        </w:rPr>
        <w:fldChar w:fldCharType="end"/>
      </w:r>
      <w:r>
        <w:rPr>
          <w:rFonts w:hint="eastAsia" w:ascii="宋体" w:hAnsi="宋体" w:cs="宋体"/>
          <w:bCs/>
          <w:caps/>
          <w:szCs w:val="28"/>
          <w:lang w:val="en-US" w:eastAsia="zh-CN"/>
        </w:rPr>
        <w:t>4</w:t>
      </w:r>
    </w:p>
    <w:p w14:paraId="24FC0272">
      <w:pPr>
        <w:pStyle w:val="9"/>
        <w:tabs>
          <w:tab w:val="right" w:leader="dot" w:pos="8385"/>
        </w:tabs>
        <w:rPr>
          <w:rFonts w:hint="eastAsia" w:eastAsia="宋体"/>
          <w:lang w:val="en-US" w:eastAsia="zh-CN"/>
        </w:rPr>
      </w:pPr>
      <w:r>
        <w:rPr>
          <w:rFonts w:hint="eastAsia" w:ascii="宋体" w:hAnsi="宋体" w:eastAsia="宋体" w:cs="宋体"/>
          <w:bCs/>
          <w:caps/>
          <w:szCs w:val="28"/>
        </w:rPr>
        <w:fldChar w:fldCharType="begin"/>
      </w:r>
      <w:r>
        <w:rPr>
          <w:rFonts w:hint="eastAsia" w:ascii="宋体" w:hAnsi="宋体" w:eastAsia="宋体" w:cs="宋体"/>
          <w:bCs/>
          <w:caps/>
          <w:szCs w:val="28"/>
        </w:rPr>
        <w:instrText xml:space="preserve"> HYPERLINK \l _Toc6904 </w:instrText>
      </w:r>
      <w:r>
        <w:rPr>
          <w:rFonts w:hint="eastAsia" w:ascii="宋体" w:hAnsi="宋体" w:eastAsia="宋体" w:cs="宋体"/>
          <w:bCs/>
          <w:caps/>
          <w:szCs w:val="28"/>
        </w:rPr>
        <w:fldChar w:fldCharType="separate"/>
      </w:r>
      <w:r>
        <w:rPr>
          <w:rFonts w:hint="eastAsia" w:ascii="宋体" w:hAnsi="宋体" w:eastAsia="宋体" w:cs="宋体"/>
          <w:szCs w:val="18"/>
          <w:lang w:val="en-US" w:eastAsia="zh-CN"/>
        </w:rPr>
        <w:t>二、矿山地质环境及土地复垦动态监测开展情况</w:t>
      </w:r>
      <w:r>
        <w:tab/>
      </w:r>
      <w:r>
        <w:rPr>
          <w:rFonts w:hint="eastAsia"/>
          <w:lang w:val="en-US" w:eastAsia="zh-CN"/>
        </w:rPr>
        <w:t>1</w:t>
      </w:r>
      <w:r>
        <w:rPr>
          <w:rFonts w:hint="eastAsia" w:ascii="宋体" w:hAnsi="宋体" w:eastAsia="宋体" w:cs="宋体"/>
          <w:bCs/>
          <w:caps/>
          <w:szCs w:val="28"/>
        </w:rPr>
        <w:fldChar w:fldCharType="end"/>
      </w:r>
      <w:r>
        <w:rPr>
          <w:rFonts w:hint="eastAsia" w:ascii="宋体" w:hAnsi="宋体" w:cs="宋体"/>
          <w:bCs/>
          <w:caps/>
          <w:szCs w:val="28"/>
          <w:lang w:val="en-US" w:eastAsia="zh-CN"/>
        </w:rPr>
        <w:t>6</w:t>
      </w:r>
    </w:p>
    <w:p w14:paraId="7DF21285">
      <w:pPr>
        <w:pStyle w:val="9"/>
        <w:tabs>
          <w:tab w:val="right" w:leader="dot" w:pos="8385"/>
        </w:tabs>
        <w:rPr>
          <w:rFonts w:hint="eastAsia" w:eastAsia="宋体"/>
          <w:lang w:val="en-US" w:eastAsia="zh-CN"/>
        </w:rPr>
      </w:pPr>
      <w:r>
        <w:rPr>
          <w:rFonts w:hint="eastAsia" w:ascii="宋体" w:hAnsi="宋体" w:eastAsia="宋体" w:cs="宋体"/>
          <w:bCs/>
          <w:caps/>
          <w:szCs w:val="28"/>
        </w:rPr>
        <w:fldChar w:fldCharType="begin"/>
      </w:r>
      <w:r>
        <w:rPr>
          <w:rFonts w:hint="eastAsia" w:ascii="宋体" w:hAnsi="宋体" w:eastAsia="宋体" w:cs="宋体"/>
          <w:bCs/>
          <w:caps/>
          <w:szCs w:val="28"/>
        </w:rPr>
        <w:instrText xml:space="preserve"> HYPERLINK \l _Toc9544 </w:instrText>
      </w:r>
      <w:r>
        <w:rPr>
          <w:rFonts w:hint="eastAsia" w:ascii="宋体" w:hAnsi="宋体" w:eastAsia="宋体" w:cs="宋体"/>
          <w:bCs/>
          <w:caps/>
          <w:szCs w:val="28"/>
        </w:rPr>
        <w:fldChar w:fldCharType="separate"/>
      </w:r>
      <w:r>
        <w:rPr>
          <w:rFonts w:hint="eastAsia" w:ascii="宋体" w:hAnsi="宋体" w:eastAsia="宋体" w:cs="宋体"/>
          <w:kern w:val="2"/>
          <w:szCs w:val="18"/>
          <w:lang w:val="en-US" w:eastAsia="zh-CN" w:bidi="ar-SA"/>
        </w:rPr>
        <w:t>三、</w:t>
      </w:r>
      <w:r>
        <w:rPr>
          <w:rFonts w:hint="eastAsia" w:ascii="宋体" w:hAnsi="宋体" w:eastAsia="宋体" w:cs="宋体"/>
          <w:szCs w:val="18"/>
          <w:lang w:val="en-US" w:eastAsia="zh-CN"/>
        </w:rPr>
        <w:t>以往矿山地质环境治理与土地复垦成效评述</w:t>
      </w:r>
      <w:r>
        <w:tab/>
      </w:r>
      <w:r>
        <w:rPr>
          <w:rFonts w:hint="eastAsia"/>
          <w:lang w:val="en-US" w:eastAsia="zh-CN"/>
        </w:rPr>
        <w:t>1</w:t>
      </w:r>
      <w:r>
        <w:rPr>
          <w:rFonts w:hint="eastAsia" w:ascii="宋体" w:hAnsi="宋体" w:eastAsia="宋体" w:cs="宋体"/>
          <w:bCs/>
          <w:caps/>
          <w:szCs w:val="28"/>
        </w:rPr>
        <w:fldChar w:fldCharType="end"/>
      </w:r>
      <w:r>
        <w:rPr>
          <w:rFonts w:hint="eastAsia" w:ascii="宋体" w:hAnsi="宋体" w:cs="宋体"/>
          <w:bCs/>
          <w:caps/>
          <w:szCs w:val="28"/>
          <w:lang w:val="en-US" w:eastAsia="zh-CN"/>
        </w:rPr>
        <w:t>6</w:t>
      </w:r>
    </w:p>
    <w:p w14:paraId="5EB1EA67">
      <w:pPr>
        <w:pStyle w:val="9"/>
        <w:tabs>
          <w:tab w:val="right" w:leader="dot" w:pos="8385"/>
        </w:tabs>
        <w:rPr>
          <w:rFonts w:hint="eastAsia" w:eastAsia="宋体"/>
          <w:lang w:val="en-US" w:eastAsia="zh-CN"/>
        </w:rPr>
      </w:pPr>
      <w:r>
        <w:rPr>
          <w:rFonts w:hint="eastAsia" w:ascii="宋体" w:hAnsi="宋体" w:eastAsia="宋体" w:cs="宋体"/>
          <w:bCs/>
          <w:caps/>
          <w:szCs w:val="28"/>
        </w:rPr>
        <w:fldChar w:fldCharType="begin"/>
      </w:r>
      <w:r>
        <w:rPr>
          <w:rFonts w:hint="eastAsia" w:ascii="宋体" w:hAnsi="宋体" w:eastAsia="宋体" w:cs="宋体"/>
          <w:bCs/>
          <w:caps/>
          <w:szCs w:val="28"/>
        </w:rPr>
        <w:instrText xml:space="preserve"> HYPERLINK \l _Toc32560 </w:instrText>
      </w:r>
      <w:r>
        <w:rPr>
          <w:rFonts w:hint="eastAsia" w:ascii="宋体" w:hAnsi="宋体" w:eastAsia="宋体" w:cs="宋体"/>
          <w:bCs/>
          <w:caps/>
          <w:szCs w:val="28"/>
        </w:rPr>
        <w:fldChar w:fldCharType="separate"/>
      </w:r>
      <w:r>
        <w:rPr>
          <w:rFonts w:hint="eastAsia" w:ascii="宋体" w:hAnsi="宋体" w:eastAsia="宋体" w:cs="宋体"/>
          <w:szCs w:val="18"/>
          <w:lang w:val="en-US" w:eastAsia="zh-CN"/>
        </w:rPr>
        <w:t>四、以往地质环境治理、土地复垦验收、还地情况</w:t>
      </w:r>
      <w:r>
        <w:tab/>
      </w:r>
      <w:r>
        <w:rPr>
          <w:rFonts w:hint="eastAsia"/>
          <w:lang w:val="en-US" w:eastAsia="zh-CN"/>
        </w:rPr>
        <w:t>1</w:t>
      </w:r>
      <w:r>
        <w:rPr>
          <w:rFonts w:hint="eastAsia" w:ascii="宋体" w:hAnsi="宋体" w:eastAsia="宋体" w:cs="宋体"/>
          <w:bCs/>
          <w:caps/>
          <w:szCs w:val="28"/>
        </w:rPr>
        <w:fldChar w:fldCharType="end"/>
      </w:r>
      <w:r>
        <w:rPr>
          <w:rFonts w:hint="eastAsia" w:ascii="宋体" w:hAnsi="宋体" w:cs="宋体"/>
          <w:bCs/>
          <w:caps/>
          <w:szCs w:val="28"/>
          <w:lang w:val="en-US" w:eastAsia="zh-CN"/>
        </w:rPr>
        <w:t>6</w:t>
      </w:r>
    </w:p>
    <w:p w14:paraId="59D7A1A5">
      <w:pPr>
        <w:pStyle w:val="8"/>
        <w:tabs>
          <w:tab w:val="right" w:leader="dot" w:pos="8385"/>
        </w:tabs>
        <w:rPr>
          <w:rFonts w:hint="eastAsia" w:eastAsia="宋体"/>
          <w:lang w:val="en-US" w:eastAsia="zh-CN"/>
        </w:rPr>
      </w:pPr>
      <w:r>
        <w:rPr>
          <w:rFonts w:hint="eastAsia" w:ascii="宋体" w:hAnsi="宋体" w:eastAsia="宋体" w:cs="宋体"/>
          <w:bCs w:val="0"/>
          <w:caps w:val="0"/>
          <w:szCs w:val="28"/>
        </w:rPr>
        <w:fldChar w:fldCharType="begin"/>
      </w:r>
      <w:r>
        <w:rPr>
          <w:rFonts w:hint="eastAsia" w:ascii="宋体" w:hAnsi="宋体" w:eastAsia="宋体" w:cs="宋体"/>
          <w:bCs w:val="0"/>
          <w:caps w:val="0"/>
          <w:szCs w:val="28"/>
        </w:rPr>
        <w:instrText xml:space="preserve"> HYPERLINK \l _Toc26336 </w:instrText>
      </w:r>
      <w:r>
        <w:rPr>
          <w:rFonts w:hint="eastAsia" w:ascii="宋体" w:hAnsi="宋体" w:eastAsia="宋体" w:cs="宋体"/>
          <w:bCs w:val="0"/>
          <w:caps w:val="0"/>
          <w:szCs w:val="28"/>
        </w:rPr>
        <w:fldChar w:fldCharType="separate"/>
      </w:r>
      <w:r>
        <w:rPr>
          <w:rFonts w:hint="eastAsia" w:ascii="宋体" w:hAnsi="宋体" w:eastAsia="宋体" w:cs="宋体"/>
          <w:szCs w:val="30"/>
        </w:rPr>
        <w:t>第</w:t>
      </w:r>
      <w:r>
        <w:rPr>
          <w:rFonts w:hint="eastAsia" w:ascii="宋体" w:hAnsi="宋体" w:eastAsia="宋体" w:cs="宋体"/>
          <w:szCs w:val="30"/>
          <w:lang w:val="en-US" w:eastAsia="zh-CN"/>
        </w:rPr>
        <w:t>五</w:t>
      </w:r>
      <w:r>
        <w:rPr>
          <w:rFonts w:hint="eastAsia" w:ascii="宋体" w:hAnsi="宋体" w:eastAsia="宋体" w:cs="宋体"/>
          <w:szCs w:val="30"/>
        </w:rPr>
        <w:t xml:space="preserve">章  </w:t>
      </w:r>
      <w:r>
        <w:rPr>
          <w:rFonts w:hint="eastAsia" w:ascii="宋体" w:hAnsi="宋体" w:eastAsia="宋体" w:cs="宋体"/>
          <w:szCs w:val="30"/>
          <w:lang w:eastAsia="zh-CN"/>
        </w:rPr>
        <w:t>《</w:t>
      </w:r>
      <w:r>
        <w:rPr>
          <w:rFonts w:hint="eastAsia" w:ascii="宋体" w:hAnsi="宋体" w:eastAsia="宋体" w:cs="宋体"/>
          <w:szCs w:val="30"/>
          <w:lang w:val="en-US" w:eastAsia="zh-CN"/>
        </w:rPr>
        <w:t>方案</w:t>
      </w:r>
      <w:r>
        <w:rPr>
          <w:rFonts w:hint="eastAsia" w:ascii="宋体" w:hAnsi="宋体" w:eastAsia="宋体" w:cs="宋体"/>
          <w:szCs w:val="30"/>
          <w:lang w:eastAsia="zh-CN"/>
        </w:rPr>
        <w:t>》</w:t>
      </w:r>
      <w:r>
        <w:rPr>
          <w:rFonts w:hint="eastAsia" w:ascii="宋体" w:hAnsi="宋体" w:eastAsia="宋体" w:cs="宋体"/>
          <w:szCs w:val="30"/>
          <w:lang w:val="en-US" w:eastAsia="zh-CN"/>
        </w:rPr>
        <w:t>近期治理工作部署</w:t>
      </w:r>
      <w:r>
        <w:tab/>
      </w:r>
      <w:r>
        <w:rPr>
          <w:rFonts w:hint="eastAsia"/>
          <w:lang w:val="en-US" w:eastAsia="zh-CN"/>
        </w:rPr>
        <w:t>1</w:t>
      </w:r>
      <w:r>
        <w:rPr>
          <w:rFonts w:hint="eastAsia" w:ascii="宋体" w:hAnsi="宋体" w:eastAsia="宋体" w:cs="宋体"/>
          <w:bCs w:val="0"/>
          <w:caps w:val="0"/>
          <w:szCs w:val="28"/>
        </w:rPr>
        <w:fldChar w:fldCharType="end"/>
      </w:r>
      <w:r>
        <w:rPr>
          <w:rFonts w:hint="eastAsia" w:ascii="宋体" w:hAnsi="宋体" w:cs="宋体"/>
          <w:bCs w:val="0"/>
          <w:caps w:val="0"/>
          <w:szCs w:val="28"/>
          <w:lang w:val="en-US" w:eastAsia="zh-CN"/>
        </w:rPr>
        <w:t>8</w:t>
      </w:r>
    </w:p>
    <w:p w14:paraId="754DAEC1">
      <w:pPr>
        <w:pStyle w:val="9"/>
        <w:tabs>
          <w:tab w:val="right" w:leader="dot" w:pos="8385"/>
        </w:tabs>
        <w:rPr>
          <w:rFonts w:hint="eastAsia" w:eastAsia="宋体"/>
          <w:lang w:val="en-US" w:eastAsia="zh-CN"/>
        </w:rPr>
      </w:pPr>
      <w:r>
        <w:rPr>
          <w:rFonts w:hint="eastAsia" w:ascii="宋体" w:hAnsi="宋体" w:eastAsia="宋体" w:cs="宋体"/>
          <w:bCs/>
          <w:caps/>
          <w:szCs w:val="28"/>
        </w:rPr>
        <w:fldChar w:fldCharType="begin"/>
      </w:r>
      <w:r>
        <w:rPr>
          <w:rFonts w:hint="eastAsia" w:ascii="宋体" w:hAnsi="宋体" w:eastAsia="宋体" w:cs="宋体"/>
          <w:bCs/>
          <w:caps/>
          <w:szCs w:val="28"/>
        </w:rPr>
        <w:instrText xml:space="preserve"> HYPERLINK \l _Toc28610 </w:instrText>
      </w:r>
      <w:r>
        <w:rPr>
          <w:rFonts w:hint="eastAsia" w:ascii="宋体" w:hAnsi="宋体" w:eastAsia="宋体" w:cs="宋体"/>
          <w:bCs/>
          <w:caps/>
          <w:szCs w:val="28"/>
        </w:rPr>
        <w:fldChar w:fldCharType="separate"/>
      </w:r>
      <w:r>
        <w:rPr>
          <w:rFonts w:hint="eastAsia" w:ascii="宋体" w:hAnsi="宋体" w:eastAsia="宋体" w:cs="宋体"/>
          <w:szCs w:val="28"/>
          <w:highlight w:val="none"/>
        </w:rPr>
        <w:t>一、</w:t>
      </w:r>
      <w:r>
        <w:rPr>
          <w:rFonts w:hint="eastAsia" w:ascii="宋体" w:hAnsi="宋体" w:eastAsia="宋体" w:cs="宋体"/>
          <w:szCs w:val="28"/>
          <w:highlight w:val="none"/>
          <w:lang w:val="en-US" w:eastAsia="zh-CN"/>
        </w:rPr>
        <w:t>近期</w:t>
      </w:r>
      <w:r>
        <w:rPr>
          <w:rFonts w:hint="eastAsia" w:ascii="宋体" w:hAnsi="宋体" w:eastAsia="宋体" w:cs="宋体"/>
          <w:szCs w:val="28"/>
          <w:highlight w:val="none"/>
        </w:rPr>
        <w:t>土地复垦区与复垦责任范围</w:t>
      </w:r>
      <w:r>
        <w:tab/>
      </w:r>
      <w:r>
        <w:rPr>
          <w:rFonts w:hint="eastAsia"/>
          <w:lang w:val="en-US" w:eastAsia="zh-CN"/>
        </w:rPr>
        <w:t>1</w:t>
      </w:r>
      <w:r>
        <w:rPr>
          <w:rFonts w:hint="eastAsia" w:ascii="宋体" w:hAnsi="宋体" w:eastAsia="宋体" w:cs="宋体"/>
          <w:bCs/>
          <w:caps/>
          <w:szCs w:val="28"/>
        </w:rPr>
        <w:fldChar w:fldCharType="end"/>
      </w:r>
      <w:r>
        <w:rPr>
          <w:rFonts w:hint="eastAsia" w:ascii="宋体" w:hAnsi="宋体" w:cs="宋体"/>
          <w:bCs/>
          <w:caps/>
          <w:szCs w:val="28"/>
          <w:lang w:val="en-US" w:eastAsia="zh-CN"/>
        </w:rPr>
        <w:t>8</w:t>
      </w:r>
    </w:p>
    <w:p w14:paraId="26BEC9B6">
      <w:pPr>
        <w:pStyle w:val="9"/>
        <w:tabs>
          <w:tab w:val="right" w:leader="dot" w:pos="8385"/>
        </w:tabs>
        <w:rPr>
          <w:rFonts w:hint="eastAsia" w:eastAsia="宋体"/>
          <w:lang w:val="en-US" w:eastAsia="zh-CN"/>
        </w:rPr>
      </w:pPr>
      <w:r>
        <w:rPr>
          <w:rFonts w:hint="eastAsia" w:ascii="宋体" w:hAnsi="宋体" w:eastAsia="宋体" w:cs="宋体"/>
          <w:bCs/>
          <w:caps/>
          <w:szCs w:val="28"/>
        </w:rPr>
        <w:fldChar w:fldCharType="begin"/>
      </w:r>
      <w:r>
        <w:rPr>
          <w:rFonts w:hint="eastAsia" w:ascii="宋体" w:hAnsi="宋体" w:eastAsia="宋体" w:cs="宋体"/>
          <w:bCs/>
          <w:caps/>
          <w:szCs w:val="28"/>
        </w:rPr>
        <w:instrText xml:space="preserve"> HYPERLINK \l _Toc29881 </w:instrText>
      </w:r>
      <w:r>
        <w:rPr>
          <w:rFonts w:hint="eastAsia" w:ascii="宋体" w:hAnsi="宋体" w:eastAsia="宋体" w:cs="宋体"/>
          <w:bCs/>
          <w:caps/>
          <w:szCs w:val="28"/>
        </w:rPr>
        <w:fldChar w:fldCharType="separate"/>
      </w:r>
      <w:r>
        <w:rPr>
          <w:rFonts w:hint="eastAsia" w:ascii="宋体" w:hAnsi="宋体" w:eastAsia="宋体" w:cs="宋体"/>
          <w:szCs w:val="28"/>
          <w:highlight w:val="none"/>
          <w:lang w:val="en-US" w:eastAsia="zh-CN"/>
        </w:rPr>
        <w:t>二、</w:t>
      </w:r>
      <w:r>
        <w:rPr>
          <w:rFonts w:hint="eastAsia" w:ascii="宋体" w:hAnsi="宋体" w:eastAsia="宋体" w:cs="宋体"/>
          <w:szCs w:val="28"/>
          <w:highlight w:val="none"/>
        </w:rPr>
        <w:t>矿山地质环境治理</w:t>
      </w:r>
      <w:r>
        <w:rPr>
          <w:rFonts w:hint="eastAsia" w:ascii="宋体" w:hAnsi="宋体" w:eastAsia="宋体" w:cs="宋体"/>
          <w:szCs w:val="28"/>
          <w:highlight w:val="none"/>
          <w:lang w:val="en-US" w:eastAsia="zh-CN"/>
        </w:rPr>
        <w:t>与土地复垦</w:t>
      </w:r>
      <w:r>
        <w:rPr>
          <w:rFonts w:hint="eastAsia" w:ascii="宋体" w:hAnsi="宋体" w:eastAsia="宋体" w:cs="宋体"/>
          <w:szCs w:val="28"/>
          <w:highlight w:val="none"/>
        </w:rPr>
        <w:t>近期工作安排</w:t>
      </w:r>
      <w:r>
        <w:tab/>
      </w:r>
      <w:r>
        <w:rPr>
          <w:rFonts w:hint="eastAsia"/>
          <w:lang w:val="en-US" w:eastAsia="zh-CN"/>
        </w:rPr>
        <w:t>1</w:t>
      </w:r>
      <w:r>
        <w:rPr>
          <w:rFonts w:hint="eastAsia" w:ascii="宋体" w:hAnsi="宋体" w:eastAsia="宋体" w:cs="宋体"/>
          <w:bCs/>
          <w:caps/>
          <w:szCs w:val="28"/>
        </w:rPr>
        <w:fldChar w:fldCharType="end"/>
      </w:r>
      <w:r>
        <w:rPr>
          <w:rFonts w:hint="eastAsia" w:ascii="宋体" w:hAnsi="宋体" w:cs="宋体"/>
          <w:bCs/>
          <w:caps/>
          <w:szCs w:val="28"/>
          <w:lang w:val="en-US" w:eastAsia="zh-CN"/>
        </w:rPr>
        <w:t>9</w:t>
      </w:r>
    </w:p>
    <w:p w14:paraId="2AFB47FE">
      <w:pPr>
        <w:pStyle w:val="8"/>
        <w:tabs>
          <w:tab w:val="right" w:leader="dot" w:pos="8385"/>
        </w:tabs>
        <w:rPr>
          <w:rFonts w:hint="eastAsia" w:eastAsia="宋体"/>
          <w:lang w:val="en-US" w:eastAsia="zh-CN"/>
        </w:rPr>
      </w:pPr>
      <w:r>
        <w:rPr>
          <w:rFonts w:hint="eastAsia" w:ascii="宋体" w:hAnsi="宋体" w:eastAsia="宋体" w:cs="宋体"/>
          <w:bCs w:val="0"/>
          <w:caps w:val="0"/>
          <w:szCs w:val="28"/>
        </w:rPr>
        <w:fldChar w:fldCharType="begin"/>
      </w:r>
      <w:r>
        <w:rPr>
          <w:rFonts w:hint="eastAsia" w:ascii="宋体" w:hAnsi="宋体" w:eastAsia="宋体" w:cs="宋体"/>
          <w:bCs w:val="0"/>
          <w:caps w:val="0"/>
          <w:szCs w:val="28"/>
        </w:rPr>
        <w:instrText xml:space="preserve"> HYPERLINK \l _Toc10415 </w:instrText>
      </w:r>
      <w:r>
        <w:rPr>
          <w:rFonts w:hint="eastAsia" w:ascii="宋体" w:hAnsi="宋体" w:eastAsia="宋体" w:cs="宋体"/>
          <w:bCs w:val="0"/>
          <w:caps w:val="0"/>
          <w:szCs w:val="28"/>
        </w:rPr>
        <w:fldChar w:fldCharType="separate"/>
      </w:r>
      <w:r>
        <w:rPr>
          <w:rFonts w:hint="eastAsia" w:ascii="宋体" w:hAnsi="宋体" w:eastAsia="宋体" w:cs="宋体"/>
          <w:szCs w:val="30"/>
        </w:rPr>
        <w:t xml:space="preserve">第六章  </w:t>
      </w:r>
      <w:r>
        <w:rPr>
          <w:rFonts w:hint="eastAsia" w:ascii="宋体" w:hAnsi="宋体" w:eastAsia="宋体" w:cs="宋体"/>
          <w:szCs w:val="30"/>
          <w:lang w:val="en-US" w:eastAsia="zh-CN"/>
        </w:rPr>
        <w:t>本年度矿山地质环境治理与土地复垦工作安排</w:t>
      </w:r>
      <w:r>
        <w:tab/>
      </w:r>
      <w:r>
        <w:rPr>
          <w:rFonts w:hint="eastAsia"/>
          <w:lang w:val="en-US" w:eastAsia="zh-CN"/>
        </w:rPr>
        <w:t>2</w:t>
      </w:r>
      <w:r>
        <w:rPr>
          <w:rFonts w:hint="eastAsia" w:ascii="宋体" w:hAnsi="宋体" w:eastAsia="宋体" w:cs="宋体"/>
          <w:bCs w:val="0"/>
          <w:caps w:val="0"/>
          <w:szCs w:val="28"/>
        </w:rPr>
        <w:fldChar w:fldCharType="end"/>
      </w:r>
      <w:r>
        <w:rPr>
          <w:rFonts w:hint="eastAsia" w:ascii="宋体" w:hAnsi="宋体" w:cs="宋体"/>
          <w:bCs w:val="0"/>
          <w:caps w:val="0"/>
          <w:szCs w:val="28"/>
          <w:lang w:val="en-US" w:eastAsia="zh-CN"/>
        </w:rPr>
        <w:t>5</w:t>
      </w:r>
    </w:p>
    <w:p w14:paraId="4E1EBFDD">
      <w:pPr>
        <w:pStyle w:val="9"/>
        <w:tabs>
          <w:tab w:val="right" w:leader="dot" w:pos="8385"/>
        </w:tabs>
        <w:rPr>
          <w:rFonts w:hint="eastAsia" w:eastAsia="宋体"/>
          <w:lang w:val="en-US" w:eastAsia="zh-CN"/>
        </w:rPr>
      </w:pPr>
      <w:r>
        <w:rPr>
          <w:rFonts w:hint="eastAsia" w:ascii="宋体" w:hAnsi="宋体" w:eastAsia="宋体" w:cs="宋体"/>
          <w:bCs/>
          <w:caps/>
          <w:szCs w:val="28"/>
        </w:rPr>
        <w:fldChar w:fldCharType="begin"/>
      </w:r>
      <w:r>
        <w:rPr>
          <w:rFonts w:hint="eastAsia" w:ascii="宋体" w:hAnsi="宋体" w:eastAsia="宋体" w:cs="宋体"/>
          <w:bCs/>
          <w:caps/>
          <w:szCs w:val="28"/>
        </w:rPr>
        <w:instrText xml:space="preserve"> HYPERLINK \l _Toc7982 </w:instrText>
      </w:r>
      <w:r>
        <w:rPr>
          <w:rFonts w:hint="eastAsia" w:ascii="宋体" w:hAnsi="宋体" w:eastAsia="宋体" w:cs="宋体"/>
          <w:bCs/>
          <w:caps/>
          <w:szCs w:val="28"/>
        </w:rPr>
        <w:fldChar w:fldCharType="separate"/>
      </w:r>
      <w:r>
        <w:rPr>
          <w:rFonts w:hint="eastAsia" w:ascii="宋体" w:hAnsi="宋体" w:eastAsia="宋体" w:cs="宋体"/>
          <w:szCs w:val="28"/>
        </w:rPr>
        <w:t>一、</w:t>
      </w:r>
      <w:r>
        <w:rPr>
          <w:rFonts w:hint="eastAsia" w:ascii="宋体" w:hAnsi="宋体" w:eastAsia="宋体" w:cs="宋体"/>
          <w:szCs w:val="28"/>
          <w:lang w:val="en-US" w:eastAsia="zh-CN"/>
        </w:rPr>
        <w:t>本年度矿山地质环境治理与土地复垦工作计划</w:t>
      </w:r>
      <w:r>
        <w:tab/>
      </w:r>
      <w:r>
        <w:rPr>
          <w:rFonts w:hint="eastAsia"/>
          <w:lang w:val="en-US" w:eastAsia="zh-CN"/>
        </w:rPr>
        <w:t>2</w:t>
      </w:r>
      <w:r>
        <w:rPr>
          <w:rFonts w:hint="eastAsia" w:ascii="宋体" w:hAnsi="宋体" w:eastAsia="宋体" w:cs="宋体"/>
          <w:bCs/>
          <w:caps/>
          <w:szCs w:val="28"/>
        </w:rPr>
        <w:fldChar w:fldCharType="end"/>
      </w:r>
      <w:r>
        <w:rPr>
          <w:rFonts w:hint="eastAsia" w:ascii="宋体" w:hAnsi="宋体" w:cs="宋体"/>
          <w:bCs/>
          <w:caps/>
          <w:szCs w:val="28"/>
          <w:lang w:val="en-US" w:eastAsia="zh-CN"/>
        </w:rPr>
        <w:t>5</w:t>
      </w:r>
    </w:p>
    <w:p w14:paraId="4950C45D">
      <w:pPr>
        <w:pStyle w:val="9"/>
        <w:tabs>
          <w:tab w:val="right" w:leader="dot" w:pos="8385"/>
        </w:tabs>
        <w:rPr>
          <w:rFonts w:hint="eastAsia" w:eastAsia="宋体"/>
          <w:lang w:val="en-US" w:eastAsia="zh-CN"/>
        </w:rPr>
      </w:pPr>
      <w:r>
        <w:rPr>
          <w:rFonts w:hint="eastAsia" w:ascii="宋体" w:hAnsi="宋体" w:eastAsia="宋体" w:cs="宋体"/>
          <w:bCs/>
          <w:caps/>
          <w:szCs w:val="28"/>
        </w:rPr>
        <w:fldChar w:fldCharType="begin"/>
      </w:r>
      <w:r>
        <w:rPr>
          <w:rFonts w:hint="eastAsia" w:ascii="宋体" w:hAnsi="宋体" w:eastAsia="宋体" w:cs="宋体"/>
          <w:bCs/>
          <w:caps/>
          <w:szCs w:val="28"/>
        </w:rPr>
        <w:instrText xml:space="preserve"> HYPERLINK \l _Toc13242 </w:instrText>
      </w:r>
      <w:r>
        <w:rPr>
          <w:rFonts w:hint="eastAsia" w:ascii="宋体" w:hAnsi="宋体" w:eastAsia="宋体" w:cs="宋体"/>
          <w:bCs/>
          <w:caps/>
          <w:szCs w:val="28"/>
        </w:rPr>
        <w:fldChar w:fldCharType="separate"/>
      </w:r>
      <w:r>
        <w:rPr>
          <w:rFonts w:hint="eastAsia" w:ascii="宋体" w:hAnsi="宋体" w:eastAsia="宋体" w:cs="宋体"/>
          <w:szCs w:val="28"/>
          <w:lang w:val="en-US" w:eastAsia="zh-CN"/>
        </w:rPr>
        <w:t>二</w:t>
      </w:r>
      <w:r>
        <w:rPr>
          <w:rFonts w:hint="eastAsia" w:ascii="宋体" w:hAnsi="宋体" w:eastAsia="宋体" w:cs="宋体"/>
          <w:szCs w:val="28"/>
        </w:rPr>
        <w:t>、</w:t>
      </w:r>
      <w:r>
        <w:rPr>
          <w:rFonts w:hint="eastAsia" w:ascii="宋体" w:hAnsi="宋体" w:eastAsia="宋体" w:cs="宋体"/>
          <w:szCs w:val="28"/>
          <w:lang w:val="en-US" w:eastAsia="zh-CN"/>
        </w:rPr>
        <w:t>矿山地质环境治理与土地复垦动态监测工作计划</w:t>
      </w:r>
      <w:r>
        <w:tab/>
      </w:r>
      <w:r>
        <w:rPr>
          <w:rFonts w:hint="eastAsia"/>
          <w:lang w:val="en-US" w:eastAsia="zh-CN"/>
        </w:rPr>
        <w:t>2</w:t>
      </w:r>
      <w:r>
        <w:rPr>
          <w:rFonts w:hint="eastAsia" w:ascii="宋体" w:hAnsi="宋体" w:eastAsia="宋体" w:cs="宋体"/>
          <w:bCs/>
          <w:caps/>
          <w:szCs w:val="28"/>
        </w:rPr>
        <w:fldChar w:fldCharType="end"/>
      </w:r>
      <w:r>
        <w:rPr>
          <w:rFonts w:hint="eastAsia" w:ascii="宋体" w:hAnsi="宋体" w:cs="宋体"/>
          <w:bCs/>
          <w:caps/>
          <w:szCs w:val="28"/>
          <w:lang w:val="en-US" w:eastAsia="zh-CN"/>
        </w:rPr>
        <w:t>5</w:t>
      </w:r>
    </w:p>
    <w:p w14:paraId="265F45EE">
      <w:pPr>
        <w:pStyle w:val="9"/>
        <w:tabs>
          <w:tab w:val="right" w:leader="dot" w:pos="8385"/>
        </w:tabs>
        <w:rPr>
          <w:rFonts w:hint="eastAsia" w:eastAsia="宋体"/>
          <w:lang w:val="en-US" w:eastAsia="zh-CN"/>
        </w:rPr>
      </w:pPr>
      <w:r>
        <w:rPr>
          <w:rFonts w:hint="eastAsia" w:ascii="宋体" w:hAnsi="宋体" w:eastAsia="宋体" w:cs="宋体"/>
          <w:bCs/>
          <w:caps/>
          <w:szCs w:val="28"/>
        </w:rPr>
        <w:fldChar w:fldCharType="begin"/>
      </w:r>
      <w:r>
        <w:rPr>
          <w:rFonts w:hint="eastAsia" w:ascii="宋体" w:hAnsi="宋体" w:eastAsia="宋体" w:cs="宋体"/>
          <w:bCs/>
          <w:caps/>
          <w:szCs w:val="28"/>
        </w:rPr>
        <w:instrText xml:space="preserve"> HYPERLINK \l _Toc16489 </w:instrText>
      </w:r>
      <w:r>
        <w:rPr>
          <w:rFonts w:hint="eastAsia" w:ascii="宋体" w:hAnsi="宋体" w:eastAsia="宋体" w:cs="宋体"/>
          <w:bCs/>
          <w:caps/>
          <w:szCs w:val="28"/>
        </w:rPr>
        <w:fldChar w:fldCharType="separate"/>
      </w:r>
      <w:r>
        <w:rPr>
          <w:rFonts w:hint="eastAsia" w:ascii="宋体" w:hAnsi="宋体" w:eastAsia="宋体" w:cs="宋体"/>
          <w:szCs w:val="28"/>
          <w:lang w:val="en-US" w:eastAsia="zh-CN"/>
        </w:rPr>
        <w:t>三</w:t>
      </w:r>
      <w:r>
        <w:rPr>
          <w:rFonts w:hint="eastAsia" w:ascii="宋体" w:hAnsi="宋体" w:eastAsia="宋体" w:cs="宋体"/>
          <w:szCs w:val="28"/>
        </w:rPr>
        <w:t>、</w:t>
      </w:r>
      <w:r>
        <w:rPr>
          <w:rFonts w:hint="eastAsia" w:ascii="宋体" w:hAnsi="宋体" w:eastAsia="宋体" w:cs="宋体"/>
          <w:szCs w:val="28"/>
          <w:lang w:val="en-US" w:eastAsia="zh-CN"/>
        </w:rPr>
        <w:t>经费投入和基金缴存、提取计划</w:t>
      </w:r>
      <w:r>
        <w:tab/>
      </w:r>
      <w:r>
        <w:rPr>
          <w:rFonts w:hint="eastAsia"/>
          <w:lang w:val="en-US" w:eastAsia="zh-CN"/>
        </w:rPr>
        <w:t>2</w:t>
      </w:r>
      <w:r>
        <w:rPr>
          <w:rFonts w:hint="eastAsia" w:ascii="宋体" w:hAnsi="宋体" w:eastAsia="宋体" w:cs="宋体"/>
          <w:bCs/>
          <w:caps/>
          <w:szCs w:val="28"/>
        </w:rPr>
        <w:fldChar w:fldCharType="end"/>
      </w:r>
      <w:r>
        <w:rPr>
          <w:rFonts w:hint="eastAsia" w:ascii="宋体" w:hAnsi="宋体" w:cs="宋体"/>
          <w:bCs/>
          <w:caps/>
          <w:szCs w:val="28"/>
          <w:lang w:val="en-US" w:eastAsia="zh-CN"/>
        </w:rPr>
        <w:t>9</w:t>
      </w:r>
    </w:p>
    <w:p w14:paraId="6F60ED72">
      <w:pPr>
        <w:pStyle w:val="9"/>
        <w:tabs>
          <w:tab w:val="right" w:leader="dot" w:pos="8385"/>
        </w:tabs>
        <w:rPr>
          <w:rFonts w:hint="eastAsia" w:eastAsia="宋体"/>
          <w:lang w:val="en-US" w:eastAsia="zh-CN"/>
        </w:rPr>
      </w:pPr>
      <w:r>
        <w:rPr>
          <w:rFonts w:hint="eastAsia" w:ascii="宋体" w:hAnsi="宋体" w:eastAsia="宋体" w:cs="宋体"/>
          <w:bCs/>
          <w:caps/>
          <w:szCs w:val="28"/>
        </w:rPr>
        <w:fldChar w:fldCharType="begin"/>
      </w:r>
      <w:r>
        <w:rPr>
          <w:rFonts w:hint="eastAsia" w:ascii="宋体" w:hAnsi="宋体" w:eastAsia="宋体" w:cs="宋体"/>
          <w:bCs/>
          <w:caps/>
          <w:szCs w:val="28"/>
        </w:rPr>
        <w:instrText xml:space="preserve"> HYPERLINK \l _Toc25620 </w:instrText>
      </w:r>
      <w:r>
        <w:rPr>
          <w:rFonts w:hint="eastAsia" w:ascii="宋体" w:hAnsi="宋体" w:eastAsia="宋体" w:cs="宋体"/>
          <w:bCs/>
          <w:caps/>
          <w:szCs w:val="28"/>
        </w:rPr>
        <w:fldChar w:fldCharType="separate"/>
      </w:r>
      <w:r>
        <w:rPr>
          <w:rFonts w:hint="eastAsia" w:ascii="宋体" w:hAnsi="宋体" w:eastAsia="宋体" w:cs="宋体"/>
          <w:szCs w:val="28"/>
          <w:lang w:val="en-US" w:eastAsia="zh-CN"/>
        </w:rPr>
        <w:t>四、治理工程实施方式与时间安排</w:t>
      </w:r>
      <w:r>
        <w:tab/>
      </w:r>
      <w:r>
        <w:rPr>
          <w:rFonts w:hint="eastAsia"/>
          <w:lang w:val="en-US" w:eastAsia="zh-CN"/>
        </w:rPr>
        <w:t>2</w:t>
      </w:r>
      <w:r>
        <w:rPr>
          <w:rFonts w:hint="eastAsia" w:ascii="宋体" w:hAnsi="宋体" w:eastAsia="宋体" w:cs="宋体"/>
          <w:bCs/>
          <w:caps/>
          <w:szCs w:val="28"/>
        </w:rPr>
        <w:fldChar w:fldCharType="end"/>
      </w:r>
      <w:r>
        <w:rPr>
          <w:rFonts w:hint="eastAsia" w:ascii="宋体" w:hAnsi="宋体" w:cs="宋体"/>
          <w:bCs/>
          <w:caps/>
          <w:szCs w:val="28"/>
          <w:lang w:val="en-US" w:eastAsia="zh-CN"/>
        </w:rPr>
        <w:t>9</w:t>
      </w:r>
    </w:p>
    <w:p w14:paraId="0388E67F">
      <w:pPr>
        <w:pStyle w:val="9"/>
        <w:tabs>
          <w:tab w:val="right" w:leader="dot" w:pos="8385"/>
        </w:tabs>
        <w:rPr>
          <w:rFonts w:hint="eastAsia" w:eastAsia="宋体"/>
          <w:lang w:val="en-US" w:eastAsia="zh-CN"/>
        </w:rPr>
      </w:pPr>
      <w:r>
        <w:rPr>
          <w:rFonts w:hint="eastAsia" w:ascii="宋体" w:hAnsi="宋体" w:eastAsia="宋体" w:cs="宋体"/>
          <w:bCs/>
          <w:caps/>
          <w:szCs w:val="28"/>
        </w:rPr>
        <w:fldChar w:fldCharType="begin"/>
      </w:r>
      <w:r>
        <w:rPr>
          <w:rFonts w:hint="eastAsia" w:ascii="宋体" w:hAnsi="宋体" w:eastAsia="宋体" w:cs="宋体"/>
          <w:bCs/>
          <w:caps/>
          <w:szCs w:val="28"/>
        </w:rPr>
        <w:instrText xml:space="preserve"> HYPERLINK \l _Toc25049 </w:instrText>
      </w:r>
      <w:r>
        <w:rPr>
          <w:rFonts w:hint="eastAsia" w:ascii="宋体" w:hAnsi="宋体" w:eastAsia="宋体" w:cs="宋体"/>
          <w:bCs/>
          <w:caps/>
          <w:szCs w:val="28"/>
        </w:rPr>
        <w:fldChar w:fldCharType="separate"/>
      </w:r>
      <w:r>
        <w:rPr>
          <w:rFonts w:hint="eastAsia" w:ascii="宋体" w:hAnsi="宋体" w:eastAsia="宋体" w:cs="宋体"/>
          <w:szCs w:val="28"/>
          <w:lang w:val="en-US" w:eastAsia="zh-CN"/>
        </w:rPr>
        <w:t>五、组织机构及保障措施</w:t>
      </w:r>
      <w:r>
        <w:tab/>
      </w:r>
      <w:r>
        <w:rPr>
          <w:rFonts w:hint="eastAsia"/>
          <w:lang w:val="en-US" w:eastAsia="zh-CN"/>
        </w:rPr>
        <w:t>2</w:t>
      </w:r>
      <w:r>
        <w:rPr>
          <w:rFonts w:hint="eastAsia" w:ascii="宋体" w:hAnsi="宋体" w:eastAsia="宋体" w:cs="宋体"/>
          <w:bCs/>
          <w:caps/>
          <w:szCs w:val="28"/>
        </w:rPr>
        <w:fldChar w:fldCharType="end"/>
      </w:r>
      <w:r>
        <w:rPr>
          <w:rFonts w:hint="eastAsia" w:ascii="宋体" w:hAnsi="宋体" w:cs="宋体"/>
          <w:bCs/>
          <w:caps/>
          <w:szCs w:val="28"/>
          <w:lang w:val="en-US" w:eastAsia="zh-CN"/>
        </w:rPr>
        <w:t>9</w:t>
      </w:r>
    </w:p>
    <w:p w14:paraId="161E0C71">
      <w:pPr>
        <w:spacing w:before="0" w:beforeLines="0" w:after="0" w:afterLines="0" w:line="240" w:lineRule="auto"/>
        <w:ind w:left="0" w:leftChars="0" w:right="0" w:rightChars="0" w:firstLine="0" w:firstLineChars="0"/>
        <w:jc w:val="center"/>
        <w:rPr>
          <w:rFonts w:hint="eastAsia" w:ascii="宋体" w:hAnsi="宋体" w:eastAsia="宋体" w:cs="宋体"/>
          <w:b/>
          <w:bCs/>
          <w:sz w:val="28"/>
          <w:szCs w:val="28"/>
          <w:lang w:val="en-US" w:eastAsia="zh-CN" w:bidi="en-US"/>
        </w:rPr>
      </w:pPr>
      <w:r>
        <w:rPr>
          <w:rFonts w:hint="eastAsia" w:ascii="宋体" w:hAnsi="宋体" w:eastAsia="宋体" w:cs="宋体"/>
          <w:bCs/>
          <w:caps/>
          <w:szCs w:val="28"/>
        </w:rPr>
        <w:fldChar w:fldCharType="end"/>
      </w:r>
    </w:p>
    <w:p w14:paraId="5100AE6D">
      <w:pPr>
        <w:spacing w:before="0" w:beforeLines="0" w:after="0" w:afterLines="0" w:line="240" w:lineRule="auto"/>
        <w:ind w:left="0" w:leftChars="0" w:right="0" w:rightChars="0" w:firstLine="0" w:firstLineChars="0"/>
        <w:jc w:val="center"/>
        <w:rPr>
          <w:rFonts w:hint="eastAsia" w:ascii="宋体" w:hAnsi="宋体" w:eastAsia="宋体" w:cs="宋体"/>
          <w:b/>
          <w:bCs/>
          <w:sz w:val="28"/>
          <w:szCs w:val="28"/>
          <w:lang w:val="en-US" w:eastAsia="zh-CN" w:bidi="en-US"/>
        </w:rPr>
      </w:pPr>
    </w:p>
    <w:p w14:paraId="3DBDFDCC">
      <w:pPr>
        <w:spacing w:before="0" w:beforeLines="0" w:after="0" w:afterLines="0" w:line="240" w:lineRule="auto"/>
        <w:ind w:left="0" w:leftChars="0" w:right="0" w:rightChars="0" w:firstLine="0" w:firstLineChars="0"/>
        <w:jc w:val="center"/>
        <w:rPr>
          <w:rFonts w:hint="eastAsia" w:ascii="宋体" w:hAnsi="宋体" w:eastAsia="宋体" w:cs="宋体"/>
          <w:b/>
          <w:bCs/>
          <w:sz w:val="28"/>
          <w:szCs w:val="28"/>
          <w:lang w:val="en-US" w:eastAsia="zh-CN" w:bidi="en-US"/>
        </w:rPr>
      </w:pPr>
      <w:r>
        <w:rPr>
          <w:rFonts w:hint="eastAsia" w:ascii="宋体" w:hAnsi="宋体" w:eastAsia="宋体" w:cs="宋体"/>
          <w:b/>
          <w:bCs/>
          <w:sz w:val="28"/>
          <w:szCs w:val="28"/>
          <w:lang w:val="en-US" w:eastAsia="zh-CN" w:bidi="en-US"/>
        </w:rPr>
        <w:t>附图</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653"/>
        <w:gridCol w:w="6093"/>
        <w:gridCol w:w="846"/>
      </w:tblGrid>
      <w:tr w14:paraId="1339B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960" w:type="dxa"/>
            <w:noWrap w:val="0"/>
            <w:vAlign w:val="center"/>
          </w:tcPr>
          <w:p w14:paraId="7C9ABB07">
            <w:pPr>
              <w:pStyle w:val="13"/>
              <w:jc w:val="center"/>
              <w:rPr>
                <w:rFonts w:hint="eastAsia" w:ascii="宋体" w:hAnsi="宋体" w:eastAsia="宋体" w:cs="宋体"/>
                <w:b w:val="0"/>
                <w:bCs w:val="0"/>
                <w:color w:val="auto"/>
                <w:sz w:val="21"/>
                <w:szCs w:val="21"/>
                <w:vertAlign w:val="baseline"/>
                <w:lang w:val="en-US" w:eastAsia="zh-CN" w:bidi="en-US"/>
              </w:rPr>
            </w:pPr>
            <w:r>
              <w:rPr>
                <w:rFonts w:hint="eastAsia" w:eastAsia="宋体" w:cs="宋体"/>
                <w:b w:val="0"/>
                <w:bCs w:val="0"/>
                <w:color w:val="auto"/>
                <w:sz w:val="21"/>
                <w:szCs w:val="21"/>
                <w:vertAlign w:val="baseline"/>
                <w:lang w:val="en-US" w:eastAsia="zh-CN" w:bidi="en-US"/>
              </w:rPr>
              <w:t>顺序号</w:t>
            </w:r>
          </w:p>
        </w:tc>
        <w:tc>
          <w:tcPr>
            <w:tcW w:w="667" w:type="dxa"/>
            <w:noWrap w:val="0"/>
            <w:vAlign w:val="center"/>
          </w:tcPr>
          <w:p w14:paraId="2AF7ED17">
            <w:pPr>
              <w:pStyle w:val="13"/>
              <w:jc w:val="center"/>
              <w:rPr>
                <w:rFonts w:hint="eastAsia" w:ascii="宋体" w:hAnsi="宋体" w:eastAsia="宋体" w:cs="宋体"/>
                <w:b w:val="0"/>
                <w:bCs w:val="0"/>
                <w:color w:val="auto"/>
                <w:sz w:val="21"/>
                <w:szCs w:val="21"/>
                <w:vertAlign w:val="baseline"/>
                <w:lang w:val="en-US" w:eastAsia="zh-CN" w:bidi="en-US"/>
              </w:rPr>
            </w:pPr>
            <w:r>
              <w:rPr>
                <w:rFonts w:hint="eastAsia" w:eastAsia="宋体" w:cs="宋体"/>
                <w:b w:val="0"/>
                <w:bCs w:val="0"/>
                <w:color w:val="auto"/>
                <w:sz w:val="21"/>
                <w:szCs w:val="21"/>
                <w:vertAlign w:val="baseline"/>
                <w:lang w:val="en-US" w:eastAsia="zh-CN" w:bidi="en-US"/>
              </w:rPr>
              <w:t>图号</w:t>
            </w:r>
          </w:p>
        </w:tc>
        <w:tc>
          <w:tcPr>
            <w:tcW w:w="6422" w:type="dxa"/>
            <w:noWrap w:val="0"/>
            <w:vAlign w:val="center"/>
          </w:tcPr>
          <w:p w14:paraId="28EC6350">
            <w:pPr>
              <w:pStyle w:val="13"/>
              <w:jc w:val="center"/>
              <w:rPr>
                <w:rFonts w:hint="eastAsia" w:ascii="宋体" w:hAnsi="宋体" w:eastAsia="宋体" w:cs="宋体"/>
                <w:b w:val="0"/>
                <w:bCs w:val="0"/>
                <w:color w:val="auto"/>
                <w:sz w:val="21"/>
                <w:szCs w:val="21"/>
                <w:vertAlign w:val="baseline"/>
                <w:lang w:val="en-US" w:eastAsia="zh-CN" w:bidi="en-US"/>
              </w:rPr>
            </w:pPr>
            <w:r>
              <w:rPr>
                <w:rFonts w:hint="eastAsia" w:ascii="宋体" w:hAnsi="宋体" w:eastAsia="宋体" w:cs="宋体"/>
                <w:b w:val="0"/>
                <w:bCs w:val="0"/>
                <w:color w:val="auto"/>
                <w:sz w:val="21"/>
                <w:szCs w:val="21"/>
                <w:vertAlign w:val="baseline"/>
                <w:lang w:val="en-US" w:eastAsia="zh-CN" w:bidi="en-US"/>
              </w:rPr>
              <w:t>图名</w:t>
            </w:r>
          </w:p>
        </w:tc>
        <w:tc>
          <w:tcPr>
            <w:tcW w:w="846" w:type="dxa"/>
            <w:noWrap w:val="0"/>
            <w:vAlign w:val="center"/>
          </w:tcPr>
          <w:p w14:paraId="450B8BC4">
            <w:pPr>
              <w:pStyle w:val="13"/>
              <w:jc w:val="center"/>
              <w:rPr>
                <w:rFonts w:hint="eastAsia" w:ascii="宋体" w:hAnsi="宋体" w:eastAsia="宋体" w:cs="宋体"/>
                <w:b w:val="0"/>
                <w:bCs w:val="0"/>
                <w:color w:val="auto"/>
                <w:sz w:val="21"/>
                <w:szCs w:val="21"/>
                <w:vertAlign w:val="baseline"/>
                <w:lang w:val="en-US" w:eastAsia="zh-CN" w:bidi="en-US"/>
              </w:rPr>
            </w:pPr>
            <w:r>
              <w:rPr>
                <w:rFonts w:hint="eastAsia" w:ascii="宋体" w:hAnsi="宋体" w:eastAsia="宋体" w:cs="宋体"/>
                <w:b w:val="0"/>
                <w:bCs w:val="0"/>
                <w:color w:val="auto"/>
                <w:sz w:val="21"/>
                <w:szCs w:val="21"/>
                <w:vertAlign w:val="baseline"/>
                <w:lang w:val="en-US" w:eastAsia="zh-CN" w:bidi="en-US"/>
              </w:rPr>
              <w:t>比例尺</w:t>
            </w:r>
          </w:p>
        </w:tc>
      </w:tr>
      <w:tr w14:paraId="284CD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60" w:type="dxa"/>
            <w:noWrap w:val="0"/>
            <w:vAlign w:val="center"/>
          </w:tcPr>
          <w:p w14:paraId="5DD3EDC1">
            <w:pPr>
              <w:pStyle w:val="13"/>
              <w:jc w:val="center"/>
              <w:rPr>
                <w:rFonts w:hint="eastAsia" w:ascii="宋体" w:hAnsi="宋体" w:eastAsia="宋体" w:cs="宋体"/>
                <w:sz w:val="21"/>
                <w:szCs w:val="21"/>
                <w:lang w:val="en-US" w:eastAsia="zh-CN"/>
              </w:rPr>
            </w:pPr>
            <w:r>
              <w:rPr>
                <w:rFonts w:hint="eastAsia" w:eastAsia="宋体" w:cs="宋体"/>
                <w:sz w:val="21"/>
                <w:szCs w:val="21"/>
                <w:lang w:val="en-US" w:eastAsia="zh-CN"/>
              </w:rPr>
              <w:t>1</w:t>
            </w:r>
          </w:p>
        </w:tc>
        <w:tc>
          <w:tcPr>
            <w:tcW w:w="667" w:type="dxa"/>
            <w:noWrap w:val="0"/>
            <w:vAlign w:val="center"/>
          </w:tcPr>
          <w:p w14:paraId="51394AA8">
            <w:pPr>
              <w:pStyle w:val="13"/>
              <w:jc w:val="center"/>
              <w:rPr>
                <w:rFonts w:hint="eastAsia" w:ascii="宋体" w:hAnsi="宋体" w:eastAsia="宋体" w:cs="宋体"/>
                <w:sz w:val="21"/>
                <w:szCs w:val="21"/>
                <w:lang w:val="en-US" w:eastAsia="zh-CN"/>
              </w:rPr>
            </w:pPr>
            <w:r>
              <w:rPr>
                <w:rFonts w:hint="eastAsia" w:eastAsia="宋体" w:cs="宋体"/>
                <w:sz w:val="21"/>
                <w:szCs w:val="21"/>
                <w:lang w:val="en-US" w:eastAsia="zh-CN"/>
              </w:rPr>
              <w:t>1</w:t>
            </w:r>
          </w:p>
        </w:tc>
        <w:tc>
          <w:tcPr>
            <w:tcW w:w="6422" w:type="dxa"/>
            <w:noWrap w:val="0"/>
            <w:vAlign w:val="center"/>
          </w:tcPr>
          <w:p w14:paraId="7DF3FBD0">
            <w:pPr>
              <w:pStyle w:val="13"/>
              <w:jc w:val="left"/>
              <w:rPr>
                <w:rFonts w:hint="default" w:ascii="宋体" w:hAnsi="宋体" w:eastAsia="宋体" w:cs="宋体"/>
                <w:b w:val="0"/>
                <w:bCs w:val="0"/>
                <w:color w:val="auto"/>
                <w:sz w:val="21"/>
                <w:szCs w:val="21"/>
                <w:vertAlign w:val="baseline"/>
                <w:lang w:val="en-US" w:eastAsia="zh-CN" w:bidi="en-US"/>
              </w:rPr>
            </w:pPr>
            <w:r>
              <w:rPr>
                <w:rFonts w:hint="eastAsia" w:cs="宋体"/>
                <w:b w:val="0"/>
                <w:bCs w:val="0"/>
                <w:color w:val="auto"/>
                <w:sz w:val="21"/>
                <w:szCs w:val="21"/>
                <w:vertAlign w:val="baseline"/>
                <w:lang w:val="en-US" w:eastAsia="zh-CN" w:bidi="en-US"/>
              </w:rPr>
              <w:t>内蒙古金陶股份有限公司金厂沟梁金矿2026年度矿山地质环境治理工程部署图</w:t>
            </w:r>
          </w:p>
        </w:tc>
        <w:tc>
          <w:tcPr>
            <w:tcW w:w="846" w:type="dxa"/>
            <w:noWrap w:val="0"/>
            <w:vAlign w:val="center"/>
          </w:tcPr>
          <w:p w14:paraId="735BF654">
            <w:pPr>
              <w:pStyle w:val="13"/>
              <w:jc w:val="center"/>
              <w:rPr>
                <w:rFonts w:hint="eastAsia" w:ascii="宋体" w:hAnsi="宋体" w:eastAsia="宋体" w:cs="宋体"/>
                <w:b w:val="0"/>
                <w:bCs w:val="0"/>
                <w:color w:val="auto"/>
                <w:sz w:val="21"/>
                <w:szCs w:val="21"/>
                <w:vertAlign w:val="baseline"/>
                <w:lang w:val="en-US" w:eastAsia="zh-CN" w:bidi="en-US"/>
              </w:rPr>
            </w:pPr>
            <w:r>
              <w:rPr>
                <w:rFonts w:hint="eastAsia" w:ascii="宋体" w:hAnsi="宋体" w:eastAsia="宋体" w:cs="宋体"/>
                <w:b w:val="0"/>
                <w:bCs w:val="0"/>
                <w:color w:val="auto"/>
                <w:sz w:val="21"/>
                <w:szCs w:val="21"/>
                <w:vertAlign w:val="baseline"/>
                <w:lang w:val="en-US" w:eastAsia="zh-CN" w:bidi="en-US"/>
              </w:rPr>
              <w:t>1:2000</w:t>
            </w:r>
          </w:p>
        </w:tc>
      </w:tr>
    </w:tbl>
    <w:p w14:paraId="6BBE971C">
      <w:pPr>
        <w:bidi w:val="0"/>
        <w:ind w:left="0" w:leftChars="0" w:firstLine="0" w:firstLineChars="0"/>
        <w:rPr>
          <w:rFonts w:hint="eastAsia"/>
          <w:lang w:val="en-US" w:eastAsia="zh-CN"/>
        </w:rPr>
        <w:sectPr>
          <w:pgSz w:w="11906" w:h="16838"/>
          <w:pgMar w:top="1440" w:right="1800" w:bottom="1440" w:left="1800" w:header="851" w:footer="992" w:gutter="0"/>
          <w:pgNumType w:fmt="decimal"/>
          <w:cols w:space="425" w:num="1"/>
          <w:docGrid w:type="lines" w:linePitch="312" w:charSpace="0"/>
        </w:sectPr>
      </w:pPr>
      <w:bookmarkStart w:id="0" w:name="_Toc15229"/>
    </w:p>
    <w:p w14:paraId="696EC9B5">
      <w:pPr>
        <w:pStyle w:val="13"/>
        <w:numPr>
          <w:ilvl w:val="0"/>
          <w:numId w:val="0"/>
        </w:numPr>
        <w:ind w:firstLine="2711" w:firstLineChars="900"/>
        <w:jc w:val="both"/>
        <w:outlineLvl w:val="0"/>
        <w:rPr>
          <w:sz w:val="30"/>
          <w:szCs w:val="30"/>
        </w:rPr>
      </w:pPr>
      <w:r>
        <w:rPr>
          <w:rFonts w:hint="eastAsia"/>
          <w:b/>
          <w:bCs/>
          <w:sz w:val="30"/>
          <w:szCs w:val="30"/>
          <w:lang w:val="en-US" w:eastAsia="zh-CN"/>
        </w:rPr>
        <w:t>第一章</w:t>
      </w:r>
      <w:r>
        <w:rPr>
          <w:b/>
          <w:bCs/>
          <w:sz w:val="30"/>
          <w:szCs w:val="30"/>
        </w:rPr>
        <w:t>矿山基本情况</w:t>
      </w:r>
      <w:bookmarkEnd w:id="0"/>
    </w:p>
    <w:tbl>
      <w:tblPr>
        <w:tblStyle w:val="10"/>
        <w:tblW w:w="521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7"/>
        <w:gridCol w:w="319"/>
        <w:gridCol w:w="3081"/>
        <w:gridCol w:w="260"/>
        <w:gridCol w:w="1420"/>
        <w:gridCol w:w="2257"/>
      </w:tblGrid>
      <w:tr w14:paraId="55513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5000" w:type="pct"/>
            <w:gridSpan w:val="6"/>
            <w:noWrap w:val="0"/>
            <w:vAlign w:val="center"/>
          </w:tcPr>
          <w:p w14:paraId="0463918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eastAsia" w:asciiTheme="minorEastAsia" w:hAnsiTheme="minorEastAsia" w:eastAsiaTheme="minorEastAsia" w:cstheme="minorEastAsia"/>
                <w:b/>
                <w:sz w:val="21"/>
                <w:szCs w:val="21"/>
                <w:lang w:val="zh-CN"/>
              </w:rPr>
            </w:pPr>
            <w:r>
              <w:rPr>
                <w:rFonts w:hint="eastAsia" w:asciiTheme="minorEastAsia" w:hAnsiTheme="minorEastAsia" w:eastAsiaTheme="minorEastAsia" w:cstheme="minorEastAsia"/>
                <w:b/>
                <w:sz w:val="21"/>
                <w:szCs w:val="21"/>
                <w:lang w:val="zh-CN"/>
              </w:rPr>
              <w:t>矿山企业基本信息</w:t>
            </w:r>
          </w:p>
        </w:tc>
      </w:tr>
      <w:tr w14:paraId="69664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875" w:type="pct"/>
            <w:noWrap w:val="0"/>
            <w:vAlign w:val="center"/>
          </w:tcPr>
          <w:p w14:paraId="1BDA51F3">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矿山名称</w:t>
            </w:r>
          </w:p>
        </w:tc>
        <w:tc>
          <w:tcPr>
            <w:tcW w:w="4124" w:type="pct"/>
            <w:gridSpan w:val="5"/>
            <w:noWrap w:val="0"/>
            <w:vAlign w:val="center"/>
          </w:tcPr>
          <w:p w14:paraId="0F335061">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bCs/>
                <w:sz w:val="21"/>
                <w:szCs w:val="21"/>
                <w:lang w:val="en-US"/>
              </w:rPr>
              <w:t>内蒙古金陶股份有限</w:t>
            </w:r>
            <w:r>
              <w:rPr>
                <w:rFonts w:hint="eastAsia" w:asciiTheme="minorEastAsia" w:hAnsiTheme="minorEastAsia" w:eastAsiaTheme="minorEastAsia" w:cstheme="minorEastAsia"/>
                <w:bCs/>
                <w:sz w:val="21"/>
                <w:szCs w:val="21"/>
                <w:lang w:val="en-US" w:eastAsia="zh-CN"/>
              </w:rPr>
              <w:t>公司金厂沟梁</w:t>
            </w:r>
            <w:r>
              <w:rPr>
                <w:rFonts w:hint="eastAsia" w:asciiTheme="minorEastAsia" w:hAnsiTheme="minorEastAsia" w:eastAsiaTheme="minorEastAsia" w:cstheme="minorEastAsia"/>
                <w:bCs/>
                <w:sz w:val="21"/>
                <w:szCs w:val="21"/>
                <w:lang w:val="en-US"/>
              </w:rPr>
              <w:t>金矿</w:t>
            </w:r>
          </w:p>
        </w:tc>
      </w:tr>
      <w:tr w14:paraId="6F720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5" w:type="pct"/>
            <w:noWrap w:val="0"/>
            <w:vAlign w:val="center"/>
          </w:tcPr>
          <w:p w14:paraId="7C439FA3">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采矿权人</w:t>
            </w:r>
          </w:p>
        </w:tc>
        <w:tc>
          <w:tcPr>
            <w:tcW w:w="1911" w:type="pct"/>
            <w:gridSpan w:val="2"/>
            <w:noWrap w:val="0"/>
            <w:vAlign w:val="center"/>
          </w:tcPr>
          <w:p w14:paraId="79F46B86">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bCs/>
                <w:sz w:val="21"/>
                <w:szCs w:val="21"/>
                <w:lang w:val="en-US"/>
              </w:rPr>
              <w:t>内蒙古金陶股份有限公司</w:t>
            </w:r>
          </w:p>
        </w:tc>
        <w:tc>
          <w:tcPr>
            <w:tcW w:w="944" w:type="pct"/>
            <w:gridSpan w:val="2"/>
            <w:noWrap w:val="0"/>
            <w:vAlign w:val="center"/>
          </w:tcPr>
          <w:p w14:paraId="465B495E">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法人代表</w:t>
            </w:r>
          </w:p>
        </w:tc>
        <w:tc>
          <w:tcPr>
            <w:tcW w:w="1268" w:type="pct"/>
            <w:noWrap w:val="0"/>
            <w:vAlign w:val="center"/>
          </w:tcPr>
          <w:p w14:paraId="4A34791C">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李事捷</w:t>
            </w:r>
          </w:p>
        </w:tc>
      </w:tr>
      <w:tr w14:paraId="137F8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875" w:type="pct"/>
            <w:noWrap w:val="0"/>
            <w:vAlign w:val="center"/>
          </w:tcPr>
          <w:p w14:paraId="586B7810">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采矿许可证号</w:t>
            </w:r>
          </w:p>
        </w:tc>
        <w:tc>
          <w:tcPr>
            <w:tcW w:w="1911" w:type="pct"/>
            <w:gridSpan w:val="2"/>
            <w:noWrap w:val="0"/>
            <w:vAlign w:val="center"/>
          </w:tcPr>
          <w:p w14:paraId="6D475129">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rPr>
              <w:t>C1500002011054120112420</w:t>
            </w:r>
          </w:p>
        </w:tc>
        <w:tc>
          <w:tcPr>
            <w:tcW w:w="944" w:type="pct"/>
            <w:gridSpan w:val="2"/>
            <w:noWrap w:val="0"/>
            <w:vAlign w:val="center"/>
          </w:tcPr>
          <w:p w14:paraId="5268FD28">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发证机关</w:t>
            </w:r>
          </w:p>
        </w:tc>
        <w:tc>
          <w:tcPr>
            <w:tcW w:w="1268" w:type="pct"/>
            <w:noWrap w:val="0"/>
            <w:vAlign w:val="center"/>
          </w:tcPr>
          <w:p w14:paraId="76E727EA">
            <w:pPr>
              <w:pStyle w:val="14"/>
              <w:keepNext w:val="0"/>
              <w:keepLines w:val="0"/>
              <w:pageBreakBefore w:val="0"/>
              <w:widowControl w:val="0"/>
              <w:kinsoku/>
              <w:wordWrap/>
              <w:overflowPunct/>
              <w:topLinePunct w:val="0"/>
              <w:bidi w:val="0"/>
              <w:snapToGrid/>
              <w:spacing w:after="0" w:line="240" w:lineRule="auto"/>
              <w:ind w:left="0" w:leftChars="0" w:firstLine="420" w:firstLineChars="200"/>
              <w:jc w:val="both"/>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内蒙古自治区</w:t>
            </w:r>
          </w:p>
          <w:p w14:paraId="7333C3FF">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en-US"/>
              </w:rPr>
              <w:t>国土资源厅</w:t>
            </w:r>
          </w:p>
        </w:tc>
      </w:tr>
      <w:tr w14:paraId="500A7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5" w:type="pct"/>
            <w:noWrap w:val="0"/>
            <w:vAlign w:val="center"/>
          </w:tcPr>
          <w:p w14:paraId="35C5A5B2">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有效期限</w:t>
            </w:r>
          </w:p>
        </w:tc>
        <w:tc>
          <w:tcPr>
            <w:tcW w:w="1911" w:type="pct"/>
            <w:gridSpan w:val="2"/>
            <w:noWrap w:val="0"/>
            <w:vAlign w:val="center"/>
          </w:tcPr>
          <w:p w14:paraId="4545996A">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en-US"/>
              </w:rPr>
              <w:t>2018.5.24～2026.5.24</w:t>
            </w:r>
          </w:p>
        </w:tc>
        <w:tc>
          <w:tcPr>
            <w:tcW w:w="944" w:type="pct"/>
            <w:gridSpan w:val="2"/>
            <w:noWrap w:val="0"/>
            <w:vAlign w:val="center"/>
          </w:tcPr>
          <w:p w14:paraId="164B23AE">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发证日期</w:t>
            </w:r>
          </w:p>
        </w:tc>
        <w:tc>
          <w:tcPr>
            <w:tcW w:w="1268" w:type="pct"/>
            <w:noWrap w:val="0"/>
            <w:vAlign w:val="center"/>
          </w:tcPr>
          <w:p w14:paraId="2E9B06B7">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2018.5.24</w:t>
            </w:r>
          </w:p>
        </w:tc>
      </w:tr>
      <w:tr w14:paraId="3A44D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5" w:type="pct"/>
            <w:noWrap w:val="0"/>
            <w:vAlign w:val="center"/>
          </w:tcPr>
          <w:p w14:paraId="6917D2FB">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矿区地址</w:t>
            </w:r>
          </w:p>
        </w:tc>
        <w:tc>
          <w:tcPr>
            <w:tcW w:w="4124" w:type="pct"/>
            <w:gridSpan w:val="5"/>
            <w:noWrap w:val="0"/>
            <w:vAlign w:val="center"/>
          </w:tcPr>
          <w:p w14:paraId="313667ED">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赤峰市敖汉旗金厂沟梁镇</w:t>
            </w:r>
          </w:p>
        </w:tc>
      </w:tr>
      <w:tr w14:paraId="52CA3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875" w:type="pct"/>
            <w:noWrap w:val="0"/>
            <w:vAlign w:val="center"/>
          </w:tcPr>
          <w:p w14:paraId="14F1978A">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经纬度坐标</w:t>
            </w:r>
          </w:p>
        </w:tc>
        <w:tc>
          <w:tcPr>
            <w:tcW w:w="4124" w:type="pct"/>
            <w:gridSpan w:val="5"/>
            <w:noWrap w:val="0"/>
            <w:vAlign w:val="center"/>
          </w:tcPr>
          <w:p w14:paraId="470DD6BE">
            <w:pPr>
              <w:autoSpaceDE w:val="0"/>
              <w:autoSpaceDN w:val="0"/>
              <w:spacing w:line="240" w:lineRule="auto"/>
              <w:ind w:firstLine="0" w:firstLineChars="0"/>
              <w:jc w:val="center"/>
              <w:rPr>
                <w:rFonts w:hint="eastAsia" w:asciiTheme="minorEastAsia" w:hAnsiTheme="minorEastAsia" w:eastAsiaTheme="minorEastAsia" w:cstheme="minorEastAsia"/>
                <w:spacing w:val="-4"/>
                <w:sz w:val="21"/>
                <w:szCs w:val="21"/>
                <w:lang w:eastAsia="zh-CN"/>
              </w:rPr>
            </w:pPr>
            <w:r>
              <w:rPr>
                <w:rFonts w:hint="eastAsia" w:asciiTheme="minorEastAsia" w:hAnsiTheme="minorEastAsia" w:eastAsiaTheme="minorEastAsia" w:cstheme="minorEastAsia"/>
                <w:spacing w:val="-4"/>
                <w:sz w:val="21"/>
                <w:szCs w:val="21"/>
              </w:rPr>
              <w:t>东经：120°16′15″～120°18′55″</w:t>
            </w:r>
            <w:r>
              <w:rPr>
                <w:rFonts w:hint="eastAsia" w:asciiTheme="minorEastAsia" w:hAnsiTheme="minorEastAsia" w:eastAsiaTheme="minorEastAsia" w:cstheme="minorEastAsia"/>
                <w:spacing w:val="-4"/>
                <w:sz w:val="21"/>
                <w:szCs w:val="21"/>
                <w:lang w:eastAsia="zh-CN"/>
              </w:rPr>
              <w:t>；</w:t>
            </w:r>
          </w:p>
          <w:p w14:paraId="4E51BE0F">
            <w:pPr>
              <w:autoSpaceDE w:val="0"/>
              <w:autoSpaceDN w:val="0"/>
              <w:spacing w:line="240" w:lineRule="auto"/>
              <w:ind w:firstLine="1854" w:firstLineChars="900"/>
              <w:jc w:val="both"/>
              <w:rPr>
                <w:rFonts w:hint="eastAsia" w:asciiTheme="minorEastAsia" w:hAnsiTheme="minorEastAsia" w:eastAsiaTheme="minorEastAsia" w:cstheme="minorEastAsia"/>
                <w:spacing w:val="-4"/>
                <w:sz w:val="21"/>
                <w:szCs w:val="21"/>
                <w:lang w:val="zh-CN" w:eastAsia="zh-CN"/>
              </w:rPr>
            </w:pPr>
            <w:r>
              <w:rPr>
                <w:rFonts w:hint="eastAsia" w:asciiTheme="minorEastAsia" w:hAnsiTheme="minorEastAsia" w:eastAsiaTheme="minorEastAsia" w:cstheme="minorEastAsia"/>
                <w:spacing w:val="-2"/>
                <w:sz w:val="21"/>
                <w:szCs w:val="21"/>
              </w:rPr>
              <w:t>北纬：41°58′06″～42°00′2</w:t>
            </w:r>
            <w:r>
              <w:rPr>
                <w:rFonts w:hint="eastAsia" w:asciiTheme="minorEastAsia" w:hAnsiTheme="minorEastAsia" w:eastAsiaTheme="minorEastAsia" w:cstheme="minorEastAsia"/>
                <w:spacing w:val="-3"/>
                <w:sz w:val="21"/>
                <w:szCs w:val="21"/>
              </w:rPr>
              <w:t>6″</w:t>
            </w:r>
            <w:r>
              <w:rPr>
                <w:rFonts w:hint="eastAsia" w:asciiTheme="minorEastAsia" w:hAnsiTheme="minorEastAsia" w:eastAsiaTheme="minorEastAsia" w:cstheme="minorEastAsia"/>
                <w:spacing w:val="-3"/>
                <w:sz w:val="21"/>
                <w:szCs w:val="21"/>
                <w:lang w:eastAsia="zh-CN"/>
              </w:rPr>
              <w:t>。</w:t>
            </w:r>
          </w:p>
        </w:tc>
      </w:tr>
      <w:tr w14:paraId="4AC8E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875" w:type="pct"/>
            <w:noWrap w:val="0"/>
            <w:vAlign w:val="center"/>
          </w:tcPr>
          <w:p w14:paraId="2EA659F8">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经济类型</w:t>
            </w:r>
          </w:p>
        </w:tc>
        <w:tc>
          <w:tcPr>
            <w:tcW w:w="1911" w:type="pct"/>
            <w:gridSpan w:val="2"/>
            <w:noWrap w:val="0"/>
            <w:vAlign w:val="center"/>
          </w:tcPr>
          <w:p w14:paraId="6552FFAC">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pacing w:val="-1"/>
                <w:sz w:val="21"/>
                <w:szCs w:val="21"/>
              </w:rPr>
              <w:t>股份有限公司</w:t>
            </w:r>
          </w:p>
        </w:tc>
        <w:tc>
          <w:tcPr>
            <w:tcW w:w="944" w:type="pct"/>
            <w:gridSpan w:val="2"/>
            <w:noWrap w:val="0"/>
            <w:vAlign w:val="center"/>
          </w:tcPr>
          <w:p w14:paraId="649A5BAC">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生产规模</w:t>
            </w:r>
          </w:p>
        </w:tc>
        <w:tc>
          <w:tcPr>
            <w:tcW w:w="1268" w:type="pct"/>
            <w:noWrap w:val="0"/>
            <w:vAlign w:val="center"/>
          </w:tcPr>
          <w:p w14:paraId="27EB110F">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大型</w:t>
            </w:r>
          </w:p>
        </w:tc>
      </w:tr>
      <w:tr w14:paraId="4BAD9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exact"/>
          <w:jc w:val="center"/>
        </w:trPr>
        <w:tc>
          <w:tcPr>
            <w:tcW w:w="875" w:type="pct"/>
            <w:noWrap w:val="0"/>
            <w:vAlign w:val="center"/>
          </w:tcPr>
          <w:p w14:paraId="32001CC4">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开采矿种</w:t>
            </w:r>
          </w:p>
        </w:tc>
        <w:tc>
          <w:tcPr>
            <w:tcW w:w="1911" w:type="pct"/>
            <w:gridSpan w:val="2"/>
            <w:noWrap w:val="0"/>
            <w:vAlign w:val="center"/>
          </w:tcPr>
          <w:p w14:paraId="0FD7419D">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pacing w:val="-1"/>
                <w:sz w:val="21"/>
                <w:szCs w:val="21"/>
              </w:rPr>
              <w:t>金矿</w:t>
            </w:r>
          </w:p>
        </w:tc>
        <w:tc>
          <w:tcPr>
            <w:tcW w:w="944" w:type="pct"/>
            <w:gridSpan w:val="2"/>
            <w:noWrap w:val="0"/>
            <w:vAlign w:val="center"/>
          </w:tcPr>
          <w:p w14:paraId="251532D2">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采矿方式</w:t>
            </w:r>
          </w:p>
        </w:tc>
        <w:tc>
          <w:tcPr>
            <w:tcW w:w="1268" w:type="pct"/>
            <w:noWrap w:val="0"/>
            <w:vAlign w:val="center"/>
          </w:tcPr>
          <w:p w14:paraId="051FD7FE">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地下开采</w:t>
            </w:r>
          </w:p>
        </w:tc>
      </w:tr>
      <w:tr w14:paraId="05842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875" w:type="pct"/>
            <w:noWrap w:val="0"/>
            <w:vAlign w:val="center"/>
          </w:tcPr>
          <w:p w14:paraId="35FBC7CB">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矿区面积</w:t>
            </w:r>
          </w:p>
        </w:tc>
        <w:tc>
          <w:tcPr>
            <w:tcW w:w="1911" w:type="pct"/>
            <w:gridSpan w:val="2"/>
            <w:noWrap w:val="0"/>
            <w:vAlign w:val="center"/>
          </w:tcPr>
          <w:p w14:paraId="238956E3">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en-US"/>
              </w:rPr>
              <w:t>3.2546平方公里</w:t>
            </w:r>
          </w:p>
        </w:tc>
        <w:tc>
          <w:tcPr>
            <w:tcW w:w="944" w:type="pct"/>
            <w:gridSpan w:val="2"/>
            <w:noWrap w:val="0"/>
            <w:vAlign w:val="center"/>
          </w:tcPr>
          <w:p w14:paraId="75B2EEFE">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生产现状</w:t>
            </w:r>
          </w:p>
        </w:tc>
        <w:tc>
          <w:tcPr>
            <w:tcW w:w="1268" w:type="pct"/>
            <w:noWrap w:val="0"/>
            <w:vAlign w:val="center"/>
          </w:tcPr>
          <w:p w14:paraId="730D7A08">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生产</w:t>
            </w:r>
          </w:p>
        </w:tc>
      </w:tr>
      <w:tr w14:paraId="2BD50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875" w:type="pct"/>
            <w:noWrap w:val="0"/>
            <w:vAlign w:val="center"/>
          </w:tcPr>
          <w:p w14:paraId="427E9ECE">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建矿时间</w:t>
            </w:r>
          </w:p>
        </w:tc>
        <w:tc>
          <w:tcPr>
            <w:tcW w:w="1911" w:type="pct"/>
            <w:gridSpan w:val="2"/>
            <w:noWrap w:val="0"/>
            <w:vAlign w:val="center"/>
          </w:tcPr>
          <w:p w14:paraId="6E998C9B">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1958年</w:t>
            </w:r>
          </w:p>
        </w:tc>
        <w:tc>
          <w:tcPr>
            <w:tcW w:w="944" w:type="pct"/>
            <w:gridSpan w:val="2"/>
            <w:noWrap w:val="0"/>
            <w:vAlign w:val="center"/>
          </w:tcPr>
          <w:p w14:paraId="0580CEAB">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设计生产能力</w:t>
            </w:r>
          </w:p>
        </w:tc>
        <w:tc>
          <w:tcPr>
            <w:tcW w:w="1268" w:type="pct"/>
            <w:noWrap w:val="0"/>
            <w:vAlign w:val="center"/>
          </w:tcPr>
          <w:p w14:paraId="07DCE7C8">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en-US"/>
              </w:rPr>
              <w:t>28.5万吨/年</w:t>
            </w:r>
          </w:p>
        </w:tc>
      </w:tr>
      <w:tr w14:paraId="1814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875" w:type="pct"/>
            <w:noWrap w:val="0"/>
            <w:vAlign w:val="center"/>
          </w:tcPr>
          <w:p w14:paraId="270852BF">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设计服务年限</w:t>
            </w:r>
          </w:p>
        </w:tc>
        <w:tc>
          <w:tcPr>
            <w:tcW w:w="1911" w:type="pct"/>
            <w:gridSpan w:val="2"/>
            <w:noWrap w:val="0"/>
            <w:vAlign w:val="center"/>
          </w:tcPr>
          <w:p w14:paraId="03D554C7">
            <w:pPr>
              <w:autoSpaceDE w:val="0"/>
              <w:autoSpaceDN w:val="0"/>
              <w:spacing w:line="240" w:lineRule="auto"/>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8.16</w:t>
            </w:r>
            <w:r>
              <w:rPr>
                <w:rFonts w:hint="eastAsia" w:asciiTheme="minorEastAsia" w:hAnsiTheme="minorEastAsia" w:eastAsiaTheme="minorEastAsia" w:cstheme="minorEastAsia"/>
                <w:sz w:val="21"/>
                <w:szCs w:val="21"/>
                <w:lang w:val="en-US"/>
              </w:rPr>
              <w:t>年</w:t>
            </w:r>
          </w:p>
        </w:tc>
        <w:tc>
          <w:tcPr>
            <w:tcW w:w="944" w:type="pct"/>
            <w:gridSpan w:val="2"/>
            <w:noWrap w:val="0"/>
            <w:vAlign w:val="center"/>
          </w:tcPr>
          <w:p w14:paraId="2D071172">
            <w:pPr>
              <w:autoSpaceDE w:val="0"/>
              <w:autoSpaceDN w:val="0"/>
              <w:spacing w:line="240" w:lineRule="auto"/>
              <w:ind w:firstLine="0" w:firstLineChars="0"/>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实际生产能力</w:t>
            </w:r>
          </w:p>
        </w:tc>
        <w:tc>
          <w:tcPr>
            <w:tcW w:w="1268" w:type="pct"/>
            <w:noWrap w:val="0"/>
            <w:vAlign w:val="center"/>
          </w:tcPr>
          <w:p w14:paraId="2E51E222">
            <w:pPr>
              <w:autoSpaceDE w:val="0"/>
              <w:autoSpaceDN w:val="0"/>
              <w:spacing w:line="240" w:lineRule="auto"/>
              <w:ind w:firstLine="0" w:firstLineChars="0"/>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en-US" w:eastAsia="zh-CN"/>
              </w:rPr>
              <w:t>28.06</w:t>
            </w:r>
            <w:r>
              <w:rPr>
                <w:rFonts w:hint="eastAsia" w:asciiTheme="minorEastAsia" w:hAnsiTheme="minorEastAsia" w:eastAsiaTheme="minorEastAsia" w:cstheme="minorEastAsia"/>
                <w:color w:val="auto"/>
                <w:sz w:val="21"/>
                <w:szCs w:val="21"/>
                <w:lang w:val="en-US"/>
              </w:rPr>
              <w:t>万吨/年</w:t>
            </w:r>
          </w:p>
        </w:tc>
      </w:tr>
      <w:tr w14:paraId="2D33A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exact"/>
          <w:jc w:val="center"/>
        </w:trPr>
        <w:tc>
          <w:tcPr>
            <w:tcW w:w="875" w:type="pct"/>
            <w:noWrap w:val="0"/>
            <w:vAlign w:val="center"/>
          </w:tcPr>
          <w:p w14:paraId="0D87929F">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剩余服务年限</w:t>
            </w:r>
          </w:p>
        </w:tc>
        <w:tc>
          <w:tcPr>
            <w:tcW w:w="1911" w:type="pct"/>
            <w:gridSpan w:val="2"/>
            <w:noWrap w:val="0"/>
            <w:vAlign w:val="center"/>
          </w:tcPr>
          <w:p w14:paraId="6CFEA570">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3.51年</w:t>
            </w:r>
          </w:p>
        </w:tc>
        <w:tc>
          <w:tcPr>
            <w:tcW w:w="944" w:type="pct"/>
            <w:gridSpan w:val="2"/>
            <w:noWrap w:val="0"/>
            <w:vAlign w:val="center"/>
          </w:tcPr>
          <w:p w14:paraId="4C23067A">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开采深度</w:t>
            </w:r>
          </w:p>
        </w:tc>
        <w:tc>
          <w:tcPr>
            <w:tcW w:w="1268" w:type="pct"/>
            <w:noWrap w:val="0"/>
            <w:vAlign w:val="center"/>
          </w:tcPr>
          <w:p w14:paraId="76877A80">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en-US" w:eastAsia="zh-CN"/>
              </w:rPr>
              <w:t>由</w:t>
            </w:r>
            <w:r>
              <w:rPr>
                <w:rFonts w:hint="eastAsia" w:asciiTheme="minorEastAsia" w:hAnsiTheme="minorEastAsia" w:eastAsiaTheme="minorEastAsia" w:cstheme="minorEastAsia"/>
                <w:sz w:val="21"/>
                <w:szCs w:val="21"/>
                <w:lang w:val="en-US"/>
              </w:rPr>
              <w:t>660</w:t>
            </w:r>
            <w:r>
              <w:rPr>
                <w:rFonts w:hint="eastAsia" w:asciiTheme="minorEastAsia" w:hAnsiTheme="minorEastAsia" w:eastAsiaTheme="minorEastAsia" w:cstheme="minorEastAsia"/>
                <w:sz w:val="21"/>
                <w:szCs w:val="21"/>
                <w:lang w:val="en-US" w:eastAsia="zh-CN"/>
              </w:rPr>
              <w:t>米</w:t>
            </w:r>
            <w:r>
              <w:rPr>
                <w:rFonts w:hint="eastAsia" w:asciiTheme="minorEastAsia" w:hAnsiTheme="minorEastAsia" w:eastAsiaTheme="minorEastAsia" w:cstheme="minorEastAsia"/>
                <w:sz w:val="21"/>
                <w:szCs w:val="21"/>
                <w:lang w:val="en-US"/>
              </w:rPr>
              <w:t>至</w:t>
            </w:r>
            <w:r>
              <w:rPr>
                <w:rFonts w:hint="eastAsia" w:asciiTheme="minorEastAsia" w:hAnsiTheme="minorEastAsia" w:eastAsiaTheme="minorEastAsia" w:cstheme="minorEastAsia"/>
                <w:sz w:val="21"/>
                <w:szCs w:val="21"/>
                <w:lang w:val="en-US" w:eastAsia="zh-CN"/>
              </w:rPr>
              <w:t>-294米标高</w:t>
            </w:r>
          </w:p>
        </w:tc>
      </w:tr>
      <w:tr w14:paraId="3D4F1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exact"/>
          <w:jc w:val="center"/>
        </w:trPr>
        <w:tc>
          <w:tcPr>
            <w:tcW w:w="875" w:type="pct"/>
            <w:noWrap w:val="0"/>
            <w:vAlign w:val="center"/>
          </w:tcPr>
          <w:p w14:paraId="1DF7F24B">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查明资源储量</w:t>
            </w:r>
          </w:p>
        </w:tc>
        <w:tc>
          <w:tcPr>
            <w:tcW w:w="1911" w:type="pct"/>
            <w:gridSpan w:val="2"/>
            <w:noWrap w:val="0"/>
            <w:vAlign w:val="center"/>
          </w:tcPr>
          <w:p w14:paraId="0186BABD">
            <w:pPr>
              <w:pStyle w:val="14"/>
              <w:keepNext w:val="0"/>
              <w:keepLines w:val="0"/>
              <w:pageBreakBefore w:val="0"/>
              <w:widowControl w:val="0"/>
              <w:kinsoku/>
              <w:wordWrap/>
              <w:overflowPunct/>
              <w:topLinePunct w:val="0"/>
              <w:bidi w:val="0"/>
              <w:snapToGrid/>
              <w:spacing w:after="0" w:line="240" w:lineRule="auto"/>
              <w:jc w:val="center"/>
              <w:textAlignment w:val="auto"/>
              <w:rPr>
                <w:rFonts w:hint="eastAsia" w:asciiTheme="minorEastAsia" w:hAnsiTheme="minorEastAsia" w:eastAsiaTheme="minorEastAsia" w:cstheme="minorEastAsia"/>
                <w:color w:val="auto"/>
                <w:sz w:val="21"/>
                <w:szCs w:val="21"/>
                <w:lang w:val="en-US"/>
              </w:rPr>
            </w:pPr>
            <w:r>
              <w:rPr>
                <w:rFonts w:hint="eastAsia" w:asciiTheme="minorEastAsia" w:hAnsiTheme="minorEastAsia" w:eastAsiaTheme="minorEastAsia" w:cstheme="minorEastAsia"/>
                <w:color w:val="auto"/>
                <w:sz w:val="21"/>
                <w:szCs w:val="21"/>
                <w:lang w:val="en-US"/>
              </w:rPr>
              <w:t>矿石</w:t>
            </w:r>
            <w:r>
              <w:rPr>
                <w:rFonts w:hint="eastAsia" w:asciiTheme="minorEastAsia" w:hAnsiTheme="minorEastAsia" w:eastAsiaTheme="minorEastAsia" w:cstheme="minorEastAsia"/>
                <w:color w:val="auto"/>
                <w:sz w:val="21"/>
                <w:szCs w:val="21"/>
                <w:lang w:val="en-US" w:eastAsia="zh-CN"/>
              </w:rPr>
              <w:t>量*******</w:t>
            </w:r>
            <w:r>
              <w:rPr>
                <w:rFonts w:hint="eastAsia" w:asciiTheme="minorEastAsia" w:hAnsiTheme="minorEastAsia" w:eastAsiaTheme="minorEastAsia" w:cstheme="minorEastAsia"/>
                <w:color w:val="auto"/>
                <w:sz w:val="21"/>
                <w:szCs w:val="21"/>
                <w:lang w:val="en-US"/>
              </w:rPr>
              <w:t>t，</w:t>
            </w:r>
          </w:p>
          <w:p w14:paraId="29913076">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color w:val="auto"/>
                <w:sz w:val="21"/>
                <w:szCs w:val="21"/>
                <w:lang w:val="en-US"/>
              </w:rPr>
              <w:t>Au金属量</w:t>
            </w: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lang w:val="en-US"/>
              </w:rPr>
              <w:t>kg</w:t>
            </w:r>
          </w:p>
        </w:tc>
        <w:tc>
          <w:tcPr>
            <w:tcW w:w="944" w:type="pct"/>
            <w:gridSpan w:val="2"/>
            <w:noWrap w:val="0"/>
            <w:vAlign w:val="center"/>
          </w:tcPr>
          <w:p w14:paraId="10792DDF">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剩余资源储量</w:t>
            </w:r>
          </w:p>
        </w:tc>
        <w:tc>
          <w:tcPr>
            <w:tcW w:w="1268" w:type="pct"/>
            <w:noWrap w:val="0"/>
            <w:vAlign w:val="center"/>
          </w:tcPr>
          <w:p w14:paraId="696BE2A7">
            <w:pPr>
              <w:pStyle w:val="14"/>
              <w:keepNext w:val="0"/>
              <w:keepLines w:val="0"/>
              <w:pageBreakBefore w:val="0"/>
              <w:widowControl w:val="0"/>
              <w:kinsoku/>
              <w:wordWrap/>
              <w:overflowPunct/>
              <w:topLinePunct w:val="0"/>
              <w:bidi w:val="0"/>
              <w:snapToGrid/>
              <w:spacing w:after="0" w:line="240" w:lineRule="auto"/>
              <w:ind w:left="0" w:leftChars="0" w:firstLine="0" w:firstLineChars="0"/>
              <w:jc w:val="both"/>
              <w:textAlignment w:val="auto"/>
              <w:rPr>
                <w:rFonts w:hint="eastAsia" w:asciiTheme="minorEastAsia" w:hAnsiTheme="minorEastAsia" w:eastAsiaTheme="minorEastAsia" w:cstheme="minorEastAsia"/>
                <w:color w:val="auto"/>
                <w:sz w:val="21"/>
                <w:szCs w:val="21"/>
                <w:lang w:val="en-US"/>
              </w:rPr>
            </w:pPr>
            <w:r>
              <w:rPr>
                <w:rFonts w:hint="eastAsia" w:asciiTheme="minorEastAsia" w:hAnsiTheme="minorEastAsia" w:eastAsiaTheme="minorEastAsia" w:cstheme="minorEastAsia"/>
                <w:color w:val="auto"/>
                <w:sz w:val="21"/>
                <w:szCs w:val="21"/>
                <w:lang w:val="en-US"/>
              </w:rPr>
              <w:t>矿石量</w:t>
            </w: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lang w:val="en-US"/>
              </w:rPr>
              <w:t>t，</w:t>
            </w:r>
          </w:p>
          <w:p w14:paraId="6CFF1C79">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color w:val="auto"/>
                <w:sz w:val="21"/>
                <w:szCs w:val="21"/>
                <w:lang w:val="en-US"/>
              </w:rPr>
              <w:t>Au金属量</w:t>
            </w: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lang w:val="en-US"/>
              </w:rPr>
              <w:t>kg</w:t>
            </w:r>
          </w:p>
        </w:tc>
      </w:tr>
      <w:tr w14:paraId="240E6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3" w:hRule="atLeast"/>
          <w:jc w:val="center"/>
        </w:trPr>
        <w:tc>
          <w:tcPr>
            <w:tcW w:w="875" w:type="pct"/>
            <w:noWrap w:val="0"/>
            <w:vAlign w:val="center"/>
          </w:tcPr>
          <w:p w14:paraId="4FB001E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矿区范围</w:t>
            </w:r>
          </w:p>
          <w:p w14:paraId="3D0953E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color w:val="FF0000"/>
                <w:sz w:val="21"/>
                <w:szCs w:val="21"/>
                <w:lang w:val="zh-CN"/>
              </w:rPr>
            </w:pPr>
            <w:r>
              <w:rPr>
                <w:rFonts w:hint="eastAsia" w:asciiTheme="minorEastAsia" w:hAnsiTheme="minorEastAsia" w:eastAsiaTheme="minorEastAsia" w:cstheme="minorEastAsia"/>
                <w:sz w:val="21"/>
                <w:szCs w:val="21"/>
                <w:lang w:val="zh-CN"/>
              </w:rPr>
              <w:t>拐点坐标</w:t>
            </w:r>
          </w:p>
        </w:tc>
        <w:tc>
          <w:tcPr>
            <w:tcW w:w="4124" w:type="pct"/>
            <w:gridSpan w:val="5"/>
            <w:noWrap w:val="0"/>
            <w:vAlign w:val="center"/>
          </w:tcPr>
          <w:tbl>
            <w:tblPr>
              <w:tblStyle w:val="10"/>
              <w:tblW w:w="6845" w:type="dxa"/>
              <w:tblInd w:w="-2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
              <w:gridCol w:w="1075"/>
              <w:gridCol w:w="5"/>
              <w:gridCol w:w="1386"/>
              <w:gridCol w:w="1412"/>
              <w:gridCol w:w="1488"/>
              <w:gridCol w:w="1474"/>
            </w:tblGrid>
            <w:tr w14:paraId="08CE3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5" w:type="dxa"/>
                <w:trHeight w:val="300" w:hRule="atLeast"/>
              </w:trPr>
              <w:tc>
                <w:tcPr>
                  <w:tcW w:w="108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E191CB">
                  <w:pPr>
                    <w:keepNext w:val="0"/>
                    <w:keepLines w:val="0"/>
                    <w:widowControl/>
                    <w:suppressLineNumbers w:val="0"/>
                    <w:ind w:left="0" w:leftChars="0" w:firstLine="0" w:firstLineChars="0"/>
                    <w:jc w:val="left"/>
                    <w:textAlignment w:val="center"/>
                    <w:rPr>
                      <w:rStyle w:val="15"/>
                      <w:rFonts w:hint="eastAsia" w:asciiTheme="minorEastAsia" w:hAnsiTheme="minorEastAsia" w:eastAsiaTheme="minorEastAsia" w:cstheme="minorEastAsia"/>
                      <w:sz w:val="21"/>
                      <w:szCs w:val="21"/>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拐点</w:t>
                  </w:r>
                </w:p>
                <w:p w14:paraId="793ECC49">
                  <w:pPr>
                    <w:keepNext w:val="0"/>
                    <w:keepLines w:val="0"/>
                    <w:widowControl/>
                    <w:suppressLineNumbers w:val="0"/>
                    <w:ind w:left="0" w:leftChars="0" w:firstLine="0" w:firstLineChars="0"/>
                    <w:jc w:val="left"/>
                    <w:textAlignment w:val="center"/>
                    <w:rPr>
                      <w:rFonts w:hint="eastAsia" w:asciiTheme="minorEastAsia" w:hAnsiTheme="minorEastAsia" w:eastAsiaTheme="minorEastAsia" w:cstheme="minorEastAsia"/>
                      <w:i w:val="0"/>
                      <w:iCs w:val="0"/>
                      <w:color w:val="000000"/>
                      <w:sz w:val="21"/>
                      <w:szCs w:val="21"/>
                      <w:u w:val="none"/>
                    </w:rPr>
                  </w:pPr>
                  <w:r>
                    <w:rPr>
                      <w:rStyle w:val="15"/>
                      <w:rFonts w:hint="eastAsia" w:asciiTheme="minorEastAsia" w:hAnsiTheme="minorEastAsia" w:eastAsiaTheme="minorEastAsia" w:cstheme="minorEastAsia"/>
                      <w:sz w:val="21"/>
                      <w:szCs w:val="21"/>
                      <w:lang w:val="en-US" w:eastAsia="zh-CN" w:bidi="ar"/>
                    </w:rPr>
                    <w:t>编号</w:t>
                  </w:r>
                </w:p>
              </w:tc>
              <w:tc>
                <w:tcPr>
                  <w:tcW w:w="2798" w:type="dxa"/>
                  <w:gridSpan w:val="2"/>
                  <w:tcBorders>
                    <w:top w:val="single" w:color="000000" w:sz="8" w:space="0"/>
                    <w:left w:val="nil"/>
                    <w:bottom w:val="single" w:color="000000" w:sz="8" w:space="0"/>
                    <w:right w:val="single" w:color="000000" w:sz="8" w:space="0"/>
                  </w:tcBorders>
                  <w:shd w:val="clear" w:color="auto" w:fill="auto"/>
                  <w:vAlign w:val="center"/>
                </w:tcPr>
                <w:p w14:paraId="182D4997">
                  <w:pPr>
                    <w:keepNext w:val="0"/>
                    <w:keepLines w:val="0"/>
                    <w:widowControl/>
                    <w:suppressLineNumbers w:val="0"/>
                    <w:ind w:left="0" w:leftChars="0" w:firstLine="0" w:firstLineChars="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1980</w:t>
                  </w:r>
                  <w:r>
                    <w:rPr>
                      <w:rStyle w:val="15"/>
                      <w:rFonts w:hint="eastAsia" w:asciiTheme="minorEastAsia" w:hAnsiTheme="minorEastAsia" w:eastAsiaTheme="minorEastAsia" w:cstheme="minorEastAsia"/>
                      <w:sz w:val="21"/>
                      <w:szCs w:val="21"/>
                      <w:lang w:val="en-US" w:eastAsia="zh-CN" w:bidi="ar"/>
                    </w:rPr>
                    <w:t>西安坐标系（</w:t>
                  </w:r>
                  <w:r>
                    <w:rPr>
                      <w:rStyle w:val="16"/>
                      <w:rFonts w:hint="eastAsia" w:asciiTheme="minorEastAsia" w:hAnsiTheme="minorEastAsia" w:eastAsiaTheme="minorEastAsia" w:cstheme="minorEastAsia"/>
                      <w:sz w:val="21"/>
                      <w:szCs w:val="21"/>
                      <w:lang w:val="en-US" w:eastAsia="zh-CN" w:bidi="ar"/>
                    </w:rPr>
                    <w:t>3</w:t>
                  </w:r>
                  <w:r>
                    <w:rPr>
                      <w:rStyle w:val="15"/>
                      <w:rFonts w:hint="eastAsia" w:asciiTheme="minorEastAsia" w:hAnsiTheme="minorEastAsia" w:eastAsiaTheme="minorEastAsia" w:cstheme="minorEastAsia"/>
                      <w:sz w:val="21"/>
                      <w:szCs w:val="21"/>
                      <w:lang w:val="en-US" w:eastAsia="zh-CN" w:bidi="ar"/>
                    </w:rPr>
                    <w:t>带）</w:t>
                  </w:r>
                </w:p>
              </w:tc>
              <w:tc>
                <w:tcPr>
                  <w:tcW w:w="2962"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36B3D47F">
                  <w:pPr>
                    <w:keepNext w:val="0"/>
                    <w:keepLines w:val="0"/>
                    <w:widowControl/>
                    <w:suppressLineNumbers w:val="0"/>
                    <w:ind w:left="0" w:leftChars="0" w:firstLine="0" w:firstLineChars="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CGCS2000</w:t>
                  </w:r>
                  <w:r>
                    <w:rPr>
                      <w:rStyle w:val="15"/>
                      <w:rFonts w:hint="eastAsia" w:asciiTheme="minorEastAsia" w:hAnsiTheme="minorEastAsia" w:eastAsiaTheme="minorEastAsia" w:cstheme="minorEastAsia"/>
                      <w:sz w:val="21"/>
                      <w:szCs w:val="21"/>
                      <w:lang w:val="en-US" w:eastAsia="zh-CN" w:bidi="ar"/>
                    </w:rPr>
                    <w:t>（</w:t>
                  </w:r>
                  <w:r>
                    <w:rPr>
                      <w:rStyle w:val="16"/>
                      <w:rFonts w:hint="eastAsia" w:asciiTheme="minorEastAsia" w:hAnsiTheme="minorEastAsia" w:eastAsiaTheme="minorEastAsia" w:cstheme="minorEastAsia"/>
                      <w:sz w:val="21"/>
                      <w:szCs w:val="21"/>
                      <w:lang w:val="en-US" w:eastAsia="zh-CN" w:bidi="ar"/>
                    </w:rPr>
                    <w:t>3</w:t>
                  </w:r>
                  <w:r>
                    <w:rPr>
                      <w:rStyle w:val="17"/>
                      <w:rFonts w:hint="eastAsia" w:asciiTheme="minorEastAsia" w:hAnsiTheme="minorEastAsia" w:eastAsiaTheme="minorEastAsia" w:cstheme="minorEastAsia"/>
                      <w:sz w:val="21"/>
                      <w:szCs w:val="21"/>
                      <w:lang w:val="en-US" w:eastAsia="zh-CN" w:bidi="ar"/>
                    </w:rPr>
                    <w:t>゜</w:t>
                  </w:r>
                  <w:r>
                    <w:rPr>
                      <w:rStyle w:val="15"/>
                      <w:rFonts w:hint="eastAsia" w:asciiTheme="minorEastAsia" w:hAnsiTheme="minorEastAsia" w:eastAsiaTheme="minorEastAsia" w:cstheme="minorEastAsia"/>
                      <w:sz w:val="21"/>
                      <w:szCs w:val="21"/>
                      <w:lang w:val="en-US" w:eastAsia="zh-CN" w:bidi="ar"/>
                    </w:rPr>
                    <w:t>带）</w:t>
                  </w:r>
                </w:p>
              </w:tc>
            </w:tr>
            <w:tr w14:paraId="5E929B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5" w:type="dxa"/>
                <w:trHeight w:val="285" w:hRule="atLeast"/>
              </w:trPr>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089C25">
                  <w:pPr>
                    <w:jc w:val="left"/>
                    <w:rPr>
                      <w:rFonts w:hint="eastAsia" w:asciiTheme="minorEastAsia" w:hAnsiTheme="minorEastAsia" w:eastAsiaTheme="minorEastAsia" w:cstheme="minorEastAsia"/>
                      <w:i w:val="0"/>
                      <w:iCs w:val="0"/>
                      <w:color w:val="000000"/>
                      <w:sz w:val="21"/>
                      <w:szCs w:val="21"/>
                      <w:u w:val="none"/>
                    </w:rPr>
                  </w:pPr>
                </w:p>
              </w:tc>
              <w:tc>
                <w:tcPr>
                  <w:tcW w:w="1386" w:type="dxa"/>
                  <w:tcBorders>
                    <w:top w:val="single" w:color="000000" w:sz="8" w:space="0"/>
                    <w:left w:val="nil"/>
                    <w:bottom w:val="single" w:color="000000" w:sz="8" w:space="0"/>
                    <w:right w:val="single" w:color="000000" w:sz="8" w:space="0"/>
                  </w:tcBorders>
                  <w:shd w:val="clear" w:color="auto" w:fill="auto"/>
                  <w:vAlign w:val="center"/>
                </w:tcPr>
                <w:p w14:paraId="7A2B624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X</w:t>
                  </w:r>
                </w:p>
              </w:tc>
              <w:tc>
                <w:tcPr>
                  <w:tcW w:w="141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D5FA34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Y</w:t>
                  </w:r>
                </w:p>
              </w:tc>
              <w:tc>
                <w:tcPr>
                  <w:tcW w:w="148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D66BEC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X</w:t>
                  </w:r>
                </w:p>
              </w:tc>
              <w:tc>
                <w:tcPr>
                  <w:tcW w:w="147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86B0BE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Y</w:t>
                  </w:r>
                </w:p>
              </w:tc>
            </w:tr>
            <w:tr w14:paraId="1D571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5" w:type="dxa"/>
                <w:trHeight w:val="345" w:hRule="atLeast"/>
              </w:trPr>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7B2A8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386" w:type="dxa"/>
                  <w:tcBorders>
                    <w:top w:val="nil"/>
                    <w:left w:val="nil"/>
                    <w:bottom w:val="single" w:color="000000" w:sz="8" w:space="0"/>
                    <w:right w:val="single" w:color="000000" w:sz="8" w:space="0"/>
                  </w:tcBorders>
                  <w:shd w:val="clear" w:color="auto" w:fill="auto"/>
                  <w:vAlign w:val="center"/>
                </w:tcPr>
                <w:p w14:paraId="29464B86">
                  <w:pPr>
                    <w:keepNext w:val="0"/>
                    <w:keepLines w:val="0"/>
                    <w:widowControl/>
                    <w:suppressLineNumbers w:val="0"/>
                    <w:ind w:left="0" w:leftChars="0" w:firstLine="0" w:firstLineChars="0"/>
                    <w:jc w:val="left"/>
                    <w:textAlignment w:val="center"/>
                    <w:rPr>
                      <w:rFonts w:hint="default" w:asciiTheme="minorEastAsia" w:hAnsiTheme="minorEastAsia" w:eastAsiaTheme="minorEastAsia" w:cstheme="minorEastAsia"/>
                      <w:i w:val="0"/>
                      <w:iCs w:val="0"/>
                      <w:color w:val="000000"/>
                      <w:sz w:val="21"/>
                      <w:szCs w:val="21"/>
                      <w:u w:val="none"/>
                      <w:lang w:val="en-US"/>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1412" w:type="dxa"/>
                  <w:tcBorders>
                    <w:top w:val="nil"/>
                    <w:left w:val="single" w:color="000000" w:sz="8" w:space="0"/>
                    <w:bottom w:val="single" w:color="000000" w:sz="8" w:space="0"/>
                    <w:right w:val="single" w:color="000000" w:sz="8" w:space="0"/>
                  </w:tcBorders>
                  <w:shd w:val="clear" w:color="auto" w:fill="auto"/>
                  <w:vAlign w:val="center"/>
                </w:tcPr>
                <w:p w14:paraId="3F87B0A7">
                  <w:pPr>
                    <w:keepNext w:val="0"/>
                    <w:keepLines w:val="0"/>
                    <w:widowControl/>
                    <w:suppressLineNumbers w:val="0"/>
                    <w:ind w:left="0" w:leftChars="0" w:firstLine="0" w:firstLineChars="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1488" w:type="dxa"/>
                  <w:tcBorders>
                    <w:top w:val="nil"/>
                    <w:left w:val="single" w:color="000000" w:sz="8" w:space="0"/>
                    <w:bottom w:val="single" w:color="000000" w:sz="8" w:space="0"/>
                    <w:right w:val="single" w:color="000000" w:sz="8" w:space="0"/>
                  </w:tcBorders>
                  <w:shd w:val="clear" w:color="auto" w:fill="auto"/>
                  <w:vAlign w:val="center"/>
                </w:tcPr>
                <w:p w14:paraId="66C54D8C">
                  <w:pPr>
                    <w:keepNext w:val="0"/>
                    <w:keepLines w:val="0"/>
                    <w:widowControl/>
                    <w:suppressLineNumbers w:val="0"/>
                    <w:ind w:left="0" w:leftChars="0" w:firstLine="0" w:firstLineChars="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1474" w:type="dxa"/>
                  <w:tcBorders>
                    <w:top w:val="nil"/>
                    <w:left w:val="single" w:color="000000" w:sz="8" w:space="0"/>
                    <w:bottom w:val="single" w:color="000000" w:sz="8" w:space="0"/>
                    <w:right w:val="single" w:color="000000" w:sz="8" w:space="0"/>
                  </w:tcBorders>
                  <w:shd w:val="clear" w:color="auto" w:fill="auto"/>
                  <w:vAlign w:val="center"/>
                </w:tcPr>
                <w:p w14:paraId="6D8AAAC0">
                  <w:pPr>
                    <w:keepNext w:val="0"/>
                    <w:keepLines w:val="0"/>
                    <w:widowControl/>
                    <w:suppressLineNumbers w:val="0"/>
                    <w:ind w:left="0" w:leftChars="0" w:firstLine="0" w:firstLineChars="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r>
            <w:tr w14:paraId="24519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080" w:type="dxa"/>
                  <w:gridSpan w:val="2"/>
                  <w:tcBorders>
                    <w:top w:val="nil"/>
                    <w:left w:val="single" w:color="000000" w:sz="8" w:space="0"/>
                    <w:bottom w:val="single" w:color="000000" w:sz="8" w:space="0"/>
                    <w:right w:val="single" w:color="000000" w:sz="8" w:space="0"/>
                  </w:tcBorders>
                  <w:shd w:val="clear" w:color="auto" w:fill="auto"/>
                  <w:vAlign w:val="center"/>
                </w:tcPr>
                <w:p w14:paraId="53E3754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391" w:type="dxa"/>
                  <w:gridSpan w:val="2"/>
                  <w:tcBorders>
                    <w:top w:val="nil"/>
                    <w:left w:val="single" w:color="000000" w:sz="8" w:space="0"/>
                    <w:bottom w:val="single" w:color="000000" w:sz="8" w:space="0"/>
                    <w:right w:val="single" w:color="000000" w:sz="8" w:space="0"/>
                  </w:tcBorders>
                  <w:shd w:val="clear" w:color="auto" w:fill="auto"/>
                  <w:vAlign w:val="center"/>
                </w:tcPr>
                <w:p w14:paraId="529A9275">
                  <w:pPr>
                    <w:keepNext w:val="0"/>
                    <w:keepLines w:val="0"/>
                    <w:widowControl/>
                    <w:suppressLineNumbers w:val="0"/>
                    <w:ind w:left="0" w:leftChars="0" w:firstLine="0" w:firstLineChars="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1412" w:type="dxa"/>
                  <w:tcBorders>
                    <w:top w:val="nil"/>
                    <w:left w:val="single" w:color="000000" w:sz="8" w:space="0"/>
                    <w:bottom w:val="single" w:color="000000" w:sz="8" w:space="0"/>
                    <w:right w:val="single" w:color="000000" w:sz="8" w:space="0"/>
                  </w:tcBorders>
                  <w:shd w:val="clear" w:color="auto" w:fill="auto"/>
                  <w:vAlign w:val="center"/>
                </w:tcPr>
                <w:p w14:paraId="04E69390">
                  <w:pPr>
                    <w:keepNext w:val="0"/>
                    <w:keepLines w:val="0"/>
                    <w:widowControl/>
                    <w:suppressLineNumbers w:val="0"/>
                    <w:ind w:left="0" w:leftChars="0" w:firstLine="0" w:firstLineChars="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1488" w:type="dxa"/>
                  <w:tcBorders>
                    <w:top w:val="nil"/>
                    <w:left w:val="single" w:color="000000" w:sz="8" w:space="0"/>
                    <w:bottom w:val="single" w:color="000000" w:sz="8" w:space="0"/>
                    <w:right w:val="single" w:color="000000" w:sz="8" w:space="0"/>
                  </w:tcBorders>
                  <w:shd w:val="clear" w:color="auto" w:fill="auto"/>
                  <w:vAlign w:val="center"/>
                </w:tcPr>
                <w:p w14:paraId="553EE322">
                  <w:pPr>
                    <w:keepNext w:val="0"/>
                    <w:keepLines w:val="0"/>
                    <w:widowControl/>
                    <w:suppressLineNumbers w:val="0"/>
                    <w:ind w:left="0" w:leftChars="0" w:firstLine="0" w:firstLineChars="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1474" w:type="dxa"/>
                  <w:tcBorders>
                    <w:top w:val="nil"/>
                    <w:left w:val="single" w:color="000000" w:sz="8" w:space="0"/>
                    <w:bottom w:val="single" w:color="000000" w:sz="8" w:space="0"/>
                    <w:right w:val="single" w:color="000000" w:sz="8" w:space="0"/>
                  </w:tcBorders>
                  <w:shd w:val="clear" w:color="auto" w:fill="auto"/>
                  <w:vAlign w:val="center"/>
                </w:tcPr>
                <w:p w14:paraId="3092CA69">
                  <w:pPr>
                    <w:keepNext w:val="0"/>
                    <w:keepLines w:val="0"/>
                    <w:widowControl/>
                    <w:suppressLineNumbers w:val="0"/>
                    <w:ind w:left="0" w:leftChars="0" w:firstLine="0" w:firstLineChars="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r>
            <w:tr w14:paraId="7A91D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80" w:type="dxa"/>
                  <w:gridSpan w:val="2"/>
                  <w:tcBorders>
                    <w:top w:val="nil"/>
                    <w:left w:val="single" w:color="000000" w:sz="8" w:space="0"/>
                    <w:bottom w:val="single" w:color="000000" w:sz="8" w:space="0"/>
                    <w:right w:val="single" w:color="000000" w:sz="8" w:space="0"/>
                  </w:tcBorders>
                  <w:shd w:val="clear" w:color="auto" w:fill="auto"/>
                  <w:vAlign w:val="center"/>
                </w:tcPr>
                <w:p w14:paraId="499538B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1391" w:type="dxa"/>
                  <w:gridSpan w:val="2"/>
                  <w:tcBorders>
                    <w:top w:val="nil"/>
                    <w:left w:val="single" w:color="000000" w:sz="8" w:space="0"/>
                    <w:bottom w:val="single" w:color="000000" w:sz="8" w:space="0"/>
                    <w:right w:val="single" w:color="000000" w:sz="8" w:space="0"/>
                  </w:tcBorders>
                  <w:shd w:val="clear" w:color="auto" w:fill="auto"/>
                  <w:vAlign w:val="center"/>
                </w:tcPr>
                <w:p w14:paraId="1C36E58B">
                  <w:pPr>
                    <w:keepNext w:val="0"/>
                    <w:keepLines w:val="0"/>
                    <w:widowControl/>
                    <w:suppressLineNumbers w:val="0"/>
                    <w:ind w:left="0" w:leftChars="0" w:firstLine="0" w:firstLineChars="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1412" w:type="dxa"/>
                  <w:tcBorders>
                    <w:top w:val="nil"/>
                    <w:left w:val="single" w:color="000000" w:sz="8" w:space="0"/>
                    <w:bottom w:val="single" w:color="000000" w:sz="8" w:space="0"/>
                    <w:right w:val="single" w:color="000000" w:sz="8" w:space="0"/>
                  </w:tcBorders>
                  <w:shd w:val="clear" w:color="auto" w:fill="auto"/>
                  <w:vAlign w:val="center"/>
                </w:tcPr>
                <w:p w14:paraId="25950FF1">
                  <w:pPr>
                    <w:keepNext w:val="0"/>
                    <w:keepLines w:val="0"/>
                    <w:widowControl/>
                    <w:suppressLineNumbers w:val="0"/>
                    <w:ind w:left="0" w:leftChars="0" w:firstLine="0" w:firstLineChars="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1488" w:type="dxa"/>
                  <w:tcBorders>
                    <w:top w:val="nil"/>
                    <w:left w:val="single" w:color="000000" w:sz="8" w:space="0"/>
                    <w:bottom w:val="single" w:color="000000" w:sz="8" w:space="0"/>
                    <w:right w:val="single" w:color="000000" w:sz="8" w:space="0"/>
                  </w:tcBorders>
                  <w:shd w:val="clear" w:color="auto" w:fill="auto"/>
                  <w:vAlign w:val="center"/>
                </w:tcPr>
                <w:p w14:paraId="4863C290">
                  <w:pPr>
                    <w:keepNext w:val="0"/>
                    <w:keepLines w:val="0"/>
                    <w:widowControl/>
                    <w:suppressLineNumbers w:val="0"/>
                    <w:ind w:left="0" w:leftChars="0" w:firstLine="0" w:firstLineChars="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1474" w:type="dxa"/>
                  <w:tcBorders>
                    <w:top w:val="nil"/>
                    <w:left w:val="single" w:color="000000" w:sz="8" w:space="0"/>
                    <w:bottom w:val="single" w:color="000000" w:sz="8" w:space="0"/>
                    <w:right w:val="single" w:color="000000" w:sz="8" w:space="0"/>
                  </w:tcBorders>
                  <w:shd w:val="clear" w:color="auto" w:fill="auto"/>
                  <w:vAlign w:val="center"/>
                </w:tcPr>
                <w:p w14:paraId="15F913BD">
                  <w:pPr>
                    <w:keepNext w:val="0"/>
                    <w:keepLines w:val="0"/>
                    <w:widowControl/>
                    <w:suppressLineNumbers w:val="0"/>
                    <w:ind w:left="0" w:leftChars="0" w:firstLine="0" w:firstLineChars="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r>
            <w:tr w14:paraId="1D575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80" w:type="dxa"/>
                  <w:gridSpan w:val="2"/>
                  <w:tcBorders>
                    <w:top w:val="nil"/>
                    <w:left w:val="single" w:color="000000" w:sz="8" w:space="0"/>
                    <w:bottom w:val="single" w:color="000000" w:sz="8" w:space="0"/>
                    <w:right w:val="single" w:color="000000" w:sz="8" w:space="0"/>
                  </w:tcBorders>
                  <w:shd w:val="clear" w:color="auto" w:fill="auto"/>
                  <w:vAlign w:val="center"/>
                </w:tcPr>
                <w:p w14:paraId="7D4E9DD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1391" w:type="dxa"/>
                  <w:gridSpan w:val="2"/>
                  <w:tcBorders>
                    <w:top w:val="nil"/>
                    <w:left w:val="single" w:color="000000" w:sz="8" w:space="0"/>
                    <w:bottom w:val="single" w:color="000000" w:sz="8" w:space="0"/>
                    <w:right w:val="single" w:color="000000" w:sz="8" w:space="0"/>
                  </w:tcBorders>
                  <w:shd w:val="clear" w:color="auto" w:fill="auto"/>
                  <w:vAlign w:val="center"/>
                </w:tcPr>
                <w:p w14:paraId="2DA6F2DE">
                  <w:pPr>
                    <w:keepNext w:val="0"/>
                    <w:keepLines w:val="0"/>
                    <w:widowControl/>
                    <w:suppressLineNumbers w:val="0"/>
                    <w:ind w:left="0" w:leftChars="0" w:firstLine="0" w:firstLineChars="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1412" w:type="dxa"/>
                  <w:tcBorders>
                    <w:top w:val="nil"/>
                    <w:left w:val="single" w:color="000000" w:sz="8" w:space="0"/>
                    <w:bottom w:val="single" w:color="000000" w:sz="8" w:space="0"/>
                    <w:right w:val="single" w:color="000000" w:sz="8" w:space="0"/>
                  </w:tcBorders>
                  <w:shd w:val="clear" w:color="auto" w:fill="auto"/>
                  <w:vAlign w:val="center"/>
                </w:tcPr>
                <w:p w14:paraId="61C99F12">
                  <w:pPr>
                    <w:keepNext w:val="0"/>
                    <w:keepLines w:val="0"/>
                    <w:widowControl/>
                    <w:suppressLineNumbers w:val="0"/>
                    <w:ind w:left="0" w:leftChars="0" w:firstLine="0" w:firstLineChars="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1488" w:type="dxa"/>
                  <w:tcBorders>
                    <w:top w:val="nil"/>
                    <w:left w:val="single" w:color="000000" w:sz="8" w:space="0"/>
                    <w:bottom w:val="single" w:color="000000" w:sz="8" w:space="0"/>
                    <w:right w:val="single" w:color="000000" w:sz="8" w:space="0"/>
                  </w:tcBorders>
                  <w:shd w:val="clear" w:color="auto" w:fill="auto"/>
                  <w:vAlign w:val="center"/>
                </w:tcPr>
                <w:p w14:paraId="7838C13E">
                  <w:pPr>
                    <w:keepNext w:val="0"/>
                    <w:keepLines w:val="0"/>
                    <w:widowControl/>
                    <w:suppressLineNumbers w:val="0"/>
                    <w:ind w:left="0" w:leftChars="0" w:firstLine="0" w:firstLineChars="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1474" w:type="dxa"/>
                  <w:tcBorders>
                    <w:top w:val="nil"/>
                    <w:left w:val="single" w:color="000000" w:sz="8" w:space="0"/>
                    <w:bottom w:val="single" w:color="000000" w:sz="8" w:space="0"/>
                    <w:right w:val="single" w:color="000000" w:sz="8" w:space="0"/>
                  </w:tcBorders>
                  <w:shd w:val="clear" w:color="auto" w:fill="auto"/>
                  <w:vAlign w:val="center"/>
                </w:tcPr>
                <w:p w14:paraId="7E0877D6">
                  <w:pPr>
                    <w:keepNext w:val="0"/>
                    <w:keepLines w:val="0"/>
                    <w:widowControl/>
                    <w:suppressLineNumbers w:val="0"/>
                    <w:ind w:left="0" w:leftChars="0" w:firstLine="0" w:firstLineChars="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r>
            <w:tr w14:paraId="42B80F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80" w:type="dxa"/>
                  <w:gridSpan w:val="2"/>
                  <w:tcBorders>
                    <w:top w:val="nil"/>
                    <w:left w:val="single" w:color="000000" w:sz="8" w:space="0"/>
                    <w:bottom w:val="single" w:color="000000" w:sz="8" w:space="0"/>
                    <w:right w:val="single" w:color="000000" w:sz="8" w:space="0"/>
                  </w:tcBorders>
                  <w:shd w:val="clear" w:color="auto" w:fill="auto"/>
                  <w:vAlign w:val="center"/>
                </w:tcPr>
                <w:p w14:paraId="437EE84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1391" w:type="dxa"/>
                  <w:gridSpan w:val="2"/>
                  <w:tcBorders>
                    <w:top w:val="nil"/>
                    <w:left w:val="single" w:color="000000" w:sz="8" w:space="0"/>
                    <w:bottom w:val="single" w:color="000000" w:sz="8" w:space="0"/>
                    <w:right w:val="single" w:color="000000" w:sz="8" w:space="0"/>
                  </w:tcBorders>
                  <w:shd w:val="clear" w:color="auto" w:fill="auto"/>
                  <w:vAlign w:val="center"/>
                </w:tcPr>
                <w:p w14:paraId="21B7F810">
                  <w:pPr>
                    <w:keepNext w:val="0"/>
                    <w:keepLines w:val="0"/>
                    <w:widowControl/>
                    <w:suppressLineNumbers w:val="0"/>
                    <w:ind w:left="0" w:leftChars="0" w:firstLine="0" w:firstLineChars="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1412" w:type="dxa"/>
                  <w:tcBorders>
                    <w:top w:val="nil"/>
                    <w:left w:val="single" w:color="000000" w:sz="8" w:space="0"/>
                    <w:bottom w:val="single" w:color="000000" w:sz="8" w:space="0"/>
                    <w:right w:val="single" w:color="000000" w:sz="8" w:space="0"/>
                  </w:tcBorders>
                  <w:shd w:val="clear" w:color="auto" w:fill="auto"/>
                  <w:vAlign w:val="center"/>
                </w:tcPr>
                <w:p w14:paraId="2D736426">
                  <w:pPr>
                    <w:keepNext w:val="0"/>
                    <w:keepLines w:val="0"/>
                    <w:widowControl/>
                    <w:suppressLineNumbers w:val="0"/>
                    <w:ind w:left="0" w:leftChars="0" w:firstLine="0" w:firstLineChars="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1488" w:type="dxa"/>
                  <w:tcBorders>
                    <w:top w:val="nil"/>
                    <w:left w:val="single" w:color="000000" w:sz="8" w:space="0"/>
                    <w:bottom w:val="single" w:color="000000" w:sz="8" w:space="0"/>
                    <w:right w:val="single" w:color="000000" w:sz="8" w:space="0"/>
                  </w:tcBorders>
                  <w:shd w:val="clear" w:color="auto" w:fill="auto"/>
                  <w:vAlign w:val="center"/>
                </w:tcPr>
                <w:p w14:paraId="356E5E6F">
                  <w:pPr>
                    <w:keepNext w:val="0"/>
                    <w:keepLines w:val="0"/>
                    <w:widowControl/>
                    <w:suppressLineNumbers w:val="0"/>
                    <w:ind w:left="0" w:leftChars="0" w:firstLine="0" w:firstLineChars="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1474" w:type="dxa"/>
                  <w:tcBorders>
                    <w:top w:val="nil"/>
                    <w:left w:val="single" w:color="000000" w:sz="8" w:space="0"/>
                    <w:bottom w:val="single" w:color="000000" w:sz="8" w:space="0"/>
                    <w:right w:val="single" w:color="000000" w:sz="8" w:space="0"/>
                  </w:tcBorders>
                  <w:shd w:val="clear" w:color="auto" w:fill="auto"/>
                  <w:vAlign w:val="center"/>
                </w:tcPr>
                <w:p w14:paraId="3E7F83AC">
                  <w:pPr>
                    <w:keepNext w:val="0"/>
                    <w:keepLines w:val="0"/>
                    <w:widowControl/>
                    <w:suppressLineNumbers w:val="0"/>
                    <w:ind w:left="0" w:leftChars="0" w:firstLine="0" w:firstLineChars="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r>
            <w:tr w14:paraId="66C4A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845" w:type="dxa"/>
                  <w:gridSpan w:val="7"/>
                  <w:tcBorders>
                    <w:top w:val="nil"/>
                    <w:left w:val="single" w:color="000000" w:sz="8" w:space="0"/>
                    <w:bottom w:val="single" w:color="000000" w:sz="8" w:space="0"/>
                    <w:right w:val="single" w:color="000000" w:sz="8" w:space="0"/>
                  </w:tcBorders>
                  <w:shd w:val="clear" w:color="auto" w:fill="auto"/>
                  <w:vAlign w:val="center"/>
                </w:tcPr>
                <w:p w14:paraId="4B0E6E3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面积</w:t>
                  </w:r>
                  <w:r>
                    <w:rPr>
                      <w:rStyle w:val="16"/>
                      <w:rFonts w:hint="eastAsia" w:asciiTheme="minorEastAsia" w:hAnsiTheme="minorEastAsia" w:eastAsiaTheme="minorEastAsia" w:cstheme="minorEastAsia"/>
                      <w:sz w:val="21"/>
                      <w:szCs w:val="21"/>
                      <w:lang w:val="en-US" w:eastAsia="zh-CN" w:bidi="ar"/>
                    </w:rPr>
                    <w:t>:3.2546km</w:t>
                  </w:r>
                  <w:r>
                    <w:rPr>
                      <w:rStyle w:val="18"/>
                      <w:rFonts w:hint="eastAsia" w:asciiTheme="minorEastAsia" w:hAnsiTheme="minorEastAsia" w:eastAsiaTheme="minorEastAsia" w:cstheme="minorEastAsia"/>
                      <w:sz w:val="21"/>
                      <w:szCs w:val="21"/>
                      <w:vertAlign w:val="superscript"/>
                      <w:lang w:val="en-US" w:eastAsia="zh-CN" w:bidi="ar"/>
                    </w:rPr>
                    <w:t xml:space="preserve">2 </w:t>
                  </w:r>
                  <w:r>
                    <w:rPr>
                      <w:rStyle w:val="18"/>
                      <w:rFonts w:hint="eastAsia" w:asciiTheme="minorEastAsia" w:hAnsiTheme="minorEastAsia" w:eastAsiaTheme="minorEastAsia" w:cstheme="minorEastAsia"/>
                      <w:sz w:val="21"/>
                      <w:szCs w:val="21"/>
                      <w:vertAlign w:val="baseline"/>
                      <w:lang w:val="en-US" w:eastAsia="zh-CN" w:bidi="ar"/>
                    </w:rPr>
                    <w:t xml:space="preserve">   </w:t>
                  </w:r>
                  <w:r>
                    <w:rPr>
                      <w:rStyle w:val="15"/>
                      <w:rFonts w:hint="eastAsia" w:asciiTheme="minorEastAsia" w:hAnsiTheme="minorEastAsia" w:eastAsiaTheme="minorEastAsia" w:cstheme="minorEastAsia"/>
                      <w:sz w:val="21"/>
                      <w:szCs w:val="21"/>
                      <w:lang w:val="en-US" w:eastAsia="zh-CN" w:bidi="ar"/>
                    </w:rPr>
                    <w:t>标高：</w:t>
                  </w:r>
                  <w:r>
                    <w:rPr>
                      <w:rStyle w:val="16"/>
                      <w:rFonts w:hint="eastAsia" w:asciiTheme="minorEastAsia" w:hAnsiTheme="minorEastAsia" w:eastAsiaTheme="minorEastAsia" w:cstheme="minorEastAsia"/>
                      <w:sz w:val="21"/>
                      <w:szCs w:val="21"/>
                      <w:lang w:val="en-US" w:eastAsia="zh-CN" w:bidi="ar"/>
                    </w:rPr>
                    <w:t>660</w:t>
                  </w:r>
                  <w:r>
                    <w:rPr>
                      <w:rStyle w:val="15"/>
                      <w:rFonts w:hint="eastAsia" w:asciiTheme="minorEastAsia" w:hAnsiTheme="minorEastAsia" w:eastAsiaTheme="minorEastAsia" w:cstheme="minorEastAsia"/>
                      <w:sz w:val="21"/>
                      <w:szCs w:val="21"/>
                      <w:lang w:val="en-US" w:eastAsia="zh-CN" w:bidi="ar"/>
                    </w:rPr>
                    <w:t>～</w:t>
                  </w:r>
                  <w:r>
                    <w:rPr>
                      <w:rStyle w:val="16"/>
                      <w:rFonts w:hint="eastAsia" w:asciiTheme="minorEastAsia" w:hAnsiTheme="minorEastAsia" w:eastAsiaTheme="minorEastAsia" w:cstheme="minorEastAsia"/>
                      <w:sz w:val="21"/>
                      <w:szCs w:val="21"/>
                      <w:lang w:val="en-US" w:eastAsia="zh-CN" w:bidi="ar"/>
                    </w:rPr>
                    <w:t>-294m</w:t>
                  </w:r>
                </w:p>
              </w:tc>
            </w:tr>
          </w:tbl>
          <w:p w14:paraId="78F718B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color w:val="FF0000"/>
                <w:sz w:val="21"/>
                <w:szCs w:val="21"/>
                <w:lang w:val="zh-CN"/>
              </w:rPr>
            </w:pPr>
          </w:p>
        </w:tc>
      </w:tr>
      <w:tr w14:paraId="1AD13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exact"/>
          <w:jc w:val="center"/>
        </w:trPr>
        <w:tc>
          <w:tcPr>
            <w:tcW w:w="875" w:type="pct"/>
            <w:noWrap w:val="0"/>
            <w:vAlign w:val="center"/>
          </w:tcPr>
          <w:p w14:paraId="0B6A362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基金提取</w:t>
            </w:r>
          </w:p>
        </w:tc>
        <w:tc>
          <w:tcPr>
            <w:tcW w:w="2057" w:type="pct"/>
            <w:gridSpan w:val="3"/>
            <w:noWrap w:val="0"/>
            <w:vAlign w:val="center"/>
          </w:tcPr>
          <w:p w14:paraId="05D5398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已计提</w:t>
            </w:r>
            <w:r>
              <w:rPr>
                <w:rFonts w:hint="eastAsia" w:asciiTheme="minorEastAsia" w:hAnsiTheme="minorEastAsia" w:eastAsiaTheme="minorEastAsia" w:cstheme="minorEastAsia"/>
                <w:sz w:val="21"/>
                <w:szCs w:val="21"/>
                <w:lang w:val="en-US" w:eastAsia="zh-CN"/>
              </w:rPr>
              <w:t>45</w:t>
            </w:r>
            <w:r>
              <w:rPr>
                <w:rFonts w:hint="eastAsia" w:asciiTheme="minorEastAsia" w:hAnsiTheme="minorEastAsia" w:eastAsiaTheme="minorEastAsia" w:cstheme="minorEastAsia"/>
                <w:sz w:val="21"/>
                <w:szCs w:val="21"/>
                <w:lang w:val="zh-CN"/>
              </w:rPr>
              <w:t>万元</w:t>
            </w:r>
          </w:p>
        </w:tc>
        <w:tc>
          <w:tcPr>
            <w:tcW w:w="798" w:type="pct"/>
            <w:noWrap w:val="0"/>
            <w:vAlign w:val="center"/>
          </w:tcPr>
          <w:p w14:paraId="46E4ADC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基金使用</w:t>
            </w:r>
          </w:p>
        </w:tc>
        <w:tc>
          <w:tcPr>
            <w:tcW w:w="1268" w:type="pct"/>
            <w:noWrap w:val="0"/>
            <w:vAlign w:val="center"/>
          </w:tcPr>
          <w:p w14:paraId="2D2D4CB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96.18万元</w:t>
            </w:r>
          </w:p>
        </w:tc>
      </w:tr>
      <w:tr w14:paraId="57B76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exact"/>
          <w:jc w:val="center"/>
        </w:trPr>
        <w:tc>
          <w:tcPr>
            <w:tcW w:w="1054" w:type="pct"/>
            <w:gridSpan w:val="2"/>
            <w:noWrap w:val="0"/>
            <w:vAlign w:val="center"/>
          </w:tcPr>
          <w:p w14:paraId="61888E2D">
            <w:pPr>
              <w:autoSpaceDE w:val="0"/>
              <w:autoSpaceDN w:val="0"/>
              <w:adjustRightInd w:val="0"/>
              <w:snapToGrid/>
              <w:spacing w:line="240" w:lineRule="auto"/>
              <w:ind w:firstLine="0" w:firstLineChars="0"/>
              <w:jc w:val="center"/>
              <w:rPr>
                <w:rFonts w:hint="eastAsia" w:asciiTheme="minorEastAsia" w:hAnsiTheme="minorEastAsia" w:eastAsiaTheme="minorEastAsia" w:cstheme="minorEastAsia"/>
                <w:kern w:val="2"/>
                <w:sz w:val="21"/>
                <w:szCs w:val="21"/>
                <w:lang w:val="zh-CN" w:eastAsia="zh-CN" w:bidi="ar-SA"/>
              </w:rPr>
            </w:pPr>
            <w:r>
              <w:rPr>
                <w:rFonts w:hint="eastAsia" w:asciiTheme="minorEastAsia" w:hAnsiTheme="minorEastAsia" w:eastAsiaTheme="minorEastAsia" w:cstheme="minorEastAsia"/>
                <w:sz w:val="21"/>
                <w:szCs w:val="21"/>
                <w:lang w:val="zh-CN"/>
              </w:rPr>
              <w:t>《</w:t>
            </w:r>
            <w:r>
              <w:rPr>
                <w:rFonts w:hint="eastAsia" w:asciiTheme="minorEastAsia" w:hAnsiTheme="minorEastAsia" w:eastAsiaTheme="minorEastAsia" w:cstheme="minorEastAsia"/>
                <w:sz w:val="21"/>
                <w:szCs w:val="21"/>
                <w:lang w:val="en-US" w:eastAsia="zh-CN"/>
              </w:rPr>
              <w:t>方案</w:t>
            </w:r>
            <w:r>
              <w:rPr>
                <w:rFonts w:hint="eastAsia" w:asciiTheme="minorEastAsia" w:hAnsiTheme="minorEastAsia" w:eastAsiaTheme="minorEastAsia" w:cstheme="minorEastAsia"/>
                <w:sz w:val="21"/>
                <w:szCs w:val="21"/>
                <w:lang w:val="zh-CN"/>
              </w:rPr>
              <w:t>》</w:t>
            </w:r>
            <w:r>
              <w:rPr>
                <w:rFonts w:hint="eastAsia" w:asciiTheme="minorEastAsia" w:hAnsiTheme="minorEastAsia" w:eastAsiaTheme="minorEastAsia" w:cstheme="minorEastAsia"/>
                <w:sz w:val="21"/>
                <w:szCs w:val="21"/>
                <w:lang w:val="en-US" w:eastAsia="zh-CN"/>
              </w:rPr>
              <w:t>适用期</w:t>
            </w:r>
          </w:p>
        </w:tc>
        <w:tc>
          <w:tcPr>
            <w:tcW w:w="3945" w:type="pct"/>
            <w:gridSpan w:val="4"/>
            <w:noWrap w:val="0"/>
            <w:vAlign w:val="center"/>
          </w:tcPr>
          <w:p w14:paraId="5D6B0305">
            <w:pPr>
              <w:autoSpaceDE w:val="0"/>
              <w:autoSpaceDN w:val="0"/>
              <w:adjustRightInd w:val="0"/>
              <w:snapToGrid/>
              <w:spacing w:line="240" w:lineRule="auto"/>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2023.7.1-2028.6.30</w:t>
            </w:r>
          </w:p>
        </w:tc>
      </w:tr>
      <w:tr w14:paraId="16405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exact"/>
          <w:jc w:val="center"/>
        </w:trPr>
        <w:tc>
          <w:tcPr>
            <w:tcW w:w="5000" w:type="pct"/>
            <w:gridSpan w:val="6"/>
            <w:noWrap w:val="0"/>
            <w:vAlign w:val="center"/>
          </w:tcPr>
          <w:p w14:paraId="70B1EFA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eastAsia" w:asciiTheme="minorEastAsia" w:hAnsiTheme="minorEastAsia" w:eastAsiaTheme="minorEastAsia" w:cstheme="minorEastAsia"/>
                <w:b/>
                <w:sz w:val="21"/>
                <w:szCs w:val="21"/>
                <w:lang w:val="zh-CN"/>
              </w:rPr>
            </w:pPr>
            <w:r>
              <w:rPr>
                <w:rFonts w:hint="eastAsia" w:asciiTheme="minorEastAsia" w:hAnsiTheme="minorEastAsia" w:eastAsiaTheme="minorEastAsia" w:cstheme="minorEastAsia"/>
                <w:b/>
                <w:sz w:val="21"/>
                <w:szCs w:val="21"/>
                <w:lang w:val="zh-CN"/>
              </w:rPr>
              <w:t>矿山企业联系方式</w:t>
            </w:r>
          </w:p>
        </w:tc>
      </w:tr>
      <w:tr w14:paraId="09973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exact"/>
          <w:jc w:val="center"/>
        </w:trPr>
        <w:tc>
          <w:tcPr>
            <w:tcW w:w="875" w:type="pct"/>
            <w:noWrap w:val="0"/>
            <w:vAlign w:val="center"/>
          </w:tcPr>
          <w:p w14:paraId="7F51D93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联系人</w:t>
            </w:r>
          </w:p>
        </w:tc>
        <w:tc>
          <w:tcPr>
            <w:tcW w:w="2057" w:type="pct"/>
            <w:gridSpan w:val="3"/>
            <w:noWrap w:val="0"/>
            <w:vAlign w:val="center"/>
          </w:tcPr>
          <w:p w14:paraId="39A511C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王宁</w:t>
            </w:r>
          </w:p>
        </w:tc>
        <w:tc>
          <w:tcPr>
            <w:tcW w:w="798" w:type="pct"/>
            <w:noWrap w:val="0"/>
            <w:vAlign w:val="center"/>
          </w:tcPr>
          <w:p w14:paraId="56724D7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手机号</w:t>
            </w:r>
          </w:p>
        </w:tc>
        <w:tc>
          <w:tcPr>
            <w:tcW w:w="1268" w:type="pct"/>
            <w:noWrap w:val="0"/>
            <w:vAlign w:val="center"/>
          </w:tcPr>
          <w:p w14:paraId="2A5291F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15934964070</w:t>
            </w:r>
          </w:p>
        </w:tc>
      </w:tr>
      <w:tr w14:paraId="517F7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exact"/>
          <w:jc w:val="center"/>
        </w:trPr>
        <w:tc>
          <w:tcPr>
            <w:tcW w:w="875" w:type="pct"/>
            <w:noWrap w:val="0"/>
            <w:vAlign w:val="center"/>
          </w:tcPr>
          <w:p w14:paraId="3C851C2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通讯地址</w:t>
            </w:r>
          </w:p>
        </w:tc>
        <w:tc>
          <w:tcPr>
            <w:tcW w:w="2057" w:type="pct"/>
            <w:gridSpan w:val="3"/>
            <w:noWrap w:val="0"/>
            <w:vAlign w:val="center"/>
          </w:tcPr>
          <w:p w14:paraId="42A4D16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en-US" w:eastAsia="zh-CN"/>
              </w:rPr>
              <w:t>敖汉旗金厂沟梁镇</w:t>
            </w:r>
          </w:p>
        </w:tc>
        <w:tc>
          <w:tcPr>
            <w:tcW w:w="798" w:type="pct"/>
            <w:noWrap w:val="0"/>
            <w:vAlign w:val="center"/>
          </w:tcPr>
          <w:p w14:paraId="40EB194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邮编</w:t>
            </w:r>
          </w:p>
        </w:tc>
        <w:tc>
          <w:tcPr>
            <w:tcW w:w="1268" w:type="pct"/>
            <w:noWrap w:val="0"/>
            <w:vAlign w:val="center"/>
          </w:tcPr>
          <w:p w14:paraId="3765EC1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024327</w:t>
            </w:r>
          </w:p>
        </w:tc>
      </w:tr>
    </w:tbl>
    <w:p w14:paraId="2084A037">
      <w:pPr>
        <w:bidi w:val="0"/>
        <w:ind w:left="0" w:leftChars="0" w:firstLine="0" w:firstLineChars="0"/>
      </w:pPr>
      <w:bookmarkStart w:id="1" w:name="_Toc2653"/>
    </w:p>
    <w:p w14:paraId="5B209D72">
      <w:pPr>
        <w:pStyle w:val="2"/>
        <w:pageBreakBefore w:val="0"/>
        <w:adjustRightInd/>
        <w:snapToGrid/>
        <w:ind w:firstLine="3012" w:firstLineChars="1000"/>
        <w:jc w:val="both"/>
        <w:rPr>
          <w:sz w:val="30"/>
          <w:szCs w:val="30"/>
        </w:rPr>
        <w:sectPr>
          <w:footerReference r:id="rId6" w:type="default"/>
          <w:pgSz w:w="11906" w:h="16838"/>
          <w:pgMar w:top="1440" w:right="1800" w:bottom="1440" w:left="1800" w:header="851" w:footer="992" w:gutter="0"/>
          <w:pgNumType w:fmt="decimal" w:start="1"/>
          <w:cols w:space="425" w:num="1"/>
          <w:docGrid w:type="lines" w:linePitch="312" w:charSpace="0"/>
        </w:sectPr>
      </w:pPr>
    </w:p>
    <w:p w14:paraId="3B1B086B">
      <w:pPr>
        <w:pStyle w:val="2"/>
        <w:pageBreakBefore w:val="0"/>
        <w:adjustRightInd/>
        <w:snapToGrid/>
        <w:ind w:firstLine="3012" w:firstLineChars="1000"/>
        <w:jc w:val="both"/>
        <w:rPr>
          <w:rFonts w:hint="default" w:eastAsia="宋体"/>
          <w:sz w:val="30"/>
          <w:szCs w:val="30"/>
          <w:lang w:val="en-US" w:eastAsia="zh-CN"/>
        </w:rPr>
      </w:pPr>
      <w:r>
        <w:rPr>
          <w:sz w:val="30"/>
          <w:szCs w:val="30"/>
        </w:rPr>
        <w:t>第二章</w:t>
      </w:r>
      <w:r>
        <w:rPr>
          <w:rFonts w:hint="eastAsia"/>
          <w:sz w:val="30"/>
          <w:szCs w:val="30"/>
          <w:lang w:val="en-US" w:eastAsia="zh-CN"/>
        </w:rPr>
        <w:t>矿山开采现状</w:t>
      </w:r>
      <w:bookmarkEnd w:id="1"/>
    </w:p>
    <w:p w14:paraId="067FDBE7">
      <w:pPr>
        <w:pStyle w:val="3"/>
        <w:numPr>
          <w:ilvl w:val="0"/>
          <w:numId w:val="1"/>
        </w:numPr>
        <w:bidi w:val="0"/>
        <w:jc w:val="both"/>
        <w:rPr>
          <w:rFonts w:hint="eastAsia"/>
          <w:sz w:val="28"/>
          <w:szCs w:val="28"/>
          <w:lang w:val="en-US" w:eastAsia="zh-CN"/>
        </w:rPr>
      </w:pPr>
      <w:bookmarkStart w:id="2" w:name="_Toc31816"/>
      <w:r>
        <w:rPr>
          <w:rFonts w:hint="eastAsia"/>
          <w:sz w:val="28"/>
          <w:szCs w:val="28"/>
          <w:lang w:val="en-US" w:eastAsia="zh-CN"/>
        </w:rPr>
        <w:t>矿山开采历史及采空区分布情况</w:t>
      </w:r>
      <w:bookmarkEnd w:id="2"/>
    </w:p>
    <w:p w14:paraId="175CB2F6">
      <w:pPr>
        <w:numPr>
          <w:ilvl w:val="0"/>
          <w:numId w:val="0"/>
        </w:numPr>
        <w:spacing w:line="360" w:lineRule="auto"/>
        <w:ind w:left="0" w:right="0" w:firstLine="0" w:firstLineChars="0"/>
        <w:rPr>
          <w:rFonts w:hint="eastAsia" w:asciiTheme="minorEastAsia" w:hAnsiTheme="minorEastAsia" w:eastAsiaTheme="minorEastAsia" w:cstheme="minorEastAsia"/>
          <w:b/>
          <w:bCs/>
          <w:lang w:val="en-US" w:eastAsia="zh-CN"/>
        </w:rPr>
      </w:pPr>
      <w:r>
        <w:rPr>
          <w:rFonts w:hint="eastAsia"/>
          <w:lang w:val="en-US" w:eastAsia="zh-CN"/>
        </w:rPr>
        <w:t xml:space="preserve">  </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b/>
          <w:bCs/>
          <w:lang w:val="en-US" w:eastAsia="zh-CN"/>
        </w:rPr>
        <w:t>1.矿山开采历史</w:t>
      </w:r>
    </w:p>
    <w:p w14:paraId="611FFE73">
      <w:pPr>
        <w:pStyle w:val="5"/>
        <w:spacing w:line="360" w:lineRule="auto"/>
        <w:ind w:left="0" w:right="0" w:firstLine="464"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金陶公司于2006年7月11日取得由内蒙古国土资源厅颁发的采矿许可证(证号：1500000630443)，并于201</w:t>
      </w:r>
      <w:r>
        <w:rPr>
          <w:rFonts w:hint="eastAsia" w:asciiTheme="minorEastAsia" w:hAnsiTheme="minorEastAsia" w:eastAsiaTheme="minorEastAsia" w:cstheme="minorEastAsia"/>
          <w:spacing w:val="-5"/>
          <w:sz w:val="24"/>
          <w:szCs w:val="24"/>
        </w:rPr>
        <w:t>1年5月23日和2014年5月22日进行了两次采</w:t>
      </w:r>
      <w:r>
        <w:rPr>
          <w:rFonts w:hint="eastAsia" w:asciiTheme="minorEastAsia" w:hAnsiTheme="minorEastAsia" w:eastAsiaTheme="minorEastAsia" w:cstheme="minorEastAsia"/>
          <w:spacing w:val="3"/>
          <w:sz w:val="24"/>
          <w:szCs w:val="24"/>
        </w:rPr>
        <w:t>矿权延续，延续后证号：C15000020</w:t>
      </w:r>
      <w:r>
        <w:rPr>
          <w:rFonts w:hint="eastAsia" w:asciiTheme="minorEastAsia" w:hAnsiTheme="minorEastAsia" w:eastAsiaTheme="minorEastAsia" w:cstheme="minorEastAsia"/>
          <w:spacing w:val="2"/>
          <w:sz w:val="24"/>
          <w:szCs w:val="24"/>
        </w:rPr>
        <w:t>11054120112420，矿山名称：内蒙古金陶股</w:t>
      </w:r>
      <w:r>
        <w:rPr>
          <w:rFonts w:hint="eastAsia" w:asciiTheme="minorEastAsia" w:hAnsiTheme="minorEastAsia" w:eastAsiaTheme="minorEastAsia" w:cstheme="minorEastAsia"/>
          <w:spacing w:val="-4"/>
          <w:sz w:val="24"/>
          <w:szCs w:val="24"/>
        </w:rPr>
        <w:t>份有限公司金厂沟梁金矿，生产规模：15万吨/年。后于2015年11月20日，对</w:t>
      </w:r>
      <w:r>
        <w:rPr>
          <w:rFonts w:hint="eastAsia" w:asciiTheme="minorEastAsia" w:hAnsiTheme="minorEastAsia" w:eastAsiaTheme="minorEastAsia" w:cstheme="minorEastAsia"/>
          <w:spacing w:val="-1"/>
          <w:sz w:val="24"/>
          <w:szCs w:val="24"/>
        </w:rPr>
        <w:t>其进行了生产规模变更，变更后生产规模：28.</w:t>
      </w:r>
      <w:r>
        <w:rPr>
          <w:rFonts w:hint="eastAsia" w:asciiTheme="minorEastAsia" w:hAnsiTheme="minorEastAsia" w:eastAsiaTheme="minorEastAsia" w:cstheme="minorEastAsia"/>
          <w:spacing w:val="-2"/>
          <w:sz w:val="24"/>
          <w:szCs w:val="24"/>
        </w:rPr>
        <w:t>50万吨/年。</w:t>
      </w:r>
    </w:p>
    <w:p w14:paraId="5FA42516">
      <w:pPr>
        <w:pStyle w:val="5"/>
        <w:spacing w:line="360" w:lineRule="auto"/>
        <w:ind w:right="0"/>
        <w:rPr>
          <w:spacing w:val="-7"/>
          <w:sz w:val="24"/>
          <w:szCs w:val="24"/>
        </w:rPr>
      </w:pPr>
      <w:r>
        <w:rPr>
          <w:rFonts w:hint="eastAsia" w:asciiTheme="minorEastAsia" w:hAnsiTheme="minorEastAsia" w:eastAsiaTheme="minorEastAsia" w:cstheme="minorEastAsia"/>
          <w:spacing w:val="-4"/>
          <w:sz w:val="24"/>
          <w:szCs w:val="24"/>
        </w:rPr>
        <w:t>2017年11月13日，内蒙古自治区国土资源厅以“内国土资采划字[2017]072</w:t>
      </w:r>
      <w:r>
        <w:rPr>
          <w:rFonts w:hint="eastAsia" w:asciiTheme="minorEastAsia" w:hAnsiTheme="minorEastAsia" w:eastAsiaTheme="minorEastAsia" w:cstheme="minorEastAsia"/>
          <w:spacing w:val="3"/>
          <w:sz w:val="24"/>
          <w:szCs w:val="24"/>
        </w:rPr>
        <w:t>号”文为内蒙古金陶股份有限公司金厂沟梁金矿划定了矿</w:t>
      </w:r>
      <w:r>
        <w:rPr>
          <w:rFonts w:hint="eastAsia" w:asciiTheme="minorEastAsia" w:hAnsiTheme="minorEastAsia" w:eastAsiaTheme="minorEastAsia" w:cstheme="minorEastAsia"/>
          <w:spacing w:val="2"/>
          <w:sz w:val="24"/>
          <w:szCs w:val="24"/>
        </w:rPr>
        <w:t>区范围，划定范围由5</w:t>
      </w:r>
      <w:r>
        <w:rPr>
          <w:rFonts w:hint="eastAsia" w:asciiTheme="minorEastAsia" w:hAnsiTheme="minorEastAsia" w:eastAsiaTheme="minorEastAsia" w:cstheme="minorEastAsia"/>
          <w:spacing w:val="-2"/>
          <w:sz w:val="24"/>
          <w:szCs w:val="24"/>
        </w:rPr>
        <w:t>个拐点圈定，矿区面积：3.2546平方公里，开采深度：由660米</w:t>
      </w:r>
      <w:r>
        <w:rPr>
          <w:rFonts w:hint="eastAsia" w:asciiTheme="minorEastAsia" w:hAnsiTheme="minorEastAsia" w:eastAsiaTheme="minorEastAsia" w:cstheme="minorEastAsia"/>
          <w:spacing w:val="-3"/>
          <w:sz w:val="24"/>
          <w:szCs w:val="24"/>
        </w:rPr>
        <w:t>至-294米标高。</w:t>
      </w:r>
      <w:r>
        <w:rPr>
          <w:rFonts w:hint="eastAsia" w:asciiTheme="minorEastAsia" w:hAnsiTheme="minorEastAsia" w:eastAsiaTheme="minorEastAsia" w:cstheme="minorEastAsia"/>
          <w:spacing w:val="-2"/>
          <w:sz w:val="24"/>
          <w:szCs w:val="24"/>
        </w:rPr>
        <w:t>矿山于2018年5月延续采矿证，并变更了开采深度：由660米至-29</w:t>
      </w:r>
      <w:r>
        <w:rPr>
          <w:rFonts w:hint="eastAsia" w:asciiTheme="minorEastAsia" w:hAnsiTheme="minorEastAsia" w:eastAsiaTheme="minorEastAsia" w:cstheme="minorEastAsia"/>
          <w:spacing w:val="-3"/>
          <w:sz w:val="24"/>
          <w:szCs w:val="24"/>
        </w:rPr>
        <w:t>4米标高，有</w:t>
      </w:r>
      <w:r>
        <w:rPr>
          <w:rFonts w:hint="eastAsia" w:asciiTheme="minorEastAsia" w:hAnsiTheme="minorEastAsia" w:eastAsiaTheme="minorEastAsia" w:cstheme="minorEastAsia"/>
          <w:spacing w:val="-6"/>
          <w:sz w:val="24"/>
          <w:szCs w:val="24"/>
        </w:rPr>
        <w:t>效期现：2015年5月24日至2026</w:t>
      </w:r>
      <w:r>
        <w:rPr>
          <w:rFonts w:hint="eastAsia" w:asciiTheme="minorEastAsia" w:hAnsiTheme="minorEastAsia" w:eastAsiaTheme="minorEastAsia" w:cstheme="minorEastAsia"/>
          <w:spacing w:val="-7"/>
          <w:sz w:val="24"/>
          <w:szCs w:val="24"/>
        </w:rPr>
        <w:t>年5月24日。</w:t>
      </w:r>
    </w:p>
    <w:p w14:paraId="30EDCCFB">
      <w:pPr>
        <w:pStyle w:val="5"/>
        <w:spacing w:line="360" w:lineRule="auto"/>
        <w:ind w:right="0"/>
        <w:rPr>
          <w:rFonts w:hint="default" w:eastAsia="宋体"/>
          <w:b/>
          <w:bCs/>
          <w:spacing w:val="-7"/>
          <w:sz w:val="24"/>
          <w:szCs w:val="24"/>
          <w:lang w:val="en-US" w:eastAsia="zh-CN"/>
        </w:rPr>
      </w:pPr>
      <w:r>
        <w:rPr>
          <w:rFonts w:hint="eastAsia"/>
          <w:b/>
          <w:bCs/>
          <w:spacing w:val="-7"/>
          <w:sz w:val="24"/>
          <w:szCs w:val="24"/>
          <w:lang w:val="en-US" w:eastAsia="zh-CN"/>
        </w:rPr>
        <w:t>2.采空区分布情况</w:t>
      </w:r>
    </w:p>
    <w:p w14:paraId="1A042CDC">
      <w:pPr>
        <w:pStyle w:val="5"/>
        <w:spacing w:before="35" w:line="353" w:lineRule="auto"/>
        <w:ind w:left="2" w:right="203" w:firstLine="476"/>
        <w:rPr>
          <w:rFonts w:hint="default" w:eastAsia="宋体"/>
          <w:color w:val="auto"/>
          <w:spacing w:val="-7"/>
          <w:sz w:val="24"/>
          <w:szCs w:val="24"/>
          <w:lang w:val="en-US" w:eastAsia="zh-CN"/>
        </w:rPr>
      </w:pPr>
      <w:r>
        <w:rPr>
          <w:rFonts w:hint="eastAsia" w:ascii="宋体"/>
          <w:bCs/>
          <w:kern w:val="0"/>
          <w:sz w:val="24"/>
          <w:szCs w:val="20"/>
          <w:lang w:val="en-US" w:eastAsia="zh-CN"/>
        </w:rPr>
        <w:t>根据现场调查</w:t>
      </w:r>
      <w:r>
        <w:rPr>
          <w:rFonts w:hint="eastAsia" w:ascii="宋体"/>
          <w:bCs/>
          <w:kern w:val="0"/>
          <w:sz w:val="24"/>
          <w:szCs w:val="20"/>
        </w:rPr>
        <w:t>，矿区内的5、8-1、15-2、15-6、26-3、26-5、26-6、26-7、26-8、26-9、32、35-1、35-3、35-4、37、38、55、56-1、57-4、57-5、63#矿体已基本开采完毕，采空标高一般在九中段（370m标高）以上。其它各矿体大都不同程度进行了开采，采空范围不尽一致，15-3、26、35、35S、56、57-6及15#矿体十五中段（130m标高）以上已基本采空，35-6#矿体部分采空，其余矿体130m标高以上部分或大部分采空。</w:t>
      </w:r>
      <w:r>
        <w:rPr>
          <w:rFonts w:hint="eastAsia"/>
          <w:bCs/>
          <w:color w:val="auto"/>
          <w:kern w:val="0"/>
          <w:sz w:val="24"/>
          <w:szCs w:val="20"/>
          <w:lang w:val="en-US" w:eastAsia="zh-CN"/>
        </w:rPr>
        <w:t>金厂沟梁金矿所有采空区均已充填完毕。</w:t>
      </w:r>
    </w:p>
    <w:p w14:paraId="6354CC34">
      <w:pPr>
        <w:pStyle w:val="3"/>
        <w:numPr>
          <w:ilvl w:val="0"/>
          <w:numId w:val="2"/>
        </w:numPr>
        <w:bidi w:val="0"/>
        <w:ind w:left="480" w:leftChars="0" w:firstLineChars="0"/>
        <w:jc w:val="both"/>
        <w:rPr>
          <w:rFonts w:hint="eastAsia"/>
          <w:sz w:val="28"/>
          <w:szCs w:val="28"/>
          <w:lang w:val="en-US" w:eastAsia="zh-CN"/>
        </w:rPr>
      </w:pPr>
      <w:bookmarkStart w:id="3" w:name="_Toc27093"/>
      <w:r>
        <w:rPr>
          <w:sz w:val="28"/>
          <w:szCs w:val="28"/>
        </w:rPr>
        <w:t>本年度</w:t>
      </w:r>
      <w:r>
        <w:rPr>
          <w:rFonts w:hint="eastAsia"/>
          <w:sz w:val="28"/>
          <w:szCs w:val="28"/>
          <w:lang w:val="en-US" w:eastAsia="zh-CN"/>
        </w:rPr>
        <w:t>开采计划</w:t>
      </w:r>
      <w:bookmarkEnd w:id="3"/>
    </w:p>
    <w:p w14:paraId="53A940FA">
      <w:pPr>
        <w:widowControl w:val="0"/>
        <w:numPr>
          <w:ilvl w:val="0"/>
          <w:numId w:val="0"/>
        </w:numPr>
        <w:tabs>
          <w:tab w:val="left" w:pos="568"/>
        </w:tabs>
        <w:bidi w:val="0"/>
        <w:adjustRightInd w:val="0"/>
        <w:snapToGrid w:val="0"/>
        <w:spacing w:line="360" w:lineRule="auto"/>
        <w:ind w:firstLine="560"/>
        <w:jc w:val="left"/>
        <w:rPr>
          <w:rFonts w:hint="eastAsia" w:ascii="宋体" w:hAnsi="宋体"/>
          <w:sz w:val="24"/>
        </w:rPr>
      </w:pPr>
      <w:r>
        <w:rPr>
          <w:rFonts w:hint="eastAsia" w:ascii="宋体" w:hAnsi="宋体"/>
          <w:sz w:val="24"/>
        </w:rPr>
        <w:t>根据开发利用方案及公司确定的202</w:t>
      </w:r>
      <w:r>
        <w:rPr>
          <w:rFonts w:hint="eastAsia" w:ascii="宋体" w:hAnsi="宋体"/>
          <w:sz w:val="24"/>
          <w:lang w:val="en-US" w:eastAsia="zh-CN"/>
        </w:rPr>
        <w:t>6</w:t>
      </w:r>
      <w:r>
        <w:rPr>
          <w:rFonts w:hint="eastAsia" w:ascii="宋体" w:hAnsi="宋体"/>
          <w:sz w:val="24"/>
        </w:rPr>
        <w:t>年生产经营的原则，金厂沟梁金矿202</w:t>
      </w:r>
      <w:r>
        <w:rPr>
          <w:rFonts w:hint="eastAsia" w:ascii="宋体" w:hAnsi="宋体"/>
          <w:sz w:val="24"/>
          <w:lang w:val="en-US" w:eastAsia="zh-CN"/>
        </w:rPr>
        <w:t>6</w:t>
      </w:r>
      <w:r>
        <w:rPr>
          <w:rFonts w:hint="eastAsia" w:ascii="宋体" w:hAnsi="宋体"/>
          <w:sz w:val="24"/>
        </w:rPr>
        <w:t>年计划动用15</w:t>
      </w:r>
      <w:r>
        <w:rPr>
          <w:rFonts w:hint="eastAsia" w:ascii="宋体" w:hAnsi="宋体"/>
          <w:sz w:val="24"/>
          <w:lang w:val="en-US" w:eastAsia="zh-CN"/>
        </w:rPr>
        <w:t>-4</w:t>
      </w:r>
      <w:r>
        <w:rPr>
          <w:rFonts w:hint="eastAsia" w:ascii="宋体" w:hAnsi="宋体"/>
          <w:sz w:val="24"/>
        </w:rPr>
        <w:t>#脉的KZ</w:t>
      </w:r>
      <w:r>
        <w:rPr>
          <w:rFonts w:hint="eastAsia" w:ascii="宋体" w:hAnsi="宋体"/>
          <w:sz w:val="24"/>
          <w:lang w:val="en-US" w:eastAsia="zh-CN"/>
        </w:rPr>
        <w:t>-2、3</w:t>
      </w:r>
      <w:r>
        <w:rPr>
          <w:rFonts w:hint="eastAsia" w:ascii="宋体" w:hAnsi="宋体"/>
          <w:sz w:val="24"/>
        </w:rPr>
        <w:t>块段；</w:t>
      </w:r>
      <w:r>
        <w:rPr>
          <w:rFonts w:hint="eastAsia" w:ascii="宋体" w:hAnsi="宋体"/>
          <w:sz w:val="24"/>
          <w:lang w:val="en-US" w:eastAsia="zh-CN"/>
        </w:rPr>
        <w:t>35#脉的KZ-7、8块段；</w:t>
      </w:r>
      <w:r>
        <w:rPr>
          <w:rFonts w:hint="eastAsia" w:ascii="宋体" w:hAnsi="宋体"/>
          <w:sz w:val="24"/>
        </w:rPr>
        <w:t>35</w:t>
      </w:r>
      <w:r>
        <w:rPr>
          <w:rFonts w:hint="eastAsia" w:ascii="宋体" w:hAnsi="宋体"/>
          <w:sz w:val="24"/>
          <w:lang w:val="en-US" w:eastAsia="zh-CN"/>
        </w:rPr>
        <w:t>-6</w:t>
      </w:r>
      <w:r>
        <w:rPr>
          <w:rFonts w:hint="eastAsia" w:ascii="宋体" w:hAnsi="宋体"/>
          <w:sz w:val="24"/>
        </w:rPr>
        <w:t>#脉的</w:t>
      </w:r>
      <w:r>
        <w:rPr>
          <w:rFonts w:hint="eastAsia" w:ascii="宋体" w:hAnsi="宋体"/>
          <w:sz w:val="24"/>
          <w:lang w:val="en-US" w:eastAsia="zh-CN"/>
        </w:rPr>
        <w:t>KZ-2</w:t>
      </w:r>
      <w:r>
        <w:rPr>
          <w:rFonts w:hint="eastAsia" w:ascii="宋体" w:hAnsi="宋体"/>
          <w:sz w:val="24"/>
        </w:rPr>
        <w:t>块段；35-</w:t>
      </w:r>
      <w:r>
        <w:rPr>
          <w:rFonts w:hint="eastAsia" w:ascii="宋体" w:hAnsi="宋体"/>
          <w:sz w:val="24"/>
          <w:lang w:val="en-US" w:eastAsia="zh-CN"/>
        </w:rPr>
        <w:t>5</w:t>
      </w:r>
      <w:r>
        <w:rPr>
          <w:rFonts w:hint="eastAsia" w:ascii="宋体" w:hAnsi="宋体"/>
          <w:sz w:val="24"/>
        </w:rPr>
        <w:t>#脉的TM-</w:t>
      </w:r>
      <w:r>
        <w:rPr>
          <w:rFonts w:hint="eastAsia" w:ascii="宋体" w:hAnsi="宋体"/>
          <w:sz w:val="24"/>
          <w:lang w:val="en-US" w:eastAsia="zh-CN"/>
        </w:rPr>
        <w:t>18，KZ-3、4及TD-18</w:t>
      </w:r>
      <w:r>
        <w:rPr>
          <w:rFonts w:hint="eastAsia" w:ascii="宋体" w:hAnsi="宋体"/>
          <w:sz w:val="24"/>
        </w:rPr>
        <w:t>块段；3</w:t>
      </w:r>
      <w:r>
        <w:rPr>
          <w:rFonts w:hint="eastAsia" w:ascii="宋体" w:hAnsi="宋体"/>
          <w:sz w:val="24"/>
          <w:lang w:val="en-US" w:eastAsia="zh-CN"/>
        </w:rPr>
        <w:t>6</w:t>
      </w:r>
      <w:r>
        <w:rPr>
          <w:rFonts w:hint="eastAsia" w:ascii="宋体" w:hAnsi="宋体"/>
          <w:sz w:val="24"/>
        </w:rPr>
        <w:t>#脉的</w:t>
      </w:r>
      <w:r>
        <w:rPr>
          <w:rFonts w:hint="eastAsia" w:ascii="宋体" w:hAnsi="宋体"/>
          <w:sz w:val="24"/>
          <w:lang w:val="en-US" w:eastAsia="zh-CN"/>
        </w:rPr>
        <w:t>KZ-1及TD-18</w:t>
      </w:r>
      <w:r>
        <w:rPr>
          <w:rFonts w:hint="eastAsia" w:ascii="宋体" w:hAnsi="宋体"/>
          <w:sz w:val="24"/>
        </w:rPr>
        <w:t>块段；39#脉的</w:t>
      </w:r>
      <w:r>
        <w:rPr>
          <w:rFonts w:hint="eastAsia" w:ascii="宋体" w:hAnsi="宋体"/>
          <w:sz w:val="24"/>
          <w:lang w:val="en-US" w:eastAsia="zh-CN"/>
        </w:rPr>
        <w:t>TD-10、13、15、16、17</w:t>
      </w:r>
      <w:r>
        <w:rPr>
          <w:rFonts w:hint="eastAsia" w:ascii="宋体" w:hAnsi="宋体"/>
          <w:sz w:val="24"/>
        </w:rPr>
        <w:t>块段</w:t>
      </w:r>
      <w:r>
        <w:rPr>
          <w:rFonts w:hint="eastAsia" w:ascii="宋体" w:hAnsi="宋体"/>
          <w:sz w:val="24"/>
          <w:lang w:eastAsia="zh-CN"/>
        </w:rPr>
        <w:t>；</w:t>
      </w:r>
      <w:r>
        <w:rPr>
          <w:rFonts w:hint="eastAsia" w:ascii="宋体" w:hAnsi="宋体"/>
          <w:sz w:val="24"/>
          <w:lang w:val="en-US" w:eastAsia="zh-CN"/>
        </w:rPr>
        <w:t>56#脉的TD-10、11、12、15、16块段</w:t>
      </w:r>
      <w:r>
        <w:rPr>
          <w:rFonts w:hint="eastAsia" w:ascii="宋体" w:hAnsi="宋体"/>
          <w:sz w:val="24"/>
        </w:rPr>
        <w:t>。动用</w:t>
      </w:r>
      <w:r>
        <w:rPr>
          <w:rFonts w:hint="eastAsia" w:ascii="宋体" w:hAnsi="宋体"/>
          <w:sz w:val="24"/>
          <w:lang w:val="en-US" w:eastAsia="zh-CN"/>
        </w:rPr>
        <w:t>资源量</w:t>
      </w:r>
      <w:r>
        <w:rPr>
          <w:rFonts w:hint="eastAsia" w:ascii="宋体" w:hAnsi="宋体"/>
          <w:sz w:val="24"/>
        </w:rPr>
        <w:t>矿石量</w:t>
      </w:r>
      <w:r>
        <w:rPr>
          <w:rFonts w:hint="eastAsia" w:ascii="宋体" w:hAnsi="宋体"/>
          <w:sz w:val="24"/>
          <w:lang w:val="en-US" w:eastAsia="zh-CN"/>
        </w:rPr>
        <w:t>109k</w:t>
      </w:r>
      <w:r>
        <w:rPr>
          <w:rFonts w:hint="eastAsia" w:ascii="宋体" w:hAnsi="宋体"/>
          <w:sz w:val="24"/>
        </w:rPr>
        <w:t>t，金属量Au</w:t>
      </w:r>
      <w:r>
        <w:rPr>
          <w:rFonts w:hint="eastAsia" w:ascii="宋体" w:hAnsi="宋体"/>
          <w:sz w:val="24"/>
          <w:lang w:val="en-US" w:eastAsia="zh-CN"/>
        </w:rPr>
        <w:t>962.79</w:t>
      </w:r>
      <w:r>
        <w:rPr>
          <w:rFonts w:hint="eastAsia" w:ascii="宋体" w:hAnsi="宋体"/>
          <w:sz w:val="24"/>
        </w:rPr>
        <w:t>kg，平均品位Au</w:t>
      </w:r>
      <w:r>
        <w:rPr>
          <w:rFonts w:hint="eastAsia" w:ascii="宋体" w:hAnsi="宋体"/>
          <w:sz w:val="24"/>
          <w:lang w:val="en-US" w:eastAsia="zh-CN"/>
        </w:rPr>
        <w:t>8.86</w:t>
      </w:r>
      <w:r>
        <w:rPr>
          <w:rFonts w:hint="eastAsia" w:ascii="宋体" w:hAnsi="宋体"/>
          <w:sz w:val="24"/>
        </w:rPr>
        <w:t>g/t。计划开采回采率92%，采矿贫化率45%，选冶回收率金94.00%，银91.20%，矿产资源综合利用率89.00%，金品位</w:t>
      </w:r>
      <w:r>
        <w:rPr>
          <w:rFonts w:hint="eastAsia" w:ascii="宋体" w:hAnsi="宋体"/>
          <w:sz w:val="24"/>
          <w:lang w:val="en-US" w:eastAsia="zh-CN"/>
        </w:rPr>
        <w:t>8.86</w:t>
      </w:r>
      <w:r>
        <w:rPr>
          <w:rFonts w:hint="eastAsia" w:ascii="宋体" w:hAnsi="宋体"/>
          <w:sz w:val="24"/>
        </w:rPr>
        <w:t>g/t、银品位13.</w:t>
      </w:r>
      <w:r>
        <w:rPr>
          <w:rFonts w:hint="eastAsia" w:ascii="宋体" w:hAnsi="宋体"/>
          <w:sz w:val="24"/>
          <w:lang w:val="en-US" w:eastAsia="zh-CN"/>
        </w:rPr>
        <w:t>16</w:t>
      </w:r>
      <w:r>
        <w:rPr>
          <w:rFonts w:hint="eastAsia" w:ascii="宋体" w:hAnsi="宋体"/>
          <w:sz w:val="24"/>
        </w:rPr>
        <w:t>g/t、铜品位0.2</w:t>
      </w:r>
      <w:r>
        <w:rPr>
          <w:rFonts w:hint="eastAsia" w:ascii="宋体" w:hAnsi="宋体"/>
          <w:sz w:val="24"/>
          <w:lang w:val="en-US" w:eastAsia="zh-CN"/>
        </w:rPr>
        <w:t>0</w:t>
      </w:r>
      <w:r>
        <w:rPr>
          <w:rFonts w:hint="eastAsia" w:ascii="宋体" w:hAnsi="宋体"/>
          <w:sz w:val="24"/>
        </w:rPr>
        <w:t>%。</w:t>
      </w:r>
      <w:bookmarkStart w:id="4" w:name="_Toc31346"/>
    </w:p>
    <w:p w14:paraId="66E1E9D4">
      <w:pPr>
        <w:pStyle w:val="3"/>
        <w:numPr>
          <w:ilvl w:val="0"/>
          <w:numId w:val="2"/>
        </w:numPr>
        <w:bidi w:val="0"/>
        <w:ind w:left="480" w:leftChars="0" w:firstLine="0" w:firstLineChars="0"/>
        <w:jc w:val="both"/>
        <w:rPr>
          <w:rFonts w:hint="eastAsia"/>
          <w:sz w:val="28"/>
          <w:szCs w:val="28"/>
          <w:lang w:val="en-US" w:eastAsia="zh-CN"/>
        </w:rPr>
      </w:pPr>
      <w:r>
        <w:rPr>
          <w:rFonts w:hint="eastAsia"/>
          <w:sz w:val="28"/>
          <w:szCs w:val="28"/>
          <w:lang w:val="en-US" w:eastAsia="zh-CN"/>
        </w:rPr>
        <w:t>征占土地情况</w:t>
      </w:r>
      <w:bookmarkEnd w:id="4"/>
    </w:p>
    <w:p w14:paraId="49EF3DE3">
      <w:pPr>
        <w:numPr>
          <w:ilvl w:val="0"/>
          <w:numId w:val="0"/>
        </w:numPr>
        <w:ind w:leftChars="0" w:firstLine="480" w:firstLineChars="200"/>
        <w:rPr>
          <w:rFonts w:hint="default"/>
          <w:sz w:val="24"/>
          <w:szCs w:val="24"/>
          <w:lang w:val="en-US" w:eastAsia="zh-CN"/>
        </w:rPr>
      </w:pPr>
      <w:r>
        <w:rPr>
          <w:rFonts w:hint="eastAsia" w:ascii="宋体" w:hAnsi="宋体" w:eastAsia="宋体" w:cs="宋体"/>
          <w:sz w:val="24"/>
          <w:szCs w:val="24"/>
          <w:lang w:val="en-US" w:eastAsia="zh-CN"/>
        </w:rPr>
        <w:t>矿山2026年度无征占土地情况。</w:t>
      </w:r>
    </w:p>
    <w:p w14:paraId="04E17D7D">
      <w:pPr>
        <w:rPr>
          <w:rFonts w:hint="eastAsia" w:ascii="Times New Roman" w:hAnsi="Times New Roman"/>
          <w:color w:val="auto"/>
          <w:sz w:val="28"/>
          <w:szCs w:val="28"/>
          <w:lang w:val="en-US" w:eastAsia="zh-CN"/>
        </w:rPr>
      </w:pPr>
      <w:r>
        <w:rPr>
          <w:rFonts w:hint="eastAsia" w:ascii="Times New Roman" w:hAnsi="Times New Roman"/>
          <w:color w:val="auto"/>
          <w:sz w:val="28"/>
          <w:szCs w:val="28"/>
          <w:lang w:val="en-US" w:eastAsia="zh-CN"/>
        </w:rPr>
        <w:br w:type="page"/>
      </w:r>
    </w:p>
    <w:p w14:paraId="7952177E">
      <w:pPr>
        <w:pStyle w:val="2"/>
        <w:keepNext/>
        <w:keepLines/>
        <w:pageBreakBefore w:val="0"/>
        <w:widowControl w:val="0"/>
        <w:kinsoku/>
        <w:wordWrap/>
        <w:overflowPunct/>
        <w:topLinePunct w:val="0"/>
        <w:autoSpaceDE/>
        <w:autoSpaceDN/>
        <w:bidi w:val="0"/>
        <w:adjustRightInd w:val="0"/>
        <w:snapToGrid w:val="0"/>
        <w:ind w:firstLine="2711" w:firstLineChars="900"/>
        <w:jc w:val="both"/>
        <w:textAlignment w:val="auto"/>
        <w:rPr>
          <w:rFonts w:hint="default" w:eastAsia="宋体"/>
          <w:b w:val="0"/>
          <w:bCs/>
          <w:sz w:val="30"/>
          <w:szCs w:val="30"/>
          <w:lang w:val="en-US" w:eastAsia="zh-CN"/>
        </w:rPr>
      </w:pPr>
      <w:bookmarkStart w:id="41" w:name="_GoBack"/>
      <w:bookmarkEnd w:id="41"/>
      <w:bookmarkStart w:id="5" w:name="_Toc4928"/>
      <w:r>
        <w:rPr>
          <w:sz w:val="30"/>
          <w:szCs w:val="30"/>
        </w:rPr>
        <w:t>第</w:t>
      </w:r>
      <w:r>
        <w:rPr>
          <w:rFonts w:hint="eastAsia"/>
          <w:sz w:val="30"/>
          <w:szCs w:val="30"/>
          <w:lang w:val="en-US" w:eastAsia="zh-CN"/>
        </w:rPr>
        <w:t>三</w:t>
      </w:r>
      <w:r>
        <w:rPr>
          <w:sz w:val="30"/>
          <w:szCs w:val="30"/>
        </w:rPr>
        <w:t>章矿山</w:t>
      </w:r>
      <w:r>
        <w:rPr>
          <w:rFonts w:hint="eastAsia"/>
          <w:sz w:val="30"/>
          <w:szCs w:val="30"/>
          <w:lang w:val="en-US" w:eastAsia="zh-CN"/>
        </w:rPr>
        <w:t>土地损毁现状</w:t>
      </w:r>
      <w:bookmarkEnd w:id="5"/>
    </w:p>
    <w:p w14:paraId="1AD10DFD">
      <w:pPr>
        <w:pStyle w:val="3"/>
        <w:pageBreakBefore w:val="0"/>
        <w:widowControl w:val="0"/>
        <w:kinsoku/>
        <w:wordWrap/>
        <w:overflowPunct/>
        <w:topLinePunct w:val="0"/>
        <w:autoSpaceDE/>
        <w:autoSpaceDN/>
        <w:bidi w:val="0"/>
        <w:adjustRightInd w:val="0"/>
        <w:snapToGrid w:val="0"/>
        <w:spacing w:before="0" w:line="360" w:lineRule="auto"/>
        <w:ind w:left="0" w:right="0" w:firstLine="562" w:firstLineChars="200"/>
        <w:jc w:val="both"/>
        <w:textAlignment w:val="auto"/>
        <w:rPr>
          <w:rFonts w:ascii="Times New Roman" w:hAnsi="Times New Roman"/>
          <w:color w:val="auto"/>
          <w:sz w:val="28"/>
          <w:szCs w:val="28"/>
        </w:rPr>
      </w:pPr>
      <w:bookmarkStart w:id="6" w:name="_Toc9616"/>
      <w:r>
        <w:rPr>
          <w:rFonts w:ascii="Times New Roman" w:hAnsi="Times New Roman"/>
          <w:color w:val="auto"/>
          <w:sz w:val="28"/>
          <w:szCs w:val="28"/>
        </w:rPr>
        <w:t>一、矿山地质环境问题现状</w:t>
      </w:r>
      <w:bookmarkEnd w:id="6"/>
    </w:p>
    <w:p w14:paraId="4981D601">
      <w:pPr>
        <w:pStyle w:val="5"/>
        <w:spacing w:before="48" w:line="352" w:lineRule="auto"/>
        <w:ind w:left="3" w:right="202" w:firstLine="482"/>
        <w:jc w:val="both"/>
        <w:rPr>
          <w:spacing w:val="-15"/>
          <w:sz w:val="24"/>
          <w:szCs w:val="24"/>
        </w:rPr>
      </w:pPr>
      <w:r>
        <w:rPr>
          <w:spacing w:val="3"/>
          <w:sz w:val="24"/>
          <w:szCs w:val="24"/>
        </w:rPr>
        <w:t>现状条件下矿山主要地质环境问题为对地形地貌景观以及土地、植</w:t>
      </w:r>
      <w:r>
        <w:rPr>
          <w:spacing w:val="2"/>
          <w:sz w:val="24"/>
          <w:szCs w:val="24"/>
        </w:rPr>
        <w:t>被资源的</w:t>
      </w:r>
      <w:r>
        <w:rPr>
          <w:spacing w:val="-6"/>
          <w:sz w:val="24"/>
          <w:szCs w:val="24"/>
        </w:rPr>
        <w:t>影响和破坏。</w:t>
      </w:r>
      <w:r>
        <w:rPr>
          <w:spacing w:val="3"/>
          <w:sz w:val="24"/>
          <w:szCs w:val="24"/>
        </w:rPr>
        <w:t>依据中华人民共和国地质矿产行业标准《矿山地质环境保护与恢复</w:t>
      </w:r>
      <w:r>
        <w:rPr>
          <w:spacing w:val="2"/>
          <w:sz w:val="24"/>
          <w:szCs w:val="24"/>
        </w:rPr>
        <w:t>治理方案</w:t>
      </w:r>
      <w:r>
        <w:rPr>
          <w:spacing w:val="-2"/>
          <w:sz w:val="24"/>
          <w:szCs w:val="24"/>
        </w:rPr>
        <w:t>编制规范》DZ/T0223－2011附录E表E.1矿山地质环境影响程度分级表，</w:t>
      </w:r>
      <w:r>
        <w:rPr>
          <w:spacing w:val="3"/>
          <w:sz w:val="24"/>
          <w:szCs w:val="24"/>
        </w:rPr>
        <w:t>地形地貌景观对矿山地质</w:t>
      </w:r>
      <w:r>
        <w:rPr>
          <w:spacing w:val="2"/>
          <w:sz w:val="24"/>
          <w:szCs w:val="24"/>
        </w:rPr>
        <w:t>环境影响进行现状</w:t>
      </w:r>
      <w:r>
        <w:rPr>
          <w:spacing w:val="-15"/>
          <w:sz w:val="24"/>
          <w:szCs w:val="24"/>
        </w:rPr>
        <w:t>评估：</w:t>
      </w:r>
    </w:p>
    <w:p w14:paraId="19D9C713">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78"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1"/>
          <w:sz w:val="24"/>
          <w:szCs w:val="24"/>
          <w:lang w:eastAsia="zh-CN"/>
        </w:rPr>
        <w:t>（</w:t>
      </w:r>
      <w:r>
        <w:rPr>
          <w:rFonts w:hint="eastAsia" w:asciiTheme="minorEastAsia" w:hAnsiTheme="minorEastAsia" w:eastAsiaTheme="minorEastAsia" w:cstheme="minorEastAsia"/>
          <w:b/>
          <w:bCs/>
          <w:spacing w:val="-1"/>
          <w:sz w:val="24"/>
          <w:szCs w:val="24"/>
          <w:lang w:val="en-US" w:eastAsia="zh-CN"/>
        </w:rPr>
        <w:t>一</w:t>
      </w:r>
      <w:r>
        <w:rPr>
          <w:rFonts w:hint="eastAsia" w:asciiTheme="minorEastAsia" w:hAnsiTheme="minorEastAsia" w:eastAsiaTheme="minorEastAsia" w:cstheme="minorEastAsia"/>
          <w:b/>
          <w:bCs/>
          <w:spacing w:val="-1"/>
          <w:sz w:val="24"/>
          <w:szCs w:val="24"/>
          <w:lang w:eastAsia="zh-CN"/>
        </w:rPr>
        <w:t>）</w:t>
      </w:r>
      <w:r>
        <w:rPr>
          <w:rFonts w:hint="eastAsia" w:asciiTheme="minorEastAsia" w:hAnsiTheme="minorEastAsia" w:eastAsiaTheme="minorEastAsia" w:cstheme="minorEastAsia"/>
          <w:b/>
          <w:bCs/>
          <w:spacing w:val="-1"/>
          <w:sz w:val="24"/>
          <w:szCs w:val="24"/>
        </w:rPr>
        <w:t>地形地貌景观影响和破坏现状评估</w:t>
      </w:r>
    </w:p>
    <w:p w14:paraId="0F36AE4F">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firstLine="468"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spacing w:val="-3"/>
          <w:sz w:val="24"/>
          <w:szCs w:val="24"/>
        </w:rPr>
        <w:t>现状条件下矿区前期开采形成了4个竖井工业场地(SJ1、SJ15、SJ2、S</w:t>
      </w:r>
      <w:r>
        <w:rPr>
          <w:rFonts w:hint="eastAsia" w:asciiTheme="minorEastAsia" w:hAnsiTheme="minorEastAsia" w:eastAsiaTheme="minorEastAsia" w:cstheme="minorEastAsia"/>
          <w:spacing w:val="-4"/>
          <w:sz w:val="24"/>
          <w:szCs w:val="24"/>
        </w:rPr>
        <w:t>J35)、</w:t>
      </w:r>
      <w:r>
        <w:rPr>
          <w:rFonts w:hint="eastAsia" w:asciiTheme="minorEastAsia" w:hAnsiTheme="minorEastAsia" w:eastAsiaTheme="minorEastAsia" w:cstheme="minorEastAsia"/>
          <w:spacing w:val="-2"/>
          <w:sz w:val="24"/>
          <w:szCs w:val="24"/>
        </w:rPr>
        <w:t>4个风井工业场地(FJ56、FJ35、FJ26、FJ</w:t>
      </w:r>
      <w:r>
        <w:rPr>
          <w:rFonts w:hint="eastAsia" w:asciiTheme="minorEastAsia" w:hAnsiTheme="minorEastAsia" w:eastAsiaTheme="minorEastAsia" w:cstheme="minorEastAsia"/>
          <w:spacing w:val="-2"/>
          <w:position w:val="-1"/>
          <w:sz w:val="24"/>
          <w:szCs w:val="24"/>
        </w:rPr>
        <w:t>大黄线</w:t>
      </w:r>
      <w:r>
        <w:rPr>
          <w:rFonts w:hint="eastAsia" w:asciiTheme="minorEastAsia" w:hAnsiTheme="minorEastAsia" w:eastAsiaTheme="minorEastAsia" w:cstheme="minorEastAsia"/>
          <w:spacing w:val="-2"/>
          <w:sz w:val="24"/>
          <w:szCs w:val="24"/>
        </w:rPr>
        <w:t>)、1处办公生活区、一处物资供应处、一选厂、尾矿库、炸药库、2处取土场、综合废石场及矿区道路。</w:t>
      </w:r>
    </w:p>
    <w:p w14:paraId="177643AA">
      <w:pPr>
        <w:pStyle w:val="5"/>
        <w:keepNext w:val="0"/>
        <w:keepLines w:val="0"/>
        <w:pageBreakBefore w:val="0"/>
        <w:widowControl w:val="0"/>
        <w:kinsoku/>
        <w:wordWrap/>
        <w:overflowPunct/>
        <w:topLinePunct w:val="0"/>
        <w:autoSpaceDE/>
        <w:autoSpaceDN/>
        <w:bidi w:val="0"/>
        <w:adjustRightInd w:val="0"/>
        <w:snapToGrid w:val="0"/>
        <w:spacing w:line="360" w:lineRule="auto"/>
        <w:ind w:left="0" w:firstLine="45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1、SJ1工业场地</w:t>
      </w:r>
    </w:p>
    <w:p w14:paraId="60AFB0CE">
      <w:pPr>
        <w:pStyle w:val="5"/>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rPr>
          <w:sz w:val="24"/>
          <w:szCs w:val="24"/>
        </w:rPr>
      </w:pPr>
      <w:r>
        <w:rPr>
          <w:rFonts w:hint="eastAsia" w:asciiTheme="minorEastAsia" w:hAnsiTheme="minorEastAsia" w:eastAsiaTheme="minorEastAsia" w:cstheme="minorEastAsia"/>
          <w:sz w:val="24"/>
          <w:szCs w:val="24"/>
        </w:rPr>
        <w:t>为金厂沟梁金矿第一矿区，位于矿区东南部，场地围</w:t>
      </w:r>
      <w:r>
        <w:rPr>
          <w:rFonts w:hint="eastAsia" w:asciiTheme="minorEastAsia" w:hAnsiTheme="minorEastAsia" w:eastAsiaTheme="minorEastAsia" w:cstheme="minorEastAsia"/>
          <w:spacing w:val="-1"/>
          <w:sz w:val="24"/>
          <w:szCs w:val="24"/>
        </w:rPr>
        <w:t>绕SJ1建设有竖井、提</w:t>
      </w:r>
      <w:r>
        <w:rPr>
          <w:rFonts w:hint="eastAsia" w:asciiTheme="minorEastAsia" w:hAnsiTheme="minorEastAsia" w:eastAsiaTheme="minorEastAsia" w:cstheme="minorEastAsia"/>
          <w:spacing w:val="1"/>
          <w:sz w:val="24"/>
          <w:szCs w:val="24"/>
        </w:rPr>
        <w:t>升机房、卷扬机房、空压机站、仓库、宿舍等，占地面积11954m</w:t>
      </w:r>
      <w:r>
        <w:rPr>
          <w:rFonts w:hint="eastAsia" w:asciiTheme="minorEastAsia" w:hAnsiTheme="minorEastAsia" w:eastAsiaTheme="minorEastAsia" w:cstheme="minorEastAsia"/>
          <w:spacing w:val="1"/>
          <w:sz w:val="24"/>
          <w:szCs w:val="24"/>
          <w:vertAlign w:val="superscript"/>
          <w:lang w:val="en-US" w:eastAsia="zh-CN"/>
        </w:rPr>
        <w:t>2</w:t>
      </w:r>
      <w:r>
        <w:rPr>
          <w:rFonts w:hint="eastAsia" w:asciiTheme="minorEastAsia" w:hAnsiTheme="minorEastAsia" w:eastAsiaTheme="minorEastAsia" w:cstheme="minorEastAsia"/>
          <w:spacing w:val="1"/>
          <w:sz w:val="24"/>
          <w:szCs w:val="24"/>
        </w:rPr>
        <w:t>。场地</w:t>
      </w:r>
      <w:r>
        <w:rPr>
          <w:rFonts w:hint="eastAsia" w:asciiTheme="minorEastAsia" w:hAnsiTheme="minorEastAsia" w:eastAsiaTheme="minorEastAsia" w:cstheme="minorEastAsia"/>
          <w:sz w:val="24"/>
          <w:szCs w:val="24"/>
        </w:rPr>
        <w:t>地面已</w:t>
      </w:r>
      <w:r>
        <w:rPr>
          <w:rFonts w:hint="eastAsia" w:asciiTheme="minorEastAsia" w:hAnsiTheme="minorEastAsia" w:eastAsiaTheme="minorEastAsia" w:cstheme="minorEastAsia"/>
          <w:spacing w:val="-2"/>
          <w:sz w:val="24"/>
          <w:szCs w:val="24"/>
        </w:rPr>
        <w:t>硬化，硬化厚度约0.3m，硬化面积约6000m</w:t>
      </w:r>
      <w:r>
        <w:rPr>
          <w:rFonts w:hint="eastAsia" w:asciiTheme="minorEastAsia" w:hAnsiTheme="minorEastAsia" w:eastAsiaTheme="minorEastAsia" w:cstheme="minorEastAsia"/>
          <w:spacing w:val="-2"/>
          <w:sz w:val="24"/>
          <w:szCs w:val="24"/>
          <w:vertAlign w:val="superscript"/>
          <w:lang w:val="en-US" w:eastAsia="zh-CN"/>
        </w:rPr>
        <w:t>2</w:t>
      </w:r>
      <w:r>
        <w:rPr>
          <w:rFonts w:hint="eastAsia" w:asciiTheme="minorEastAsia" w:hAnsiTheme="minorEastAsia" w:eastAsiaTheme="minorEastAsia" w:cstheme="minorEastAsia"/>
          <w:spacing w:val="-2"/>
          <w:sz w:val="24"/>
          <w:szCs w:val="24"/>
        </w:rPr>
        <w:t>。场地内建筑物平均高度5m</w:t>
      </w:r>
      <w:r>
        <w:rPr>
          <w:rFonts w:hint="eastAsia" w:asciiTheme="minorEastAsia" w:hAnsiTheme="minorEastAsia" w:eastAsiaTheme="minorEastAsia" w:cstheme="minorEastAsia"/>
          <w:spacing w:val="-3"/>
          <w:sz w:val="24"/>
          <w:szCs w:val="24"/>
        </w:rPr>
        <w:t>，属彩</w:t>
      </w:r>
      <w:r>
        <w:rPr>
          <w:rFonts w:hint="eastAsia" w:asciiTheme="minorEastAsia" w:hAnsiTheme="minorEastAsia" w:eastAsiaTheme="minorEastAsia" w:cstheme="minorEastAsia"/>
          <w:spacing w:val="-2"/>
          <w:sz w:val="24"/>
          <w:szCs w:val="24"/>
        </w:rPr>
        <w:t>钢瓦活动板房和砖混结构建筑物，面积为5365m</w:t>
      </w:r>
      <w:r>
        <w:rPr>
          <w:rFonts w:hint="eastAsia" w:asciiTheme="minorEastAsia" w:hAnsiTheme="minorEastAsia" w:eastAsiaTheme="minorEastAsia" w:cstheme="minorEastAsia"/>
          <w:spacing w:val="-2"/>
          <w:sz w:val="24"/>
          <w:szCs w:val="24"/>
          <w:vertAlign w:val="superscript"/>
          <w:lang w:val="en-US" w:eastAsia="zh-CN"/>
        </w:rPr>
        <w:t>2</w:t>
      </w:r>
      <w:r>
        <w:rPr>
          <w:rFonts w:hint="eastAsia" w:asciiTheme="minorEastAsia" w:hAnsiTheme="minorEastAsia" w:eastAsiaTheme="minorEastAsia" w:cstheme="minorEastAsia"/>
          <w:spacing w:val="-2"/>
          <w:sz w:val="24"/>
          <w:szCs w:val="24"/>
        </w:rPr>
        <w:t>。竖井SJ1井口标高689</w:t>
      </w:r>
      <w:r>
        <w:rPr>
          <w:rFonts w:hint="eastAsia" w:asciiTheme="minorEastAsia" w:hAnsiTheme="minorEastAsia" w:eastAsiaTheme="minorEastAsia" w:cstheme="minorEastAsia"/>
          <w:spacing w:val="-3"/>
          <w:sz w:val="24"/>
          <w:szCs w:val="24"/>
        </w:rPr>
        <w:t>m，井筒</w:t>
      </w:r>
      <w:r>
        <w:rPr>
          <w:rFonts w:hint="eastAsia" w:asciiTheme="minorEastAsia" w:hAnsiTheme="minorEastAsia" w:eastAsiaTheme="minorEastAsia" w:cstheme="minorEastAsia"/>
          <w:sz w:val="24"/>
          <w:szCs w:val="24"/>
        </w:rPr>
        <w:t>断面为矩形，净断面规格为4.2×3.</w:t>
      </w:r>
      <w:r>
        <w:rPr>
          <w:rFonts w:hint="eastAsia" w:asciiTheme="minorEastAsia" w:hAnsiTheme="minorEastAsia" w:eastAsiaTheme="minorEastAsia" w:cstheme="minorEastAsia"/>
          <w:spacing w:val="-1"/>
          <w:sz w:val="24"/>
          <w:szCs w:val="24"/>
        </w:rPr>
        <w:t>7m，井深237m。场地建设不切割山体，无危</w:t>
      </w:r>
      <w:r>
        <w:rPr>
          <w:rFonts w:hint="eastAsia" w:asciiTheme="minorEastAsia" w:hAnsiTheme="minorEastAsia" w:eastAsiaTheme="minorEastAsia" w:cstheme="minorEastAsia"/>
          <w:spacing w:val="3"/>
          <w:sz w:val="24"/>
          <w:szCs w:val="24"/>
        </w:rPr>
        <w:t>险边坡</w:t>
      </w:r>
      <w:r>
        <w:rPr>
          <w:rFonts w:hint="eastAsia" w:asciiTheme="minorEastAsia" w:hAnsiTheme="minorEastAsia" w:eastAsiaTheme="minorEastAsia" w:cstheme="minorEastAsia"/>
          <w:spacing w:val="3"/>
          <w:sz w:val="24"/>
          <w:szCs w:val="24"/>
          <w:lang w:eastAsia="zh-CN"/>
        </w:rPr>
        <w:t>。</w:t>
      </w:r>
      <w:r>
        <w:rPr>
          <w:rFonts w:hint="eastAsia" w:asciiTheme="minorEastAsia" w:hAnsiTheme="minorEastAsia" w:eastAsiaTheme="minorEastAsia" w:cstheme="minorEastAsia"/>
          <w:spacing w:val="-8"/>
          <w:sz w:val="24"/>
          <w:szCs w:val="24"/>
        </w:rPr>
        <w:t>见照片3-</w:t>
      </w:r>
      <w:r>
        <w:rPr>
          <w:rFonts w:hint="eastAsia" w:asciiTheme="minorEastAsia" w:hAnsiTheme="minorEastAsia" w:eastAsiaTheme="minorEastAsia" w:cstheme="minorEastAsia"/>
          <w:spacing w:val="-8"/>
          <w:sz w:val="24"/>
          <w:szCs w:val="24"/>
          <w:lang w:val="en-US" w:eastAsia="zh-CN"/>
        </w:rPr>
        <w:t>9</w:t>
      </w:r>
      <w:r>
        <w:rPr>
          <w:rFonts w:hint="eastAsia" w:asciiTheme="minorEastAsia" w:hAnsiTheme="minorEastAsia" w:eastAsiaTheme="minorEastAsia" w:cstheme="minorEastAsia"/>
          <w:spacing w:val="-8"/>
          <w:sz w:val="24"/>
          <w:szCs w:val="24"/>
        </w:rPr>
        <w:t>。</w:t>
      </w:r>
    </w:p>
    <w:p w14:paraId="648997A4">
      <w:pPr>
        <w:pStyle w:val="5"/>
        <w:keepNext w:val="0"/>
        <w:keepLines w:val="0"/>
        <w:pageBreakBefore w:val="0"/>
        <w:widowControl w:val="0"/>
        <w:kinsoku/>
        <w:wordWrap/>
        <w:overflowPunct/>
        <w:topLinePunct w:val="0"/>
        <w:autoSpaceDE/>
        <w:autoSpaceDN/>
        <w:bidi w:val="0"/>
        <w:adjustRightInd w:val="0"/>
        <w:snapToGrid w:val="0"/>
        <w:spacing w:before="168" w:line="240" w:lineRule="auto"/>
        <w:ind w:firstLine="2730" w:firstLineChars="1300"/>
        <w:textAlignment w:val="auto"/>
        <w:rPr>
          <w:rFonts w:hint="eastAsia" w:asciiTheme="minorEastAsia" w:hAnsiTheme="minorEastAsia" w:eastAsiaTheme="minorEastAsia" w:cstheme="minorEastAsia"/>
          <w:b/>
          <w:bCs/>
          <w:spacing w:val="-1"/>
          <w:sz w:val="21"/>
          <w:szCs w:val="21"/>
        </w:rPr>
      </w:pPr>
      <w:r>
        <w:rPr>
          <w:position w:val="-65"/>
          <w:sz w:val="21"/>
          <w:szCs w:val="21"/>
        </w:rPr>
        <w:drawing>
          <wp:anchor distT="0" distB="0" distL="0" distR="0" simplePos="0" relativeHeight="251659264" behindDoc="1" locked="0" layoutInCell="1" allowOverlap="1">
            <wp:simplePos x="0" y="0"/>
            <wp:positionH relativeFrom="column">
              <wp:posOffset>40005</wp:posOffset>
            </wp:positionH>
            <wp:positionV relativeFrom="paragraph">
              <wp:posOffset>69850</wp:posOffset>
            </wp:positionV>
            <wp:extent cx="5294630" cy="1851025"/>
            <wp:effectExtent l="0" t="0" r="1270" b="15875"/>
            <wp:wrapTight wrapText="bothSides">
              <wp:wrapPolygon>
                <wp:start x="0" y="0"/>
                <wp:lineTo x="0" y="21341"/>
                <wp:lineTo x="21527" y="21341"/>
                <wp:lineTo x="21527" y="0"/>
                <wp:lineTo x="0" y="0"/>
              </wp:wrapPolygon>
            </wp:wrapTight>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9"/>
                    <a:stretch>
                      <a:fillRect/>
                    </a:stretch>
                  </pic:blipFill>
                  <pic:spPr>
                    <a:xfrm>
                      <a:off x="0" y="0"/>
                      <a:ext cx="5295263" cy="1851025"/>
                    </a:xfrm>
                    <a:prstGeom prst="rect">
                      <a:avLst/>
                    </a:prstGeom>
                  </pic:spPr>
                </pic:pic>
              </a:graphicData>
            </a:graphic>
          </wp:anchor>
        </w:drawing>
      </w:r>
      <w:r>
        <w:rPr>
          <w:rFonts w:hint="eastAsia" w:asciiTheme="minorEastAsia" w:hAnsiTheme="minorEastAsia" w:eastAsiaTheme="minorEastAsia" w:cstheme="minorEastAsia"/>
          <w:b/>
          <w:bCs/>
          <w:spacing w:val="-3"/>
          <w:sz w:val="21"/>
          <w:szCs w:val="21"/>
        </w:rPr>
        <w:t>照片3-</w:t>
      </w:r>
      <w:r>
        <w:rPr>
          <w:rFonts w:hint="eastAsia" w:asciiTheme="minorEastAsia" w:hAnsiTheme="minorEastAsia" w:eastAsiaTheme="minorEastAsia" w:cstheme="minorEastAsia"/>
          <w:b/>
          <w:bCs/>
          <w:spacing w:val="-3"/>
          <w:sz w:val="21"/>
          <w:szCs w:val="21"/>
          <w:lang w:val="en-US" w:eastAsia="zh-CN"/>
        </w:rPr>
        <w:t>9</w:t>
      </w:r>
      <w:r>
        <w:rPr>
          <w:rFonts w:hint="eastAsia" w:asciiTheme="minorEastAsia" w:hAnsiTheme="minorEastAsia" w:eastAsiaTheme="minorEastAsia" w:cstheme="minorEastAsia"/>
          <w:b/>
          <w:bCs/>
          <w:spacing w:val="-3"/>
          <w:sz w:val="21"/>
          <w:szCs w:val="21"/>
        </w:rPr>
        <w:t>竖井（SJ1）工业场地</w:t>
      </w:r>
    </w:p>
    <w:p w14:paraId="0464E3C9">
      <w:pPr>
        <w:kinsoku w:val="0"/>
        <w:autoSpaceDE w:val="0"/>
        <w:autoSpaceDN w:val="0"/>
        <w:adjustRightInd w:val="0"/>
        <w:snapToGrid w:val="0"/>
        <w:spacing w:before="0" w:line="360" w:lineRule="auto"/>
        <w:ind w:left="0" w:firstLine="464" w:firstLineChars="200"/>
        <w:jc w:val="left"/>
        <w:textAlignment w:val="baseline"/>
        <w:rPr>
          <w:rFonts w:hint="eastAsia" w:asciiTheme="minorEastAsia" w:hAnsiTheme="minorEastAsia" w:eastAsiaTheme="minorEastAsia" w:cstheme="minorEastAsia"/>
          <w:snapToGrid w:val="0"/>
          <w:color w:val="000000"/>
          <w:kern w:val="0"/>
          <w:sz w:val="24"/>
          <w:szCs w:val="24"/>
          <w:lang w:val="en-US" w:eastAsia="en-US" w:bidi="ar-SA"/>
        </w:rPr>
      </w:pPr>
      <w:r>
        <w:rPr>
          <w:rFonts w:hint="eastAsia" w:asciiTheme="minorEastAsia" w:hAnsiTheme="minorEastAsia" w:eastAsiaTheme="minorEastAsia" w:cstheme="minorEastAsia"/>
          <w:snapToGrid w:val="0"/>
          <w:color w:val="000000"/>
          <w:spacing w:val="-4"/>
          <w:kern w:val="0"/>
          <w:sz w:val="24"/>
          <w:szCs w:val="24"/>
          <w:lang w:val="en-US" w:eastAsia="en-US" w:bidi="ar-SA"/>
        </w:rPr>
        <w:t>2、SJ15工业场地</w:t>
      </w:r>
    </w:p>
    <w:p w14:paraId="337E0990">
      <w:pPr>
        <w:spacing w:line="360" w:lineRule="auto"/>
        <w:ind w:left="0" w:firstLine="468" w:firstLineChars="200"/>
        <w:rPr>
          <w:rFonts w:hint="eastAsia" w:asciiTheme="minorEastAsia" w:hAnsiTheme="minorEastAsia" w:eastAsiaTheme="minorEastAsia" w:cstheme="minorEastAsia"/>
          <w:snapToGrid w:val="0"/>
          <w:color w:val="000000"/>
          <w:spacing w:val="-4"/>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为金厂沟梁金矿第二矿区，位于SJ1工业场地南侧350m处，场地围绕SJ15</w:t>
      </w:r>
      <w:r>
        <w:rPr>
          <w:rFonts w:hint="eastAsia" w:asciiTheme="minorEastAsia" w:hAnsiTheme="minorEastAsia" w:eastAsiaTheme="minorEastAsia" w:cstheme="minorEastAsia"/>
          <w:snapToGrid w:val="0"/>
          <w:color w:val="000000"/>
          <w:spacing w:val="3"/>
          <w:kern w:val="0"/>
          <w:sz w:val="24"/>
          <w:szCs w:val="24"/>
          <w:lang w:val="en-US" w:eastAsia="en-US" w:bidi="ar-SA"/>
        </w:rPr>
        <w:t>建设有竖井、提升机房、卷扬机房、空压机站、仓库、宿舍等</w:t>
      </w:r>
      <w:r>
        <w:rPr>
          <w:rFonts w:hint="eastAsia" w:asciiTheme="minorEastAsia" w:hAnsiTheme="minorEastAsia" w:eastAsiaTheme="minorEastAsia" w:cstheme="minorEastAsia"/>
          <w:snapToGrid w:val="0"/>
          <w:color w:val="000000"/>
          <w:spacing w:val="2"/>
          <w:kern w:val="0"/>
          <w:sz w:val="24"/>
          <w:szCs w:val="24"/>
          <w:lang w:val="en-US" w:eastAsia="en-US" w:bidi="ar-SA"/>
        </w:rPr>
        <w:t>，工业场地占地面</w:t>
      </w:r>
      <w:r>
        <w:rPr>
          <w:rFonts w:hint="eastAsia" w:asciiTheme="minorEastAsia" w:hAnsiTheme="minorEastAsia" w:eastAsiaTheme="minorEastAsia" w:cstheme="minorEastAsia"/>
          <w:snapToGrid w:val="0"/>
          <w:color w:val="000000"/>
          <w:spacing w:val="-2"/>
          <w:kern w:val="0"/>
          <w:sz w:val="24"/>
          <w:szCs w:val="24"/>
          <w:lang w:val="en-US" w:eastAsia="en-US" w:bidi="ar-SA"/>
        </w:rPr>
        <w:t>积29817m</w:t>
      </w:r>
      <w:r>
        <w:rPr>
          <w:rFonts w:hint="eastAsia" w:asciiTheme="minorEastAsia" w:hAnsiTheme="minorEastAsia" w:eastAsiaTheme="minorEastAsia" w:cstheme="minorEastAsia"/>
          <w:snapToGrid w:val="0"/>
          <w:color w:val="000000"/>
          <w:spacing w:val="-2"/>
          <w:kern w:val="0"/>
          <w:sz w:val="24"/>
          <w:szCs w:val="24"/>
          <w:vertAlign w:val="superscript"/>
          <w:lang w:val="en-US" w:eastAsia="zh-CN" w:bidi="ar-SA"/>
        </w:rPr>
        <w:t>2</w:t>
      </w:r>
      <w:r>
        <w:rPr>
          <w:rFonts w:hint="eastAsia" w:asciiTheme="minorEastAsia" w:hAnsiTheme="minorEastAsia" w:eastAsiaTheme="minorEastAsia" w:cstheme="minorEastAsia"/>
          <w:snapToGrid w:val="0"/>
          <w:color w:val="000000"/>
          <w:spacing w:val="-2"/>
          <w:kern w:val="0"/>
          <w:sz w:val="24"/>
          <w:szCs w:val="24"/>
          <w:lang w:val="en-US" w:eastAsia="en-US" w:bidi="ar-SA"/>
        </w:rPr>
        <w:t>。场地地面已硬化，硬化厚度约0.3m，硬化</w:t>
      </w:r>
      <w:r>
        <w:rPr>
          <w:rFonts w:hint="eastAsia" w:asciiTheme="minorEastAsia" w:hAnsiTheme="minorEastAsia" w:eastAsiaTheme="minorEastAsia" w:cstheme="minorEastAsia"/>
          <w:snapToGrid w:val="0"/>
          <w:color w:val="000000"/>
          <w:spacing w:val="-3"/>
          <w:kern w:val="0"/>
          <w:sz w:val="24"/>
          <w:szCs w:val="24"/>
          <w:lang w:val="en-US" w:eastAsia="en-US" w:bidi="ar-SA"/>
        </w:rPr>
        <w:t>面积约12000m</w:t>
      </w:r>
      <w:r>
        <w:rPr>
          <w:rFonts w:hint="eastAsia" w:asciiTheme="minorEastAsia" w:hAnsiTheme="minorEastAsia" w:eastAsiaTheme="minorEastAsia" w:cstheme="minorEastAsia"/>
          <w:snapToGrid w:val="0"/>
          <w:color w:val="000000"/>
          <w:spacing w:val="-6"/>
          <w:kern w:val="0"/>
          <w:sz w:val="24"/>
          <w:szCs w:val="24"/>
          <w:vertAlign w:val="superscript"/>
          <w:lang w:val="en-US" w:eastAsia="zh-CN" w:bidi="ar-SA"/>
        </w:rPr>
        <w:t>2</w:t>
      </w:r>
      <w:r>
        <w:rPr>
          <w:rFonts w:hint="eastAsia" w:asciiTheme="minorEastAsia" w:hAnsiTheme="minorEastAsia" w:eastAsiaTheme="minorEastAsia" w:cstheme="minorEastAsia"/>
          <w:snapToGrid w:val="0"/>
          <w:color w:val="000000"/>
          <w:spacing w:val="-3"/>
          <w:kern w:val="0"/>
          <w:sz w:val="24"/>
          <w:szCs w:val="24"/>
          <w:lang w:val="en-US" w:eastAsia="en-US" w:bidi="ar-SA"/>
        </w:rPr>
        <w:t>。场地内</w:t>
      </w:r>
      <w:r>
        <w:rPr>
          <w:rFonts w:hint="eastAsia" w:asciiTheme="minorEastAsia" w:hAnsiTheme="minorEastAsia" w:eastAsiaTheme="minorEastAsia" w:cstheme="minorEastAsia"/>
          <w:snapToGrid w:val="0"/>
          <w:color w:val="000000"/>
          <w:spacing w:val="-2"/>
          <w:kern w:val="0"/>
          <w:sz w:val="24"/>
          <w:szCs w:val="24"/>
          <w:lang w:val="en-US" w:eastAsia="en-US" w:bidi="ar-SA"/>
        </w:rPr>
        <w:t>建筑物平均高度5m，属彩钢瓦活动板房和砖混结构建筑物，面积为6382m</w:t>
      </w:r>
      <w:r>
        <w:rPr>
          <w:rFonts w:hint="eastAsia" w:asciiTheme="minorEastAsia" w:hAnsiTheme="minorEastAsia" w:eastAsiaTheme="minorEastAsia" w:cstheme="minorEastAsia"/>
          <w:snapToGrid w:val="0"/>
          <w:color w:val="000000"/>
          <w:spacing w:val="-2"/>
          <w:kern w:val="0"/>
          <w:sz w:val="24"/>
          <w:szCs w:val="24"/>
          <w:shd w:val="clear" w:color="auto" w:fill="auto"/>
          <w:vertAlign w:val="superscript"/>
          <w:lang w:val="en-US" w:eastAsia="zh-CN" w:bidi="ar-SA"/>
        </w:rPr>
        <w:t>2</w:t>
      </w:r>
      <w:r>
        <w:rPr>
          <w:rFonts w:hint="eastAsia" w:asciiTheme="minorEastAsia" w:hAnsiTheme="minorEastAsia" w:eastAsiaTheme="minorEastAsia" w:cstheme="minorEastAsia"/>
          <w:snapToGrid w:val="0"/>
          <w:color w:val="000000"/>
          <w:spacing w:val="-2"/>
          <w:kern w:val="0"/>
          <w:sz w:val="24"/>
          <w:szCs w:val="24"/>
          <w:lang w:val="en-US" w:eastAsia="en-US" w:bidi="ar-SA"/>
        </w:rPr>
        <w:t>。竖井</w:t>
      </w:r>
      <w:r>
        <w:rPr>
          <w:rFonts w:hint="eastAsia" w:asciiTheme="minorEastAsia" w:hAnsiTheme="minorEastAsia" w:eastAsiaTheme="minorEastAsia" w:cstheme="minorEastAsia"/>
          <w:snapToGrid w:val="0"/>
          <w:color w:val="000000"/>
          <w:spacing w:val="-1"/>
          <w:kern w:val="0"/>
          <w:sz w:val="24"/>
          <w:szCs w:val="24"/>
          <w:lang w:val="en-US" w:eastAsia="en-US" w:bidi="ar-SA"/>
        </w:rPr>
        <w:t>SJ15井口标高688m，井筒断面为矩形，净断面规格</w:t>
      </w:r>
      <w:r>
        <w:rPr>
          <w:rFonts w:hint="eastAsia" w:asciiTheme="minorEastAsia" w:hAnsiTheme="minorEastAsia" w:eastAsiaTheme="minorEastAsia" w:cstheme="minorEastAsia"/>
          <w:snapToGrid w:val="0"/>
          <w:color w:val="000000"/>
          <w:spacing w:val="-2"/>
          <w:kern w:val="0"/>
          <w:sz w:val="24"/>
          <w:szCs w:val="24"/>
          <w:lang w:val="en-US" w:eastAsia="en-US" w:bidi="ar-SA"/>
        </w:rPr>
        <w:t>为3.1×2.4m，井深290m。</w:t>
      </w:r>
      <w:r>
        <w:rPr>
          <w:rFonts w:hint="eastAsia" w:asciiTheme="minorEastAsia" w:hAnsiTheme="minorEastAsia" w:eastAsiaTheme="minorEastAsia" w:cstheme="minorEastAsia"/>
          <w:snapToGrid w:val="0"/>
          <w:color w:val="000000"/>
          <w:spacing w:val="6"/>
          <w:kern w:val="0"/>
          <w:sz w:val="24"/>
          <w:szCs w:val="24"/>
          <w:lang w:val="en-US" w:eastAsia="en-US" w:bidi="ar-SA"/>
        </w:rPr>
        <w:t>场地西南侧堆有采出矿石，堆高约3-5m，堆积坡角约4</w:t>
      </w:r>
      <w:r>
        <w:rPr>
          <w:rFonts w:hint="eastAsia" w:asciiTheme="minorEastAsia" w:hAnsiTheme="minorEastAsia" w:eastAsiaTheme="minorEastAsia" w:cstheme="minorEastAsia"/>
          <w:snapToGrid w:val="0"/>
          <w:color w:val="000000"/>
          <w:spacing w:val="5"/>
          <w:kern w:val="0"/>
          <w:sz w:val="24"/>
          <w:szCs w:val="24"/>
          <w:lang w:val="en-US" w:eastAsia="en-US" w:bidi="ar-SA"/>
        </w:rPr>
        <w:t>5°,面积约8000m</w:t>
      </w:r>
      <w:r>
        <w:rPr>
          <w:rFonts w:hint="eastAsia" w:asciiTheme="minorEastAsia" w:hAnsiTheme="minorEastAsia" w:eastAsiaTheme="minorEastAsia" w:cstheme="minorEastAsia"/>
          <w:snapToGrid w:val="0"/>
          <w:color w:val="000000"/>
          <w:spacing w:val="6"/>
          <w:kern w:val="0"/>
          <w:sz w:val="24"/>
          <w:szCs w:val="24"/>
          <w:vertAlign w:val="superscript"/>
          <w:lang w:val="en-US" w:eastAsia="zh-CN" w:bidi="ar-SA"/>
        </w:rPr>
        <w:t>2</w:t>
      </w:r>
      <w:r>
        <w:rPr>
          <w:rFonts w:hint="eastAsia" w:asciiTheme="minorEastAsia" w:hAnsiTheme="minorEastAsia" w:eastAsiaTheme="minorEastAsia" w:cstheme="minorEastAsia"/>
          <w:snapToGrid w:val="0"/>
          <w:color w:val="000000"/>
          <w:spacing w:val="5"/>
          <w:kern w:val="0"/>
          <w:sz w:val="24"/>
          <w:szCs w:val="24"/>
          <w:lang w:val="en-US" w:eastAsia="en-US" w:bidi="ar-SA"/>
        </w:rPr>
        <w:t>,经</w:t>
      </w:r>
      <w:r>
        <w:rPr>
          <w:rFonts w:hint="eastAsia" w:asciiTheme="minorEastAsia" w:hAnsiTheme="minorEastAsia" w:eastAsiaTheme="minorEastAsia" w:cstheme="minorEastAsia"/>
          <w:snapToGrid w:val="0"/>
          <w:color w:val="000000"/>
          <w:kern w:val="0"/>
          <w:sz w:val="24"/>
          <w:szCs w:val="24"/>
          <w:lang w:val="en-US" w:eastAsia="en-US" w:bidi="ar-SA"/>
        </w:rPr>
        <w:t>DTM土石方法计算，堆放量约151286m</w:t>
      </w:r>
      <w:r>
        <w:rPr>
          <w:rFonts w:hint="eastAsia" w:asciiTheme="minorEastAsia" w:hAnsiTheme="minorEastAsia" w:eastAsiaTheme="minorEastAsia" w:cstheme="minorEastAsia"/>
          <w:snapToGrid w:val="0"/>
          <w:color w:val="000000"/>
          <w:kern w:val="0"/>
          <w:sz w:val="24"/>
          <w:szCs w:val="24"/>
          <w:vertAlign w:val="superscript"/>
          <w:lang w:val="en-US" w:eastAsia="zh-CN" w:bidi="ar-SA"/>
        </w:rPr>
        <w:t>3</w:t>
      </w:r>
      <w:r>
        <w:rPr>
          <w:rFonts w:hint="eastAsia" w:asciiTheme="minorEastAsia" w:hAnsiTheme="minorEastAsia" w:eastAsiaTheme="minorEastAsia" w:cstheme="minorEastAsia"/>
          <w:snapToGrid w:val="0"/>
          <w:color w:val="000000"/>
          <w:kern w:val="0"/>
          <w:sz w:val="24"/>
          <w:szCs w:val="24"/>
          <w:lang w:val="en-US" w:eastAsia="en-US" w:bidi="ar-SA"/>
        </w:rPr>
        <w:t>。场地内无危险边坡</w:t>
      </w:r>
      <w:r>
        <w:rPr>
          <w:rFonts w:hint="eastAsia" w:asciiTheme="minorEastAsia" w:hAnsiTheme="minorEastAsia" w:eastAsiaTheme="minorEastAsia" w:cstheme="minorEastAsia"/>
          <w:snapToGrid w:val="0"/>
          <w:color w:val="000000"/>
          <w:kern w:val="0"/>
          <w:sz w:val="24"/>
          <w:szCs w:val="24"/>
          <w:lang w:val="en-US" w:eastAsia="zh-CN" w:bidi="ar-SA"/>
        </w:rPr>
        <w:t>。</w:t>
      </w:r>
      <w:r>
        <w:rPr>
          <w:rFonts w:hint="eastAsia" w:asciiTheme="minorEastAsia" w:hAnsiTheme="minorEastAsia" w:eastAsiaTheme="minorEastAsia" w:cstheme="minorEastAsia"/>
          <w:snapToGrid w:val="0"/>
          <w:color w:val="000000"/>
          <w:spacing w:val="-4"/>
          <w:kern w:val="0"/>
          <w:sz w:val="24"/>
          <w:szCs w:val="24"/>
          <w:lang w:val="en-US" w:eastAsia="en-US" w:bidi="ar-SA"/>
        </w:rPr>
        <w:t>见照片3-</w:t>
      </w:r>
      <w:r>
        <w:rPr>
          <w:rFonts w:hint="eastAsia" w:asciiTheme="minorEastAsia" w:hAnsiTheme="minorEastAsia" w:eastAsiaTheme="minorEastAsia" w:cstheme="minorEastAsia"/>
          <w:snapToGrid w:val="0"/>
          <w:color w:val="000000"/>
          <w:spacing w:val="-4"/>
          <w:kern w:val="0"/>
          <w:sz w:val="24"/>
          <w:szCs w:val="24"/>
          <w:lang w:val="en-US" w:eastAsia="zh-CN" w:bidi="ar-SA"/>
        </w:rPr>
        <w:t>10</w:t>
      </w:r>
      <w:r>
        <w:rPr>
          <w:rFonts w:hint="eastAsia" w:asciiTheme="minorEastAsia" w:hAnsiTheme="minorEastAsia" w:eastAsiaTheme="minorEastAsia" w:cstheme="minorEastAsia"/>
          <w:snapToGrid w:val="0"/>
          <w:color w:val="000000"/>
          <w:spacing w:val="-4"/>
          <w:kern w:val="0"/>
          <w:sz w:val="24"/>
          <w:szCs w:val="24"/>
          <w:lang w:val="en-US" w:eastAsia="en-US" w:bidi="ar-SA"/>
        </w:rPr>
        <w:t>。</w:t>
      </w:r>
    </w:p>
    <w:p w14:paraId="4D3B1F91">
      <w:pPr>
        <w:spacing w:line="240" w:lineRule="auto"/>
        <w:ind w:left="0" w:leftChars="0" w:firstLine="0" w:firstLineChars="0"/>
        <w:jc w:val="left"/>
        <w:rPr>
          <w:position w:val="-63"/>
        </w:rPr>
      </w:pPr>
      <w:r>
        <w:rPr>
          <w:position w:val="-63"/>
        </w:rPr>
        <w:drawing>
          <wp:inline distT="0" distB="0" distL="0" distR="0">
            <wp:extent cx="5294630" cy="201930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0"/>
                    <a:stretch>
                      <a:fillRect/>
                    </a:stretch>
                  </pic:blipFill>
                  <pic:spPr>
                    <a:xfrm>
                      <a:off x="0" y="0"/>
                      <a:ext cx="5295263" cy="2019934"/>
                    </a:xfrm>
                    <a:prstGeom prst="rect">
                      <a:avLst/>
                    </a:prstGeom>
                  </pic:spPr>
                </pic:pic>
              </a:graphicData>
            </a:graphic>
          </wp:inline>
        </w:drawing>
      </w:r>
    </w:p>
    <w:p w14:paraId="1DC3F414">
      <w:pPr>
        <w:pStyle w:val="5"/>
        <w:spacing w:before="170" w:line="221" w:lineRule="auto"/>
        <w:ind w:left="0" w:leftChars="0" w:firstLine="3102" w:firstLineChars="1500"/>
        <w:rPr>
          <w:rFonts w:hint="eastAsia" w:asciiTheme="minorEastAsia" w:hAnsiTheme="minorEastAsia" w:eastAsiaTheme="minorEastAsia" w:cstheme="minorEastAsia"/>
          <w:spacing w:val="-5"/>
          <w:sz w:val="21"/>
          <w:szCs w:val="21"/>
        </w:rPr>
      </w:pPr>
      <w:r>
        <w:rPr>
          <w:rFonts w:hint="eastAsia" w:asciiTheme="minorEastAsia" w:hAnsiTheme="minorEastAsia" w:eastAsiaTheme="minorEastAsia" w:cstheme="minorEastAsia"/>
          <w:b/>
          <w:bCs/>
          <w:spacing w:val="-2"/>
          <w:sz w:val="21"/>
          <w:szCs w:val="21"/>
        </w:rPr>
        <w:t>照片3-</w:t>
      </w:r>
      <w:r>
        <w:rPr>
          <w:rFonts w:hint="eastAsia" w:asciiTheme="minorEastAsia" w:hAnsiTheme="minorEastAsia" w:eastAsiaTheme="minorEastAsia" w:cstheme="minorEastAsia"/>
          <w:b/>
          <w:bCs/>
          <w:spacing w:val="-2"/>
          <w:sz w:val="21"/>
          <w:szCs w:val="21"/>
          <w:lang w:val="en-US" w:eastAsia="zh-CN"/>
        </w:rPr>
        <w:t xml:space="preserve">10 </w:t>
      </w:r>
      <w:r>
        <w:rPr>
          <w:rFonts w:hint="eastAsia" w:asciiTheme="minorEastAsia" w:hAnsiTheme="minorEastAsia" w:eastAsiaTheme="minorEastAsia" w:cstheme="minorEastAsia"/>
          <w:b/>
          <w:bCs/>
          <w:spacing w:val="-2"/>
          <w:sz w:val="21"/>
          <w:szCs w:val="21"/>
        </w:rPr>
        <w:t>SJ15工业场地</w:t>
      </w:r>
    </w:p>
    <w:p w14:paraId="35CE927F">
      <w:pPr>
        <w:pStyle w:val="5"/>
        <w:spacing w:before="163"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5"/>
          <w:sz w:val="24"/>
          <w:szCs w:val="24"/>
        </w:rPr>
        <w:t>3、SJ2工业场地</w:t>
      </w:r>
    </w:p>
    <w:p w14:paraId="69346FDF">
      <w:pPr>
        <w:pStyle w:val="5"/>
        <w:spacing w:before="180" w:line="360" w:lineRule="auto"/>
        <w:ind w:left="3"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位于SJ15工业场地西侧300m处，场地围绕SJ2建设有竖井、提升机房、卷</w:t>
      </w:r>
      <w:r>
        <w:rPr>
          <w:rFonts w:hint="eastAsia" w:asciiTheme="minorEastAsia" w:hAnsiTheme="minorEastAsia" w:eastAsiaTheme="minorEastAsia" w:cstheme="minorEastAsia"/>
          <w:spacing w:val="2"/>
          <w:sz w:val="24"/>
          <w:szCs w:val="24"/>
        </w:rPr>
        <w:t>扬机房、空压机站、仓库、宿舍等，占地面积12493m</w:t>
      </w:r>
      <w:r>
        <w:rPr>
          <w:rFonts w:hint="eastAsia" w:asciiTheme="minorEastAsia" w:hAnsiTheme="minorEastAsia" w:eastAsiaTheme="minorEastAsia" w:cstheme="minorEastAsia"/>
          <w:spacing w:val="2"/>
          <w:sz w:val="24"/>
          <w:szCs w:val="24"/>
          <w:vertAlign w:val="superscript"/>
          <w:lang w:val="en-US" w:eastAsia="zh-CN"/>
        </w:rPr>
        <w:t>2</w:t>
      </w:r>
      <w:r>
        <w:rPr>
          <w:rFonts w:hint="eastAsia" w:asciiTheme="minorEastAsia" w:hAnsiTheme="minorEastAsia" w:eastAsiaTheme="minorEastAsia" w:cstheme="minorEastAsia"/>
          <w:spacing w:val="2"/>
          <w:sz w:val="24"/>
          <w:szCs w:val="24"/>
        </w:rPr>
        <w:t>。场地地面已</w:t>
      </w:r>
      <w:r>
        <w:rPr>
          <w:rFonts w:hint="eastAsia" w:asciiTheme="minorEastAsia" w:hAnsiTheme="minorEastAsia" w:eastAsiaTheme="minorEastAsia" w:cstheme="minorEastAsia"/>
          <w:spacing w:val="1"/>
          <w:sz w:val="24"/>
          <w:szCs w:val="24"/>
        </w:rPr>
        <w:t>硬化，硬化</w:t>
      </w:r>
      <w:r>
        <w:rPr>
          <w:rFonts w:hint="eastAsia" w:asciiTheme="minorEastAsia" w:hAnsiTheme="minorEastAsia" w:eastAsiaTheme="minorEastAsia" w:cstheme="minorEastAsia"/>
          <w:spacing w:val="-2"/>
          <w:sz w:val="24"/>
          <w:szCs w:val="24"/>
        </w:rPr>
        <w:t>厚度约0.3m，硬化面积约6000m</w:t>
      </w:r>
      <w:r>
        <w:rPr>
          <w:rFonts w:hint="eastAsia" w:asciiTheme="minorEastAsia" w:hAnsiTheme="minorEastAsia" w:eastAsiaTheme="minorEastAsia" w:cstheme="minorEastAsia"/>
          <w:spacing w:val="-2"/>
          <w:sz w:val="24"/>
          <w:szCs w:val="24"/>
          <w:vertAlign w:val="superscript"/>
          <w:lang w:val="en-US" w:eastAsia="zh-CN"/>
        </w:rPr>
        <w:t>2</w:t>
      </w:r>
      <w:r>
        <w:rPr>
          <w:rFonts w:hint="eastAsia" w:asciiTheme="minorEastAsia" w:hAnsiTheme="minorEastAsia" w:eastAsiaTheme="minorEastAsia" w:cstheme="minorEastAsia"/>
          <w:spacing w:val="-2"/>
          <w:sz w:val="24"/>
          <w:szCs w:val="24"/>
        </w:rPr>
        <w:t>。场地内建筑物平均高</w:t>
      </w:r>
      <w:r>
        <w:rPr>
          <w:rFonts w:hint="eastAsia" w:asciiTheme="minorEastAsia" w:hAnsiTheme="minorEastAsia" w:eastAsiaTheme="minorEastAsia" w:cstheme="minorEastAsia"/>
          <w:spacing w:val="-3"/>
          <w:sz w:val="24"/>
          <w:szCs w:val="24"/>
        </w:rPr>
        <w:t>度5m，属彩钢瓦活动板房和砖混结构建筑物，面积为6250m</w:t>
      </w:r>
      <w:r>
        <w:rPr>
          <w:rFonts w:hint="eastAsia" w:asciiTheme="minorEastAsia" w:hAnsiTheme="minorEastAsia" w:eastAsiaTheme="minorEastAsia" w:cstheme="minorEastAsia"/>
          <w:spacing w:val="-6"/>
          <w:sz w:val="24"/>
          <w:szCs w:val="24"/>
          <w:vertAlign w:val="superscript"/>
          <w:lang w:val="en-US" w:eastAsia="zh-CN"/>
        </w:rPr>
        <w:t>2</w:t>
      </w:r>
      <w:r>
        <w:rPr>
          <w:rFonts w:hint="eastAsia" w:asciiTheme="minorEastAsia" w:hAnsiTheme="minorEastAsia" w:eastAsiaTheme="minorEastAsia" w:cstheme="minorEastAsia"/>
          <w:spacing w:val="-3"/>
          <w:sz w:val="24"/>
          <w:szCs w:val="24"/>
        </w:rPr>
        <w:t>。竖井SJ2井口标高</w:t>
      </w:r>
      <w:r>
        <w:rPr>
          <w:rFonts w:hint="eastAsia" w:asciiTheme="minorEastAsia" w:hAnsiTheme="minorEastAsia" w:eastAsiaTheme="minorEastAsia" w:cstheme="minorEastAsia"/>
          <w:spacing w:val="-4"/>
          <w:sz w:val="24"/>
          <w:szCs w:val="24"/>
        </w:rPr>
        <w:t>724m，井筒断面为矩形，</w:t>
      </w:r>
      <w:r>
        <w:rPr>
          <w:rFonts w:hint="eastAsia" w:asciiTheme="minorEastAsia" w:hAnsiTheme="minorEastAsia" w:eastAsiaTheme="minorEastAsia" w:cstheme="minorEastAsia"/>
          <w:spacing w:val="-3"/>
          <w:sz w:val="24"/>
          <w:szCs w:val="24"/>
        </w:rPr>
        <w:t>净断面规格为4.5×2.4m，井深284m。场地北侧临时堆有采出矿石，堆高约2-3m，</w:t>
      </w:r>
      <w:r>
        <w:rPr>
          <w:rFonts w:hint="eastAsia" w:asciiTheme="minorEastAsia" w:hAnsiTheme="minorEastAsia" w:eastAsiaTheme="minorEastAsia" w:cstheme="minorEastAsia"/>
          <w:spacing w:val="1"/>
          <w:sz w:val="24"/>
          <w:szCs w:val="24"/>
        </w:rPr>
        <w:t>堆积坡角约45°,堆放量约3880m</w:t>
      </w:r>
      <w:r>
        <w:rPr>
          <w:rFonts w:hint="eastAsia" w:asciiTheme="minorEastAsia" w:hAnsiTheme="minorEastAsia" w:eastAsiaTheme="minorEastAsia" w:cstheme="minorEastAsia"/>
          <w:spacing w:val="1"/>
          <w:sz w:val="24"/>
          <w:szCs w:val="24"/>
          <w:shd w:val="clear" w:color="auto" w:fill="auto"/>
          <w:vertAlign w:val="superscript"/>
          <w:lang w:val="en-US" w:eastAsia="zh-CN"/>
        </w:rPr>
        <w:t>3</w:t>
      </w:r>
      <w:r>
        <w:rPr>
          <w:rFonts w:hint="eastAsia" w:asciiTheme="minorEastAsia" w:hAnsiTheme="minorEastAsia" w:eastAsiaTheme="minorEastAsia" w:cstheme="minorEastAsia"/>
          <w:spacing w:val="1"/>
          <w:sz w:val="24"/>
          <w:szCs w:val="24"/>
        </w:rPr>
        <w:t>。</w:t>
      </w:r>
      <w:r>
        <w:rPr>
          <w:rFonts w:hint="eastAsia" w:asciiTheme="minorEastAsia" w:hAnsiTheme="minorEastAsia" w:eastAsiaTheme="minorEastAsia" w:cstheme="minorEastAsia"/>
          <w:spacing w:val="-6"/>
          <w:sz w:val="24"/>
          <w:szCs w:val="24"/>
        </w:rPr>
        <w:t>见照片3-</w:t>
      </w:r>
      <w:r>
        <w:rPr>
          <w:rFonts w:hint="eastAsia" w:asciiTheme="minorEastAsia" w:hAnsiTheme="minorEastAsia" w:eastAsiaTheme="minorEastAsia" w:cstheme="minorEastAsia"/>
          <w:spacing w:val="-6"/>
          <w:sz w:val="24"/>
          <w:szCs w:val="24"/>
          <w:lang w:val="en-US" w:eastAsia="zh-CN"/>
        </w:rPr>
        <w:t>11</w:t>
      </w:r>
      <w:r>
        <w:rPr>
          <w:rFonts w:hint="eastAsia" w:asciiTheme="minorEastAsia" w:hAnsiTheme="minorEastAsia" w:eastAsiaTheme="minorEastAsia" w:cstheme="minorEastAsia"/>
          <w:spacing w:val="-6"/>
          <w:sz w:val="24"/>
          <w:szCs w:val="24"/>
        </w:rPr>
        <w:t>。</w:t>
      </w:r>
    </w:p>
    <w:p w14:paraId="45C4BA98">
      <w:pPr>
        <w:keepNext w:val="0"/>
        <w:keepLines w:val="0"/>
        <w:pageBreakBefore w:val="0"/>
        <w:widowControl w:val="0"/>
        <w:kinsoku/>
        <w:wordWrap/>
        <w:overflowPunct/>
        <w:topLinePunct w:val="0"/>
        <w:autoSpaceDE/>
        <w:autoSpaceDN/>
        <w:bidi w:val="0"/>
        <w:adjustRightInd w:val="0"/>
        <w:snapToGrid w:val="0"/>
        <w:spacing w:line="240" w:lineRule="auto"/>
        <w:ind w:left="3360" w:leftChars="0" w:hanging="3360" w:hangingChars="1400"/>
        <w:textAlignment w:val="auto"/>
        <w:rPr>
          <w:position w:val="-62"/>
        </w:rPr>
      </w:pPr>
      <w:r>
        <w:rPr>
          <w:position w:val="-62"/>
        </w:rPr>
        <w:drawing>
          <wp:inline distT="0" distB="0" distL="0" distR="0">
            <wp:extent cx="5327650" cy="1983105"/>
            <wp:effectExtent l="0" t="0" r="6350" b="17145"/>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1"/>
                    <a:stretch>
                      <a:fillRect/>
                    </a:stretch>
                  </pic:blipFill>
                  <pic:spPr>
                    <a:xfrm>
                      <a:off x="0" y="0"/>
                      <a:ext cx="5328017" cy="1983152"/>
                    </a:xfrm>
                    <a:prstGeom prst="rect">
                      <a:avLst/>
                    </a:prstGeom>
                  </pic:spPr>
                </pic:pic>
              </a:graphicData>
            </a:graphic>
          </wp:inline>
        </w:drawing>
      </w:r>
    </w:p>
    <w:p w14:paraId="77EB7F4E">
      <w:pPr>
        <w:keepNext w:val="0"/>
        <w:keepLines w:val="0"/>
        <w:pageBreakBefore w:val="0"/>
        <w:widowControl w:val="0"/>
        <w:kinsoku/>
        <w:wordWrap/>
        <w:overflowPunct/>
        <w:topLinePunct w:val="0"/>
        <w:autoSpaceDE/>
        <w:autoSpaceDN/>
        <w:bidi w:val="0"/>
        <w:adjustRightInd w:val="0"/>
        <w:snapToGrid w:val="0"/>
        <w:spacing w:line="240" w:lineRule="auto"/>
        <w:ind w:left="2808" w:leftChars="1170" w:firstLine="203" w:firstLineChars="100"/>
        <w:textAlignment w:val="auto"/>
        <w:rPr>
          <w:rFonts w:hint="eastAsia" w:asciiTheme="minorEastAsia" w:hAnsiTheme="minorEastAsia" w:eastAsiaTheme="minorEastAsia" w:cstheme="minorEastAsia"/>
          <w:b/>
          <w:bCs/>
          <w:spacing w:val="-4"/>
          <w:sz w:val="21"/>
          <w:szCs w:val="21"/>
        </w:rPr>
      </w:pPr>
      <w:r>
        <w:rPr>
          <w:rFonts w:hint="eastAsia" w:asciiTheme="minorEastAsia" w:hAnsiTheme="minorEastAsia" w:eastAsiaTheme="minorEastAsia" w:cstheme="minorEastAsia"/>
          <w:b/>
          <w:bCs/>
          <w:spacing w:val="-4"/>
          <w:sz w:val="21"/>
          <w:szCs w:val="21"/>
        </w:rPr>
        <w:t>照片3-</w:t>
      </w:r>
      <w:r>
        <w:rPr>
          <w:rFonts w:hint="eastAsia" w:asciiTheme="minorEastAsia" w:hAnsiTheme="minorEastAsia" w:eastAsiaTheme="minorEastAsia" w:cstheme="minorEastAsia"/>
          <w:b/>
          <w:bCs/>
          <w:spacing w:val="-4"/>
          <w:sz w:val="21"/>
          <w:szCs w:val="21"/>
          <w:lang w:val="en-US" w:eastAsia="zh-CN"/>
        </w:rPr>
        <w:t>11</w:t>
      </w:r>
      <w:r>
        <w:rPr>
          <w:rFonts w:hint="eastAsia" w:asciiTheme="minorEastAsia" w:hAnsiTheme="minorEastAsia" w:eastAsiaTheme="minorEastAsia" w:cstheme="minorEastAsia"/>
          <w:b/>
          <w:bCs/>
          <w:spacing w:val="-4"/>
          <w:sz w:val="21"/>
          <w:szCs w:val="21"/>
        </w:rPr>
        <w:t>SJ2工业场地</w:t>
      </w:r>
    </w:p>
    <w:p w14:paraId="6189B334">
      <w:pPr>
        <w:pStyle w:val="5"/>
        <w:spacing w:before="162" w:line="360" w:lineRule="auto"/>
        <w:ind w:left="0" w:leftChars="0" w:firstLine="464"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4、SJ35工业场地</w:t>
      </w:r>
    </w:p>
    <w:p w14:paraId="634F9D6F">
      <w:pPr>
        <w:spacing w:line="360" w:lineRule="auto"/>
        <w:ind w:left="0" w:leftChars="0" w:firstLine="476" w:firstLineChars="200"/>
        <w:rPr>
          <w:rFonts w:hint="eastAsia" w:asciiTheme="minorEastAsia" w:hAnsiTheme="minorEastAsia" w:eastAsiaTheme="minorEastAsia" w:cstheme="minorEastAsia"/>
          <w:spacing w:val="-5"/>
          <w:sz w:val="24"/>
          <w:szCs w:val="24"/>
        </w:rPr>
      </w:pPr>
      <w:r>
        <w:rPr>
          <w:rFonts w:hint="eastAsia" w:asciiTheme="minorEastAsia" w:hAnsiTheme="minorEastAsia" w:eastAsiaTheme="minorEastAsia" w:cstheme="minorEastAsia"/>
          <w:spacing w:val="-1"/>
          <w:sz w:val="24"/>
          <w:szCs w:val="24"/>
        </w:rPr>
        <w:t>为金厂沟梁金矿第三矿区，位于矿区北部，场地围绕SJ35建设有</w:t>
      </w:r>
      <w:r>
        <w:rPr>
          <w:rFonts w:hint="eastAsia" w:asciiTheme="minorEastAsia" w:hAnsiTheme="minorEastAsia" w:eastAsiaTheme="minorEastAsia" w:cstheme="minorEastAsia"/>
          <w:spacing w:val="-2"/>
          <w:sz w:val="24"/>
          <w:szCs w:val="24"/>
        </w:rPr>
        <w:t>竖井、提升机房、卷扬机房、空压机站、仓库、宿舍等，占地面积7328m</w:t>
      </w:r>
      <w:r>
        <w:rPr>
          <w:rFonts w:hint="eastAsia" w:asciiTheme="minorEastAsia" w:hAnsiTheme="minorEastAsia" w:eastAsiaTheme="minorEastAsia" w:cstheme="minorEastAsia"/>
          <w:spacing w:val="-2"/>
          <w:sz w:val="24"/>
          <w:szCs w:val="24"/>
          <w:vertAlign w:val="superscript"/>
          <w:lang w:val="en-US" w:eastAsia="zh-CN"/>
        </w:rPr>
        <w:t>2</w:t>
      </w:r>
      <w:r>
        <w:rPr>
          <w:rFonts w:hint="eastAsia" w:asciiTheme="minorEastAsia" w:hAnsiTheme="minorEastAsia" w:eastAsiaTheme="minorEastAsia" w:cstheme="minorEastAsia"/>
          <w:spacing w:val="-2"/>
          <w:sz w:val="24"/>
          <w:szCs w:val="24"/>
        </w:rPr>
        <w:t>。场地地面已硬化，硬化厚度约0.3m，硬化面积约1000m</w:t>
      </w:r>
      <w:r>
        <w:rPr>
          <w:rFonts w:hint="eastAsia" w:asciiTheme="minorEastAsia" w:hAnsiTheme="minorEastAsia" w:eastAsiaTheme="minorEastAsia" w:cstheme="minorEastAsia"/>
          <w:spacing w:val="-2"/>
          <w:sz w:val="24"/>
          <w:szCs w:val="24"/>
          <w:vertAlign w:val="superscript"/>
          <w:lang w:val="en-US" w:eastAsia="zh-CN"/>
        </w:rPr>
        <w:t>2</w:t>
      </w:r>
      <w:r>
        <w:rPr>
          <w:rFonts w:hint="eastAsia" w:asciiTheme="minorEastAsia" w:hAnsiTheme="minorEastAsia" w:eastAsiaTheme="minorEastAsia" w:cstheme="minorEastAsia"/>
          <w:spacing w:val="-2"/>
          <w:sz w:val="24"/>
          <w:szCs w:val="24"/>
        </w:rPr>
        <w:t>。场地内建筑物平</w:t>
      </w:r>
      <w:r>
        <w:rPr>
          <w:rFonts w:hint="eastAsia" w:asciiTheme="minorEastAsia" w:hAnsiTheme="minorEastAsia" w:eastAsiaTheme="minorEastAsia" w:cstheme="minorEastAsia"/>
          <w:spacing w:val="-3"/>
          <w:sz w:val="24"/>
          <w:szCs w:val="24"/>
        </w:rPr>
        <w:t>均高度5m，属彩钢瓦活动板房，面积为5350m</w:t>
      </w:r>
      <w:r>
        <w:rPr>
          <w:rFonts w:hint="eastAsia" w:asciiTheme="minorEastAsia" w:hAnsiTheme="minorEastAsia" w:eastAsiaTheme="minorEastAsia" w:cstheme="minorEastAsia"/>
          <w:spacing w:val="-6"/>
          <w:sz w:val="24"/>
          <w:szCs w:val="24"/>
          <w:vertAlign w:val="superscript"/>
          <w:lang w:val="en-US" w:eastAsia="zh-CN"/>
        </w:rPr>
        <w:t>2</w:t>
      </w:r>
      <w:r>
        <w:rPr>
          <w:rFonts w:hint="eastAsia" w:asciiTheme="minorEastAsia" w:hAnsiTheme="minorEastAsia" w:eastAsiaTheme="minorEastAsia" w:cstheme="minorEastAsia"/>
          <w:spacing w:val="-3"/>
          <w:sz w:val="24"/>
          <w:szCs w:val="24"/>
        </w:rPr>
        <w:t>。竖井SJ35井口标高701m，井筒断面为矩形，净断面规</w:t>
      </w:r>
      <w:r>
        <w:rPr>
          <w:rFonts w:hint="eastAsia" w:asciiTheme="minorEastAsia" w:hAnsiTheme="minorEastAsia" w:eastAsiaTheme="minorEastAsia" w:cstheme="minorEastAsia"/>
          <w:spacing w:val="-1"/>
          <w:sz w:val="24"/>
          <w:szCs w:val="24"/>
        </w:rPr>
        <w:t>格为3.2×2.4m，井深261m。场地建设不切割山体，无危险边坡</w:t>
      </w:r>
      <w:r>
        <w:rPr>
          <w:rFonts w:hint="eastAsia" w:asciiTheme="minorEastAsia" w:hAnsiTheme="minorEastAsia" w:eastAsiaTheme="minorEastAsia" w:cstheme="minorEastAsia"/>
          <w:spacing w:val="-1"/>
          <w:sz w:val="24"/>
          <w:szCs w:val="24"/>
          <w:lang w:eastAsia="zh-CN"/>
        </w:rPr>
        <w:t>。</w:t>
      </w:r>
      <w:r>
        <w:rPr>
          <w:rFonts w:hint="eastAsia" w:asciiTheme="minorEastAsia" w:hAnsiTheme="minorEastAsia" w:eastAsiaTheme="minorEastAsia" w:cstheme="minorEastAsia"/>
          <w:spacing w:val="-4"/>
          <w:sz w:val="24"/>
          <w:szCs w:val="24"/>
        </w:rPr>
        <w:t>见照片</w:t>
      </w:r>
      <w:r>
        <w:rPr>
          <w:rFonts w:hint="eastAsia" w:asciiTheme="minorEastAsia" w:hAnsiTheme="minorEastAsia" w:eastAsiaTheme="minorEastAsia" w:cstheme="minorEastAsia"/>
          <w:spacing w:val="-5"/>
          <w:sz w:val="24"/>
          <w:szCs w:val="24"/>
        </w:rPr>
        <w:t>3-</w:t>
      </w:r>
      <w:r>
        <w:rPr>
          <w:rFonts w:hint="eastAsia" w:asciiTheme="minorEastAsia" w:hAnsiTheme="minorEastAsia" w:eastAsiaTheme="minorEastAsia" w:cstheme="minorEastAsia"/>
          <w:spacing w:val="-5"/>
          <w:sz w:val="24"/>
          <w:szCs w:val="24"/>
          <w:lang w:val="en-US" w:eastAsia="zh-CN"/>
        </w:rPr>
        <w:t>12</w:t>
      </w:r>
    </w:p>
    <w:p w14:paraId="5FCACB56">
      <w:pPr>
        <w:keepNext w:val="0"/>
        <w:keepLines w:val="0"/>
        <w:pageBreakBefore w:val="0"/>
        <w:widowControl w:val="0"/>
        <w:kinsoku/>
        <w:wordWrap/>
        <w:overflowPunct/>
        <w:topLinePunct w:val="0"/>
        <w:autoSpaceDE/>
        <w:autoSpaceDN/>
        <w:bidi w:val="0"/>
        <w:adjustRightInd w:val="0"/>
        <w:snapToGrid w:val="0"/>
        <w:spacing w:line="240" w:lineRule="auto"/>
        <w:ind w:left="3360" w:leftChars="0" w:hanging="3360" w:hangingChars="1400"/>
        <w:textAlignment w:val="auto"/>
        <w:rPr>
          <w:position w:val="-61"/>
        </w:rPr>
      </w:pPr>
      <w:r>
        <w:rPr>
          <w:position w:val="-61"/>
        </w:rPr>
        <w:drawing>
          <wp:inline distT="0" distB="0" distL="0" distR="0">
            <wp:extent cx="5278755" cy="1948815"/>
            <wp:effectExtent l="0" t="0" r="17145" b="13335"/>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2"/>
                    <a:stretch>
                      <a:fillRect/>
                    </a:stretch>
                  </pic:blipFill>
                  <pic:spPr>
                    <a:xfrm>
                      <a:off x="0" y="0"/>
                      <a:ext cx="5279081" cy="1949438"/>
                    </a:xfrm>
                    <a:prstGeom prst="rect">
                      <a:avLst/>
                    </a:prstGeom>
                  </pic:spPr>
                </pic:pic>
              </a:graphicData>
            </a:graphic>
          </wp:inline>
        </w:drawing>
      </w:r>
    </w:p>
    <w:p w14:paraId="22DB63FA">
      <w:pPr>
        <w:keepNext w:val="0"/>
        <w:keepLines w:val="0"/>
        <w:pageBreakBefore w:val="0"/>
        <w:widowControl w:val="0"/>
        <w:kinsoku/>
        <w:wordWrap/>
        <w:overflowPunct/>
        <w:topLinePunct w:val="0"/>
        <w:autoSpaceDE/>
        <w:autoSpaceDN/>
        <w:bidi w:val="0"/>
        <w:adjustRightInd w:val="0"/>
        <w:snapToGrid w:val="0"/>
        <w:spacing w:line="240" w:lineRule="auto"/>
        <w:ind w:left="2839" w:leftChars="1183" w:firstLine="205" w:firstLineChars="100"/>
        <w:textAlignment w:val="auto"/>
        <w:rPr>
          <w:rFonts w:hint="eastAsia" w:asciiTheme="minorEastAsia" w:hAnsiTheme="minorEastAsia" w:eastAsiaTheme="minorEastAsia" w:cstheme="minorEastAsia"/>
          <w:b/>
          <w:bCs/>
          <w:spacing w:val="-3"/>
          <w:sz w:val="21"/>
          <w:szCs w:val="21"/>
        </w:rPr>
      </w:pPr>
      <w:r>
        <w:rPr>
          <w:rFonts w:hint="eastAsia" w:asciiTheme="minorEastAsia" w:hAnsiTheme="minorEastAsia" w:eastAsiaTheme="minorEastAsia" w:cstheme="minorEastAsia"/>
          <w:b/>
          <w:bCs/>
          <w:spacing w:val="-3"/>
          <w:sz w:val="21"/>
          <w:szCs w:val="21"/>
        </w:rPr>
        <w:t>照片3-</w:t>
      </w:r>
      <w:r>
        <w:rPr>
          <w:rFonts w:hint="eastAsia" w:asciiTheme="minorEastAsia" w:hAnsiTheme="minorEastAsia" w:eastAsiaTheme="minorEastAsia" w:cstheme="minorEastAsia"/>
          <w:b/>
          <w:bCs/>
          <w:spacing w:val="-3"/>
          <w:sz w:val="21"/>
          <w:szCs w:val="21"/>
          <w:lang w:val="en-US" w:eastAsia="zh-CN"/>
        </w:rPr>
        <w:t xml:space="preserve">12 </w:t>
      </w:r>
      <w:r>
        <w:rPr>
          <w:rFonts w:hint="eastAsia" w:asciiTheme="minorEastAsia" w:hAnsiTheme="minorEastAsia" w:eastAsiaTheme="minorEastAsia" w:cstheme="minorEastAsia"/>
          <w:b/>
          <w:bCs/>
          <w:spacing w:val="-3"/>
          <w:sz w:val="21"/>
          <w:szCs w:val="21"/>
        </w:rPr>
        <w:t>SJ35工业场地</w:t>
      </w:r>
    </w:p>
    <w:p w14:paraId="576BEF08">
      <w:pPr>
        <w:pStyle w:val="5"/>
        <w:spacing w:before="163" w:line="360" w:lineRule="auto"/>
        <w:ind w:left="0" w:leftChars="0" w:firstLine="46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5"/>
          <w:sz w:val="24"/>
          <w:szCs w:val="24"/>
        </w:rPr>
        <w:t>5、FJ56工业场地</w:t>
      </w:r>
    </w:p>
    <w:p w14:paraId="6DBF7404">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firstLine="472" w:firstLineChars="200"/>
        <w:jc w:val="left"/>
        <w:textAlignment w:val="auto"/>
        <w:rPr>
          <w:position w:val="-60"/>
        </w:rPr>
      </w:pPr>
      <w:r>
        <w:rPr>
          <w:rFonts w:hint="eastAsia" w:asciiTheme="minorEastAsia" w:hAnsiTheme="minorEastAsia" w:eastAsiaTheme="minorEastAsia" w:cstheme="minorEastAsia"/>
          <w:spacing w:val="-2"/>
          <w:sz w:val="24"/>
          <w:szCs w:val="24"/>
        </w:rPr>
        <w:t>位于SJ35工业场地东南侧250m处，位于村民院内，地面未硬化，场地内设</w:t>
      </w:r>
      <w:r>
        <w:rPr>
          <w:rFonts w:hint="eastAsia" w:asciiTheme="minorEastAsia" w:hAnsiTheme="minorEastAsia" w:eastAsiaTheme="minorEastAsia" w:cstheme="minorEastAsia"/>
          <w:spacing w:val="-3"/>
          <w:sz w:val="24"/>
          <w:szCs w:val="24"/>
        </w:rPr>
        <w:t>有通风机房，场地面积420m</w:t>
      </w:r>
      <w:r>
        <w:rPr>
          <w:rFonts w:hint="eastAsia" w:asciiTheme="minorEastAsia" w:hAnsiTheme="minorEastAsia" w:eastAsiaTheme="minorEastAsia" w:cstheme="minorEastAsia"/>
          <w:spacing w:val="-6"/>
          <w:sz w:val="24"/>
          <w:szCs w:val="24"/>
          <w:vertAlign w:val="superscript"/>
          <w:lang w:val="en-US" w:eastAsia="zh-CN"/>
        </w:rPr>
        <w:t>2</w:t>
      </w:r>
      <w:r>
        <w:rPr>
          <w:rFonts w:hint="eastAsia" w:asciiTheme="minorEastAsia" w:hAnsiTheme="minorEastAsia" w:eastAsiaTheme="minorEastAsia" w:cstheme="minorEastAsia"/>
          <w:spacing w:val="-3"/>
          <w:sz w:val="24"/>
          <w:szCs w:val="24"/>
        </w:rPr>
        <w:t>。场地内建筑物平均高度3m，</w:t>
      </w:r>
      <w:r>
        <w:rPr>
          <w:rFonts w:hint="eastAsia" w:asciiTheme="minorEastAsia" w:hAnsiTheme="minorEastAsia" w:eastAsiaTheme="minorEastAsia" w:cstheme="minorEastAsia"/>
          <w:spacing w:val="-4"/>
          <w:sz w:val="24"/>
          <w:szCs w:val="24"/>
        </w:rPr>
        <w:t>属砖混结构建筑物，面积为50m</w:t>
      </w:r>
      <w:r>
        <w:rPr>
          <w:rFonts w:hint="eastAsia" w:asciiTheme="minorEastAsia" w:hAnsiTheme="minorEastAsia" w:eastAsiaTheme="minorEastAsia" w:cstheme="minorEastAsia"/>
          <w:spacing w:val="-6"/>
          <w:sz w:val="24"/>
          <w:szCs w:val="24"/>
          <w:vertAlign w:val="superscript"/>
          <w:lang w:val="en-US" w:eastAsia="zh-CN"/>
        </w:rPr>
        <w:t>2</w:t>
      </w:r>
      <w:r>
        <w:rPr>
          <w:rFonts w:hint="eastAsia" w:asciiTheme="minorEastAsia" w:hAnsiTheme="minorEastAsia" w:eastAsiaTheme="minorEastAsia" w:cstheme="minorEastAsia"/>
          <w:spacing w:val="-4"/>
          <w:sz w:val="24"/>
          <w:szCs w:val="24"/>
        </w:rPr>
        <w:t>。风井FJ56口标高690</w:t>
      </w:r>
      <w:r>
        <w:rPr>
          <w:rFonts w:hint="eastAsia" w:asciiTheme="minorEastAsia" w:hAnsiTheme="minorEastAsia" w:eastAsiaTheme="minorEastAsia" w:cstheme="minorEastAsia"/>
          <w:spacing w:val="-5"/>
          <w:sz w:val="24"/>
          <w:szCs w:val="24"/>
        </w:rPr>
        <w:t>m，井筒断面为矩形，净断面规格为3.0×1.5m，</w:t>
      </w:r>
      <w:r>
        <w:rPr>
          <w:rFonts w:hint="eastAsia" w:asciiTheme="minorEastAsia" w:hAnsiTheme="minorEastAsia" w:eastAsiaTheme="minorEastAsia" w:cstheme="minorEastAsia"/>
          <w:spacing w:val="-1"/>
          <w:sz w:val="24"/>
          <w:szCs w:val="24"/>
        </w:rPr>
        <w:t>井深680m。</w:t>
      </w:r>
      <w:r>
        <w:rPr>
          <w:rFonts w:hint="eastAsia" w:asciiTheme="minorEastAsia" w:hAnsiTheme="minorEastAsia" w:eastAsiaTheme="minorEastAsia" w:cstheme="minorEastAsia"/>
          <w:spacing w:val="-5"/>
          <w:sz w:val="24"/>
          <w:szCs w:val="24"/>
        </w:rPr>
        <w:t>见照片3-</w:t>
      </w:r>
      <w:r>
        <w:rPr>
          <w:rFonts w:hint="eastAsia" w:asciiTheme="minorEastAsia" w:hAnsiTheme="minorEastAsia" w:eastAsiaTheme="minorEastAsia" w:cstheme="minorEastAsia"/>
          <w:spacing w:val="-5"/>
          <w:sz w:val="24"/>
          <w:szCs w:val="24"/>
          <w:lang w:val="en-US" w:eastAsia="zh-CN"/>
        </w:rPr>
        <w:t>13</w:t>
      </w:r>
      <w:r>
        <w:rPr>
          <w:rFonts w:hint="eastAsia" w:asciiTheme="minorEastAsia" w:hAnsiTheme="minorEastAsia" w:eastAsiaTheme="minorEastAsia" w:cstheme="minorEastAsia"/>
          <w:spacing w:val="-5"/>
          <w:sz w:val="24"/>
          <w:szCs w:val="24"/>
        </w:rPr>
        <w:t>。</w:t>
      </w:r>
      <w:r>
        <w:rPr>
          <w:position w:val="-60"/>
        </w:rPr>
        <w:drawing>
          <wp:inline distT="0" distB="0" distL="0" distR="0">
            <wp:extent cx="5344160" cy="1935480"/>
            <wp:effectExtent l="0" t="0" r="8890" b="762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3"/>
                    <a:stretch>
                      <a:fillRect/>
                    </a:stretch>
                  </pic:blipFill>
                  <pic:spPr>
                    <a:xfrm>
                      <a:off x="0" y="0"/>
                      <a:ext cx="5344578" cy="1936114"/>
                    </a:xfrm>
                    <a:prstGeom prst="rect">
                      <a:avLst/>
                    </a:prstGeom>
                  </pic:spPr>
                </pic:pic>
              </a:graphicData>
            </a:graphic>
          </wp:inline>
        </w:drawing>
      </w:r>
    </w:p>
    <w:p w14:paraId="5153D18A">
      <w:pPr>
        <w:keepNext w:val="0"/>
        <w:keepLines w:val="0"/>
        <w:pageBreakBefore w:val="0"/>
        <w:widowControl w:val="0"/>
        <w:kinsoku/>
        <w:wordWrap/>
        <w:overflowPunct/>
        <w:topLinePunct w:val="0"/>
        <w:autoSpaceDE/>
        <w:autoSpaceDN/>
        <w:bidi w:val="0"/>
        <w:adjustRightInd w:val="0"/>
        <w:snapToGrid w:val="0"/>
        <w:spacing w:line="240" w:lineRule="auto"/>
        <w:ind w:left="2858" w:leftChars="1191" w:firstLine="207" w:firstLineChars="100"/>
        <w:textAlignment w:val="auto"/>
        <w:rPr>
          <w:rFonts w:ascii="Times New Roman" w:hAnsi="Times New Roman" w:eastAsia="Times New Roman" w:cs="Times New Roman"/>
          <w:spacing w:val="-5"/>
          <w:sz w:val="24"/>
          <w:szCs w:val="24"/>
        </w:rPr>
      </w:pPr>
      <w:r>
        <w:rPr>
          <w:rFonts w:hint="eastAsia" w:asciiTheme="minorEastAsia" w:hAnsiTheme="minorEastAsia" w:eastAsiaTheme="minorEastAsia" w:cstheme="minorEastAsia"/>
          <w:b/>
          <w:bCs/>
          <w:spacing w:val="-2"/>
          <w:sz w:val="21"/>
          <w:szCs w:val="21"/>
        </w:rPr>
        <w:t>照片3-</w:t>
      </w:r>
      <w:r>
        <w:rPr>
          <w:rFonts w:hint="eastAsia" w:asciiTheme="minorEastAsia" w:hAnsiTheme="minorEastAsia" w:eastAsiaTheme="minorEastAsia" w:cstheme="minorEastAsia"/>
          <w:b/>
          <w:bCs/>
          <w:spacing w:val="-2"/>
          <w:sz w:val="21"/>
          <w:szCs w:val="21"/>
          <w:lang w:val="en-US" w:eastAsia="zh-CN"/>
        </w:rPr>
        <w:t xml:space="preserve">13 </w:t>
      </w:r>
      <w:r>
        <w:rPr>
          <w:rFonts w:hint="eastAsia" w:asciiTheme="minorEastAsia" w:hAnsiTheme="minorEastAsia" w:eastAsiaTheme="minorEastAsia" w:cstheme="minorEastAsia"/>
          <w:b/>
          <w:bCs/>
          <w:spacing w:val="-2"/>
          <w:sz w:val="21"/>
          <w:szCs w:val="21"/>
        </w:rPr>
        <w:t>FJ56工业场地</w:t>
      </w:r>
    </w:p>
    <w:p w14:paraId="0BC3E6DA">
      <w:pPr>
        <w:pStyle w:val="5"/>
        <w:keepNext w:val="0"/>
        <w:keepLines w:val="0"/>
        <w:pageBreakBefore w:val="0"/>
        <w:widowControl w:val="0"/>
        <w:kinsoku/>
        <w:wordWrap/>
        <w:overflowPunct/>
        <w:topLinePunct w:val="0"/>
        <w:autoSpaceDE/>
        <w:autoSpaceDN/>
        <w:bidi w:val="0"/>
        <w:adjustRightInd w:val="0"/>
        <w:snapToGrid w:val="0"/>
        <w:spacing w:line="360" w:lineRule="auto"/>
        <w:ind w:firstLine="46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5"/>
          <w:sz w:val="24"/>
          <w:szCs w:val="24"/>
        </w:rPr>
        <w:t>6、FJ35工业场地</w:t>
      </w:r>
    </w:p>
    <w:p w14:paraId="7B15BAC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72" w:firstLineChars="200"/>
        <w:jc w:val="left"/>
        <w:textAlignment w:val="auto"/>
        <w:rPr>
          <w:rFonts w:hint="eastAsia" w:asciiTheme="minorEastAsia" w:hAnsiTheme="minorEastAsia" w:eastAsiaTheme="minorEastAsia" w:cstheme="minorEastAsia"/>
          <w:spacing w:val="-8"/>
          <w:sz w:val="24"/>
          <w:szCs w:val="24"/>
        </w:rPr>
      </w:pPr>
      <w:r>
        <w:rPr>
          <w:rFonts w:hint="eastAsia" w:asciiTheme="minorEastAsia" w:hAnsiTheme="minorEastAsia" w:eastAsiaTheme="minorEastAsia" w:cstheme="minorEastAsia"/>
          <w:spacing w:val="-2"/>
          <w:sz w:val="24"/>
          <w:szCs w:val="24"/>
        </w:rPr>
        <w:t>位于SJ1工业场地西北侧350m处，位于村民院内，场地面积275m</w:t>
      </w:r>
      <w:r>
        <w:rPr>
          <w:rFonts w:hint="eastAsia" w:asciiTheme="minorEastAsia" w:hAnsiTheme="minorEastAsia" w:eastAsiaTheme="minorEastAsia" w:cstheme="minorEastAsia"/>
          <w:spacing w:val="-2"/>
          <w:sz w:val="24"/>
          <w:szCs w:val="24"/>
          <w:vertAlign w:val="superscript"/>
          <w:lang w:val="en-US" w:eastAsia="zh-CN"/>
        </w:rPr>
        <w:t>2</w:t>
      </w:r>
      <w:r>
        <w:rPr>
          <w:rFonts w:hint="eastAsia" w:asciiTheme="minorEastAsia" w:hAnsiTheme="minorEastAsia" w:eastAsiaTheme="minorEastAsia" w:cstheme="minorEastAsia"/>
          <w:spacing w:val="-2"/>
          <w:sz w:val="24"/>
          <w:szCs w:val="24"/>
        </w:rPr>
        <w:t>。场地地面未硬化，场地内建筑物平均高度3m，属砖混结构建筑物，面积为60m</w:t>
      </w:r>
      <w:r>
        <w:rPr>
          <w:rFonts w:hint="eastAsia" w:asciiTheme="minorEastAsia" w:hAnsiTheme="minorEastAsia" w:eastAsiaTheme="minorEastAsia" w:cstheme="minorEastAsia"/>
          <w:spacing w:val="-2"/>
          <w:sz w:val="24"/>
          <w:szCs w:val="24"/>
          <w:vertAlign w:val="superscript"/>
          <w:lang w:val="en-US" w:eastAsia="zh-CN"/>
        </w:rPr>
        <w:t>2</w:t>
      </w:r>
      <w:r>
        <w:rPr>
          <w:rFonts w:hint="eastAsia" w:asciiTheme="minorEastAsia" w:hAnsiTheme="minorEastAsia" w:eastAsiaTheme="minorEastAsia" w:cstheme="minorEastAsia"/>
          <w:spacing w:val="-2"/>
          <w:sz w:val="24"/>
          <w:szCs w:val="24"/>
        </w:rPr>
        <w:t>。风井FJ35井口标高696m，井筒断面为矩形，净断面规格为3.0×1.5m，井深246m。场</w:t>
      </w:r>
      <w:r>
        <w:rPr>
          <w:rFonts w:hint="eastAsia" w:asciiTheme="minorEastAsia" w:hAnsiTheme="minorEastAsia" w:eastAsiaTheme="minorEastAsia" w:cstheme="minorEastAsia"/>
          <w:spacing w:val="3"/>
          <w:sz w:val="24"/>
          <w:szCs w:val="24"/>
        </w:rPr>
        <w:t>地范围内无危险边坡</w:t>
      </w:r>
      <w:r>
        <w:rPr>
          <w:rFonts w:hint="eastAsia" w:asciiTheme="minorEastAsia" w:hAnsiTheme="minorEastAsia" w:eastAsiaTheme="minorEastAsia" w:cstheme="minorEastAsia"/>
          <w:spacing w:val="3"/>
          <w:sz w:val="24"/>
          <w:szCs w:val="24"/>
          <w:lang w:eastAsia="zh-CN"/>
        </w:rPr>
        <w:t>。</w:t>
      </w:r>
      <w:r>
        <w:rPr>
          <w:rFonts w:hint="eastAsia" w:asciiTheme="minorEastAsia" w:hAnsiTheme="minorEastAsia" w:eastAsiaTheme="minorEastAsia" w:cstheme="minorEastAsia"/>
          <w:spacing w:val="-8"/>
          <w:sz w:val="24"/>
          <w:szCs w:val="24"/>
        </w:rPr>
        <w:t>见照片3-1</w:t>
      </w:r>
      <w:r>
        <w:rPr>
          <w:rFonts w:hint="eastAsia" w:asciiTheme="minorEastAsia" w:hAnsiTheme="minorEastAsia" w:eastAsiaTheme="minorEastAsia" w:cstheme="minorEastAsia"/>
          <w:spacing w:val="-8"/>
          <w:sz w:val="24"/>
          <w:szCs w:val="24"/>
          <w:lang w:val="en-US" w:eastAsia="zh-CN"/>
        </w:rPr>
        <w:t>4</w:t>
      </w:r>
      <w:r>
        <w:rPr>
          <w:rFonts w:hint="eastAsia" w:asciiTheme="minorEastAsia" w:hAnsiTheme="minorEastAsia" w:eastAsiaTheme="minorEastAsia" w:cstheme="minorEastAsia"/>
          <w:spacing w:val="-8"/>
          <w:sz w:val="24"/>
          <w:szCs w:val="24"/>
        </w:rPr>
        <w:t>。</w:t>
      </w:r>
    </w:p>
    <w:p w14:paraId="52B3D27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80" w:firstLineChars="200"/>
        <w:textAlignment w:val="auto"/>
        <w:rPr>
          <w:spacing w:val="-8"/>
          <w:sz w:val="24"/>
          <w:szCs w:val="24"/>
        </w:rPr>
      </w:pPr>
      <w:r>
        <w:rPr>
          <w:position w:val="-61"/>
        </w:rPr>
        <w:drawing>
          <wp:inline distT="0" distB="0" distL="0" distR="0">
            <wp:extent cx="5190490" cy="1941195"/>
            <wp:effectExtent l="0" t="0" r="10160" b="1905"/>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4"/>
                    <a:stretch>
                      <a:fillRect/>
                    </a:stretch>
                  </pic:blipFill>
                  <pic:spPr>
                    <a:xfrm>
                      <a:off x="0" y="0"/>
                      <a:ext cx="5191122" cy="1941202"/>
                    </a:xfrm>
                    <a:prstGeom prst="rect">
                      <a:avLst/>
                    </a:prstGeom>
                  </pic:spPr>
                </pic:pic>
              </a:graphicData>
            </a:graphic>
          </wp:inline>
        </w:drawing>
      </w:r>
    </w:p>
    <w:p w14:paraId="7B5C8269">
      <w:pPr>
        <w:pStyle w:val="5"/>
        <w:keepNext w:val="0"/>
        <w:keepLines w:val="0"/>
        <w:pageBreakBefore w:val="0"/>
        <w:widowControl w:val="0"/>
        <w:kinsoku/>
        <w:wordWrap/>
        <w:overflowPunct/>
        <w:topLinePunct w:val="0"/>
        <w:autoSpaceDE/>
        <w:autoSpaceDN/>
        <w:bidi w:val="0"/>
        <w:adjustRightInd w:val="0"/>
        <w:snapToGrid w:val="0"/>
        <w:spacing w:before="162" w:line="240" w:lineRule="auto"/>
        <w:ind w:firstLine="3102" w:firstLineChars="1500"/>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pacing w:val="-2"/>
          <w:sz w:val="21"/>
          <w:szCs w:val="21"/>
        </w:rPr>
        <w:t>照片3-</w:t>
      </w:r>
      <w:r>
        <w:rPr>
          <w:rFonts w:hint="eastAsia" w:asciiTheme="minorEastAsia" w:hAnsiTheme="minorEastAsia" w:eastAsiaTheme="minorEastAsia" w:cstheme="minorEastAsia"/>
          <w:b/>
          <w:bCs/>
          <w:spacing w:val="-2"/>
          <w:sz w:val="21"/>
          <w:szCs w:val="21"/>
          <w:lang w:val="en-US" w:eastAsia="zh-CN"/>
        </w:rPr>
        <w:t xml:space="preserve">14 </w:t>
      </w:r>
      <w:r>
        <w:rPr>
          <w:rFonts w:hint="eastAsia" w:asciiTheme="minorEastAsia" w:hAnsiTheme="minorEastAsia" w:eastAsiaTheme="minorEastAsia" w:cstheme="minorEastAsia"/>
          <w:b/>
          <w:bCs/>
          <w:spacing w:val="-2"/>
          <w:sz w:val="21"/>
          <w:szCs w:val="21"/>
        </w:rPr>
        <w:t>FJ35工业场地</w:t>
      </w:r>
    </w:p>
    <w:p w14:paraId="057C4757">
      <w:pPr>
        <w:pStyle w:val="5"/>
        <w:spacing w:before="161" w:line="221"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5"/>
          <w:sz w:val="24"/>
          <w:szCs w:val="24"/>
        </w:rPr>
        <w:t>7、FJ26工业场地</w:t>
      </w:r>
    </w:p>
    <w:p w14:paraId="0E7C51AB">
      <w:pPr>
        <w:spacing w:line="360" w:lineRule="auto"/>
        <w:ind w:left="0" w:leftChars="0" w:firstLine="472" w:firstLineChars="200"/>
        <w:rPr>
          <w:rFonts w:hint="eastAsia" w:asciiTheme="minorEastAsia" w:hAnsiTheme="minorEastAsia" w:eastAsiaTheme="minorEastAsia" w:cstheme="minorEastAsia"/>
          <w:spacing w:val="-5"/>
          <w:sz w:val="24"/>
          <w:szCs w:val="24"/>
          <w:lang w:eastAsia="zh-CN"/>
        </w:rPr>
      </w:pPr>
      <w:r>
        <w:rPr>
          <w:rFonts w:hint="eastAsia" w:asciiTheme="minorEastAsia" w:hAnsiTheme="minorEastAsia" w:eastAsiaTheme="minorEastAsia" w:cstheme="minorEastAsia"/>
          <w:spacing w:val="-2"/>
          <w:sz w:val="24"/>
          <w:szCs w:val="24"/>
        </w:rPr>
        <w:t>位于竖井（SJ2）工业场地西北侧670m处，</w:t>
      </w:r>
      <w:r>
        <w:rPr>
          <w:rFonts w:hint="eastAsia" w:asciiTheme="minorEastAsia" w:hAnsiTheme="minorEastAsia" w:eastAsiaTheme="minorEastAsia" w:cstheme="minorEastAsia"/>
          <w:spacing w:val="-3"/>
          <w:sz w:val="24"/>
          <w:szCs w:val="24"/>
        </w:rPr>
        <w:t>位于村民院内，占地面积653m</w:t>
      </w:r>
      <w:r>
        <w:rPr>
          <w:rFonts w:hint="eastAsia" w:asciiTheme="minorEastAsia" w:hAnsiTheme="minorEastAsia" w:eastAsiaTheme="minorEastAsia" w:cstheme="minorEastAsia"/>
          <w:spacing w:val="-6"/>
          <w:sz w:val="24"/>
          <w:szCs w:val="24"/>
          <w:vertAlign w:val="superscript"/>
          <w:lang w:val="en-US" w:eastAsia="zh-CN"/>
        </w:rPr>
        <w:t>2</w:t>
      </w:r>
      <w:r>
        <w:rPr>
          <w:rFonts w:hint="eastAsia" w:asciiTheme="minorEastAsia" w:hAnsiTheme="minorEastAsia" w:eastAsiaTheme="minorEastAsia" w:cstheme="minorEastAsia"/>
          <w:spacing w:val="-3"/>
          <w:sz w:val="24"/>
          <w:szCs w:val="24"/>
        </w:rPr>
        <w:t>。</w:t>
      </w:r>
      <w:r>
        <w:rPr>
          <w:rFonts w:hint="eastAsia" w:asciiTheme="minorEastAsia" w:hAnsiTheme="minorEastAsia" w:eastAsiaTheme="minorEastAsia" w:cstheme="minorEastAsia"/>
          <w:spacing w:val="-1"/>
          <w:sz w:val="24"/>
          <w:szCs w:val="24"/>
        </w:rPr>
        <w:t>工业场地内设有通风机房，场地内建筑物平均高度3m，属砖混结构建筑物，面积</w:t>
      </w:r>
      <w:r>
        <w:rPr>
          <w:rFonts w:hint="eastAsia" w:asciiTheme="minorEastAsia" w:hAnsiTheme="minorEastAsia" w:eastAsiaTheme="minorEastAsia" w:cstheme="minorEastAsia"/>
          <w:spacing w:val="-4"/>
          <w:sz w:val="24"/>
          <w:szCs w:val="24"/>
        </w:rPr>
        <w:t>为100m</w:t>
      </w:r>
      <w:r>
        <w:rPr>
          <w:rFonts w:hint="eastAsia" w:asciiTheme="minorEastAsia" w:hAnsiTheme="minorEastAsia" w:eastAsiaTheme="minorEastAsia" w:cstheme="minorEastAsia"/>
          <w:spacing w:val="-6"/>
          <w:sz w:val="24"/>
          <w:szCs w:val="24"/>
          <w:shd w:val="clear" w:color="auto" w:fill="auto"/>
          <w:vertAlign w:val="superscript"/>
          <w:lang w:val="en-US" w:eastAsia="zh-CN"/>
        </w:rPr>
        <w:t>2</w:t>
      </w:r>
      <w:r>
        <w:rPr>
          <w:rFonts w:hint="eastAsia" w:asciiTheme="minorEastAsia" w:hAnsiTheme="minorEastAsia" w:eastAsiaTheme="minorEastAsia" w:cstheme="minorEastAsia"/>
          <w:spacing w:val="-4"/>
          <w:sz w:val="24"/>
          <w:szCs w:val="24"/>
        </w:rPr>
        <w:t>。风井FJ35井口标高690m，井筒断面为矩形，净断面规格为3.0×1.5m，</w:t>
      </w:r>
      <w:r>
        <w:rPr>
          <w:rFonts w:hint="eastAsia" w:asciiTheme="minorEastAsia" w:hAnsiTheme="minorEastAsia" w:eastAsiaTheme="minorEastAsia" w:cstheme="minorEastAsia"/>
          <w:spacing w:val="-1"/>
          <w:sz w:val="24"/>
          <w:szCs w:val="24"/>
        </w:rPr>
        <w:t>井深280m。</w:t>
      </w:r>
      <w:r>
        <w:rPr>
          <w:rFonts w:hint="eastAsia" w:asciiTheme="minorEastAsia" w:hAnsiTheme="minorEastAsia" w:eastAsiaTheme="minorEastAsia" w:cstheme="minorEastAsia"/>
          <w:spacing w:val="-5"/>
          <w:sz w:val="24"/>
          <w:szCs w:val="24"/>
        </w:rPr>
        <w:t>见照片3-</w:t>
      </w:r>
      <w:r>
        <w:rPr>
          <w:rFonts w:hint="eastAsia" w:asciiTheme="minorEastAsia" w:hAnsiTheme="minorEastAsia" w:eastAsiaTheme="minorEastAsia" w:cstheme="minorEastAsia"/>
          <w:spacing w:val="-5"/>
          <w:sz w:val="24"/>
          <w:szCs w:val="24"/>
          <w:lang w:val="en-US" w:eastAsia="zh-CN"/>
        </w:rPr>
        <w:t>15</w:t>
      </w:r>
      <w:r>
        <w:rPr>
          <w:rFonts w:hint="eastAsia" w:asciiTheme="minorEastAsia" w:hAnsiTheme="minorEastAsia" w:eastAsiaTheme="minorEastAsia" w:cstheme="minorEastAsia"/>
          <w:spacing w:val="-5"/>
          <w:sz w:val="24"/>
          <w:szCs w:val="24"/>
          <w:lang w:eastAsia="zh-CN"/>
        </w:rPr>
        <w:t>。</w:t>
      </w:r>
    </w:p>
    <w:p w14:paraId="7942744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60" w:firstLineChars="200"/>
        <w:textAlignment w:val="auto"/>
        <w:rPr>
          <w:rFonts w:hint="eastAsia" w:asciiTheme="minorEastAsia" w:hAnsiTheme="minorEastAsia" w:eastAsiaTheme="minorEastAsia" w:cstheme="minorEastAsia"/>
          <w:spacing w:val="-5"/>
          <w:sz w:val="24"/>
          <w:szCs w:val="24"/>
          <w:lang w:eastAsia="zh-CN"/>
        </w:rPr>
      </w:pPr>
      <w:r>
        <w:rPr>
          <w:rFonts w:hint="eastAsia" w:asciiTheme="minorEastAsia" w:hAnsiTheme="minorEastAsia" w:eastAsiaTheme="minorEastAsia" w:cstheme="minorEastAsia"/>
          <w:spacing w:val="-5"/>
          <w:sz w:val="24"/>
          <w:szCs w:val="24"/>
          <w:lang w:eastAsia="zh-CN"/>
        </w:rPr>
        <w:drawing>
          <wp:inline distT="0" distB="0" distL="114300" distR="114300">
            <wp:extent cx="5273675" cy="1922145"/>
            <wp:effectExtent l="0" t="0" r="3175" b="1905"/>
            <wp:docPr id="1" name="图片 1" descr="4f3bd3b62836381af590c477d528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f3bd3b62836381af590c477d5281784"/>
                    <pic:cNvPicPr>
                      <a:picLocks noChangeAspect="1"/>
                    </pic:cNvPicPr>
                  </pic:nvPicPr>
                  <pic:blipFill>
                    <a:blip r:embed="rId15"/>
                    <a:stretch>
                      <a:fillRect/>
                    </a:stretch>
                  </pic:blipFill>
                  <pic:spPr>
                    <a:xfrm>
                      <a:off x="0" y="0"/>
                      <a:ext cx="5273675" cy="1922145"/>
                    </a:xfrm>
                    <a:prstGeom prst="rect">
                      <a:avLst/>
                    </a:prstGeom>
                  </pic:spPr>
                </pic:pic>
              </a:graphicData>
            </a:graphic>
          </wp:inline>
        </w:drawing>
      </w:r>
    </w:p>
    <w:p w14:paraId="6572C6D5">
      <w:pPr>
        <w:pStyle w:val="5"/>
        <w:keepNext w:val="0"/>
        <w:keepLines w:val="0"/>
        <w:pageBreakBefore w:val="0"/>
        <w:widowControl w:val="0"/>
        <w:kinsoku/>
        <w:wordWrap/>
        <w:overflowPunct/>
        <w:topLinePunct w:val="0"/>
        <w:autoSpaceDE/>
        <w:autoSpaceDN/>
        <w:bidi w:val="0"/>
        <w:adjustRightInd w:val="0"/>
        <w:snapToGrid w:val="0"/>
        <w:spacing w:before="166" w:line="240" w:lineRule="auto"/>
        <w:ind w:left="0" w:leftChars="0" w:firstLine="3102" w:firstLineChars="1500"/>
        <w:textAlignment w:val="auto"/>
        <w:rPr>
          <w:rFonts w:ascii="Times New Roman" w:hAnsi="Times New Roman" w:eastAsia="Times New Roman" w:cs="Times New Roman"/>
          <w:spacing w:val="-5"/>
          <w:sz w:val="24"/>
          <w:szCs w:val="24"/>
        </w:rPr>
      </w:pPr>
      <w:r>
        <w:rPr>
          <w:rFonts w:hint="eastAsia" w:asciiTheme="minorEastAsia" w:hAnsiTheme="minorEastAsia" w:eastAsiaTheme="minorEastAsia" w:cstheme="minorEastAsia"/>
          <w:b/>
          <w:bCs/>
          <w:spacing w:val="-2"/>
          <w:sz w:val="21"/>
          <w:szCs w:val="21"/>
        </w:rPr>
        <w:t>照片3-</w:t>
      </w:r>
      <w:r>
        <w:rPr>
          <w:rFonts w:hint="eastAsia" w:asciiTheme="minorEastAsia" w:hAnsiTheme="minorEastAsia" w:eastAsiaTheme="minorEastAsia" w:cstheme="minorEastAsia"/>
          <w:b/>
          <w:bCs/>
          <w:spacing w:val="-2"/>
          <w:sz w:val="21"/>
          <w:szCs w:val="21"/>
          <w:lang w:val="en-US" w:eastAsia="zh-CN"/>
        </w:rPr>
        <w:t xml:space="preserve">15 </w:t>
      </w:r>
      <w:r>
        <w:rPr>
          <w:rFonts w:hint="eastAsia" w:asciiTheme="minorEastAsia" w:hAnsiTheme="minorEastAsia" w:eastAsiaTheme="minorEastAsia" w:cstheme="minorEastAsia"/>
          <w:b/>
          <w:bCs/>
          <w:spacing w:val="-2"/>
          <w:sz w:val="21"/>
          <w:szCs w:val="21"/>
        </w:rPr>
        <w:t>FJ26工业场地</w:t>
      </w:r>
    </w:p>
    <w:p w14:paraId="0EA25B94">
      <w:pPr>
        <w:pStyle w:val="5"/>
        <w:numPr>
          <w:ilvl w:val="0"/>
          <w:numId w:val="3"/>
        </w:numPr>
        <w:spacing w:line="360" w:lineRule="auto"/>
        <w:ind w:left="480" w:leftChars="0" w:firstLine="0" w:firstLineChars="0"/>
        <w:jc w:val="left"/>
        <w:rPr>
          <w:rFonts w:hint="eastAsia" w:asciiTheme="minorEastAsia" w:hAnsiTheme="minorEastAsia" w:eastAsiaTheme="minorEastAsia" w:cstheme="minorEastAsia"/>
          <w:spacing w:val="-5"/>
          <w:sz w:val="24"/>
          <w:szCs w:val="24"/>
        </w:rPr>
      </w:pPr>
      <w:r>
        <w:rPr>
          <w:rFonts w:hint="eastAsia" w:asciiTheme="minorEastAsia" w:hAnsiTheme="minorEastAsia" w:eastAsiaTheme="minorEastAsia" w:cstheme="minorEastAsia"/>
          <w:spacing w:val="-5"/>
          <w:sz w:val="24"/>
          <w:szCs w:val="24"/>
        </w:rPr>
        <w:t>FJ</w:t>
      </w:r>
      <w:r>
        <w:rPr>
          <w:rFonts w:hint="eastAsia" w:asciiTheme="minorEastAsia" w:hAnsiTheme="minorEastAsia" w:eastAsiaTheme="minorEastAsia" w:cstheme="minorEastAsia"/>
          <w:spacing w:val="-5"/>
          <w:position w:val="-1"/>
          <w:sz w:val="24"/>
          <w:szCs w:val="24"/>
        </w:rPr>
        <w:t>大黄线</w:t>
      </w:r>
      <w:r>
        <w:rPr>
          <w:rFonts w:hint="eastAsia" w:asciiTheme="minorEastAsia" w:hAnsiTheme="minorEastAsia" w:eastAsiaTheme="minorEastAsia" w:cstheme="minorEastAsia"/>
          <w:spacing w:val="-5"/>
          <w:sz w:val="24"/>
          <w:szCs w:val="24"/>
        </w:rPr>
        <w:t>工业场地</w:t>
      </w:r>
    </w:p>
    <w:p w14:paraId="4D80EB5D">
      <w:pPr>
        <w:pStyle w:val="5"/>
        <w:numPr>
          <w:ilvl w:val="0"/>
          <w:numId w:val="0"/>
        </w:numPr>
        <w:spacing w:line="360" w:lineRule="auto"/>
        <w:ind w:firstLine="468" w:firstLineChars="200"/>
        <w:jc w:val="left"/>
        <w:rPr>
          <w:rFonts w:hint="eastAsia" w:asciiTheme="minorEastAsia" w:hAnsiTheme="minorEastAsia" w:eastAsiaTheme="minorEastAsia" w:cstheme="minorEastAsia"/>
          <w:spacing w:val="-7"/>
          <w:sz w:val="24"/>
          <w:szCs w:val="24"/>
        </w:rPr>
      </w:pPr>
      <w:r>
        <w:rPr>
          <w:rFonts w:hint="eastAsia" w:asciiTheme="minorEastAsia" w:hAnsiTheme="minorEastAsia" w:eastAsiaTheme="minorEastAsia" w:cstheme="minorEastAsia"/>
          <w:spacing w:val="-3"/>
          <w:sz w:val="24"/>
          <w:szCs w:val="24"/>
        </w:rPr>
        <w:t>位于FJ35工业场地西南75m处，工业场地内仅设风机口，占地面积16m</w:t>
      </w:r>
      <w:r>
        <w:rPr>
          <w:rFonts w:hint="eastAsia" w:asciiTheme="minorEastAsia" w:hAnsiTheme="minorEastAsia" w:eastAsiaTheme="minorEastAsia" w:cstheme="minorEastAsia"/>
          <w:spacing w:val="-6"/>
          <w:sz w:val="24"/>
          <w:szCs w:val="24"/>
          <w:vertAlign w:val="superscript"/>
          <w:lang w:val="en-US" w:eastAsia="zh-CN"/>
        </w:rPr>
        <w:t>2</w:t>
      </w:r>
      <w:r>
        <w:rPr>
          <w:rFonts w:hint="eastAsia" w:asciiTheme="minorEastAsia" w:hAnsiTheme="minorEastAsia" w:eastAsiaTheme="minorEastAsia" w:cstheme="minorEastAsia"/>
          <w:spacing w:val="-3"/>
          <w:sz w:val="24"/>
          <w:szCs w:val="24"/>
        </w:rPr>
        <w:t>。</w:t>
      </w:r>
      <w:r>
        <w:rPr>
          <w:rFonts w:hint="eastAsia" w:asciiTheme="minorEastAsia" w:hAnsiTheme="minorEastAsia" w:eastAsiaTheme="minorEastAsia" w:cstheme="minorEastAsia"/>
          <w:spacing w:val="3"/>
          <w:sz w:val="24"/>
          <w:szCs w:val="24"/>
        </w:rPr>
        <w:t>风井</w:t>
      </w:r>
      <w:r>
        <w:rPr>
          <w:rFonts w:hint="eastAsia" w:asciiTheme="minorEastAsia" w:hAnsiTheme="minorEastAsia" w:eastAsiaTheme="minorEastAsia" w:cstheme="minorEastAsia"/>
          <w:sz w:val="24"/>
          <w:szCs w:val="24"/>
        </w:rPr>
        <w:t>FJ</w:t>
      </w:r>
      <w:r>
        <w:rPr>
          <w:rFonts w:hint="eastAsia" w:asciiTheme="minorEastAsia" w:hAnsiTheme="minorEastAsia" w:eastAsiaTheme="minorEastAsia" w:cstheme="minorEastAsia"/>
          <w:spacing w:val="3"/>
          <w:sz w:val="24"/>
          <w:szCs w:val="24"/>
        </w:rPr>
        <w:t>35井口标高706m，井筒断面为矩形，净断面规格为3.0×1.5m，井深</w:t>
      </w:r>
      <w:r>
        <w:rPr>
          <w:rFonts w:hint="eastAsia" w:asciiTheme="minorEastAsia" w:hAnsiTheme="minorEastAsia" w:eastAsiaTheme="minorEastAsia" w:cstheme="minorEastAsia"/>
          <w:spacing w:val="1"/>
          <w:sz w:val="24"/>
          <w:szCs w:val="24"/>
        </w:rPr>
        <w:t>380m。场地北西侧存在土质切坡，长约10m，高3～5m，坡角70°～80°</w:t>
      </w:r>
      <w:r>
        <w:rPr>
          <w:rFonts w:hint="eastAsia" w:asciiTheme="minorEastAsia" w:hAnsiTheme="minorEastAsia" w:eastAsiaTheme="minorEastAsia" w:cstheme="minorEastAsia"/>
          <w:spacing w:val="1"/>
          <w:sz w:val="24"/>
          <w:szCs w:val="24"/>
          <w:lang w:eastAsia="zh-CN"/>
        </w:rPr>
        <w:t>。</w:t>
      </w:r>
      <w:r>
        <w:rPr>
          <w:rFonts w:hint="eastAsia" w:asciiTheme="minorEastAsia" w:hAnsiTheme="minorEastAsia" w:eastAsiaTheme="minorEastAsia" w:cstheme="minorEastAsia"/>
          <w:spacing w:val="-7"/>
          <w:sz w:val="24"/>
          <w:szCs w:val="24"/>
        </w:rPr>
        <w:t>见照片3-</w:t>
      </w:r>
      <w:r>
        <w:rPr>
          <w:rFonts w:hint="eastAsia" w:asciiTheme="minorEastAsia" w:hAnsiTheme="minorEastAsia" w:eastAsiaTheme="minorEastAsia" w:cstheme="minorEastAsia"/>
          <w:spacing w:val="-7"/>
          <w:sz w:val="24"/>
          <w:szCs w:val="24"/>
          <w:lang w:val="en-US" w:eastAsia="zh-CN"/>
        </w:rPr>
        <w:t>16</w:t>
      </w:r>
      <w:r>
        <w:rPr>
          <w:rFonts w:hint="eastAsia" w:asciiTheme="minorEastAsia" w:hAnsiTheme="minorEastAsia" w:eastAsiaTheme="minorEastAsia" w:cstheme="minorEastAsia"/>
          <w:spacing w:val="-7"/>
          <w:sz w:val="24"/>
          <w:szCs w:val="24"/>
        </w:rPr>
        <w:t>。</w:t>
      </w:r>
    </w:p>
    <w:p w14:paraId="79EC8E61">
      <w:pPr>
        <w:pStyle w:val="5"/>
        <w:keepNext w:val="0"/>
        <w:keepLines w:val="0"/>
        <w:pageBreakBefore w:val="0"/>
        <w:widowControl w:val="0"/>
        <w:kinsoku/>
        <w:wordWrap/>
        <w:overflowPunct/>
        <w:topLinePunct w:val="0"/>
        <w:autoSpaceDE/>
        <w:autoSpaceDN/>
        <w:bidi w:val="0"/>
        <w:adjustRightInd w:val="0"/>
        <w:snapToGrid w:val="0"/>
        <w:spacing w:before="166" w:line="240" w:lineRule="auto"/>
        <w:ind w:right="206" w:firstLine="480"/>
        <w:jc w:val="left"/>
        <w:textAlignment w:val="auto"/>
        <w:rPr>
          <w:spacing w:val="-7"/>
          <w:sz w:val="24"/>
          <w:szCs w:val="24"/>
          <w:lang w:val="en-US" w:eastAsia="zh-CN"/>
        </w:rPr>
      </w:pPr>
      <w:r>
        <w:rPr>
          <w:position w:val="-64"/>
        </w:rPr>
        <w:drawing>
          <wp:inline distT="0" distB="0" distL="0" distR="0">
            <wp:extent cx="4886960" cy="2049145"/>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6"/>
                    <a:stretch>
                      <a:fillRect/>
                    </a:stretch>
                  </pic:blipFill>
                  <pic:spPr>
                    <a:xfrm>
                      <a:off x="0" y="0"/>
                      <a:ext cx="4887276" cy="2049726"/>
                    </a:xfrm>
                    <a:prstGeom prst="rect">
                      <a:avLst/>
                    </a:prstGeom>
                  </pic:spPr>
                </pic:pic>
              </a:graphicData>
            </a:graphic>
          </wp:inline>
        </w:drawing>
      </w:r>
    </w:p>
    <w:p w14:paraId="3095B545">
      <w:pPr>
        <w:keepNext w:val="0"/>
        <w:keepLines w:val="0"/>
        <w:pageBreakBefore w:val="0"/>
        <w:widowControl w:val="0"/>
        <w:tabs>
          <w:tab w:val="left" w:pos="228"/>
        </w:tabs>
        <w:kinsoku/>
        <w:wordWrap/>
        <w:overflowPunct/>
        <w:topLinePunct w:val="0"/>
        <w:autoSpaceDE/>
        <w:autoSpaceDN/>
        <w:bidi w:val="0"/>
        <w:adjustRightInd w:val="0"/>
        <w:snapToGrid w:val="0"/>
        <w:spacing w:line="240" w:lineRule="auto"/>
        <w:ind w:firstLine="2689" w:firstLineChars="1300"/>
        <w:jc w:val="left"/>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b/>
          <w:bCs/>
          <w:spacing w:val="-2"/>
          <w:sz w:val="21"/>
          <w:szCs w:val="21"/>
        </w:rPr>
        <w:t>照片3-</w:t>
      </w:r>
      <w:r>
        <w:rPr>
          <w:rFonts w:hint="eastAsia" w:asciiTheme="minorEastAsia" w:hAnsiTheme="minorEastAsia" w:eastAsiaTheme="minorEastAsia" w:cstheme="minorEastAsia"/>
          <w:b/>
          <w:bCs/>
          <w:spacing w:val="-2"/>
          <w:sz w:val="21"/>
          <w:szCs w:val="21"/>
          <w:lang w:val="en-US" w:eastAsia="zh-CN"/>
        </w:rPr>
        <w:t xml:space="preserve">16 </w:t>
      </w:r>
      <w:r>
        <w:rPr>
          <w:rFonts w:hint="eastAsia" w:asciiTheme="minorEastAsia" w:hAnsiTheme="minorEastAsia" w:eastAsiaTheme="minorEastAsia" w:cstheme="minorEastAsia"/>
          <w:b/>
          <w:bCs/>
          <w:spacing w:val="-2"/>
          <w:sz w:val="21"/>
          <w:szCs w:val="21"/>
        </w:rPr>
        <w:t>FJ</w:t>
      </w:r>
      <w:r>
        <w:rPr>
          <w:rFonts w:hint="eastAsia" w:asciiTheme="minorEastAsia" w:hAnsiTheme="minorEastAsia" w:eastAsiaTheme="minorEastAsia" w:cstheme="minorEastAsia"/>
          <w:b/>
          <w:bCs/>
          <w:spacing w:val="-2"/>
          <w:position w:val="-1"/>
          <w:sz w:val="21"/>
          <w:szCs w:val="21"/>
        </w:rPr>
        <w:t>大黄线</w:t>
      </w:r>
      <w:r>
        <w:rPr>
          <w:rFonts w:hint="eastAsia" w:asciiTheme="minorEastAsia" w:hAnsiTheme="minorEastAsia" w:eastAsiaTheme="minorEastAsia" w:cstheme="minorEastAsia"/>
          <w:b/>
          <w:bCs/>
          <w:spacing w:val="-2"/>
          <w:sz w:val="21"/>
          <w:szCs w:val="21"/>
        </w:rPr>
        <w:t>工业场地</w:t>
      </w:r>
    </w:p>
    <w:p w14:paraId="4C545C02">
      <w:pPr>
        <w:pStyle w:val="5"/>
        <w:spacing w:before="176" w:line="360" w:lineRule="auto"/>
        <w:ind w:left="0" w:leftChars="0" w:firstLine="464"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9、办公生活区</w:t>
      </w:r>
    </w:p>
    <w:p w14:paraId="3856B30D">
      <w:pPr>
        <w:tabs>
          <w:tab w:val="left" w:pos="228"/>
        </w:tabs>
        <w:bidi w:val="0"/>
        <w:spacing w:line="360" w:lineRule="auto"/>
        <w:ind w:left="0" w:leftChars="0" w:firstLine="476" w:firstLineChars="200"/>
        <w:jc w:val="left"/>
        <w:rPr>
          <w:rFonts w:hint="eastAsia"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rPr>
        <w:t>位于SJ1工业场地西侧，场地面积75520m</w:t>
      </w:r>
      <w:r>
        <w:rPr>
          <w:rFonts w:hint="eastAsia" w:asciiTheme="minorEastAsia" w:hAnsiTheme="minorEastAsia" w:eastAsiaTheme="minorEastAsia" w:cstheme="minorEastAsia"/>
          <w:spacing w:val="-1"/>
          <w:sz w:val="24"/>
          <w:szCs w:val="24"/>
          <w:vertAlign w:val="superscript"/>
          <w:lang w:val="en-US" w:eastAsia="zh-CN"/>
        </w:rPr>
        <w:t>2</w:t>
      </w:r>
      <w:r>
        <w:rPr>
          <w:rFonts w:hint="eastAsia" w:asciiTheme="minorEastAsia" w:hAnsiTheme="minorEastAsia" w:eastAsiaTheme="minorEastAsia" w:cstheme="minorEastAsia"/>
          <w:spacing w:val="-2"/>
          <w:sz w:val="24"/>
          <w:szCs w:val="24"/>
        </w:rPr>
        <w:t>。场地地面已硬化，硬化厚度约</w:t>
      </w:r>
      <w:r>
        <w:rPr>
          <w:rFonts w:hint="eastAsia" w:asciiTheme="minorEastAsia" w:hAnsiTheme="minorEastAsia" w:eastAsiaTheme="minorEastAsia" w:cstheme="minorEastAsia"/>
          <w:spacing w:val="-1"/>
          <w:sz w:val="24"/>
          <w:szCs w:val="24"/>
        </w:rPr>
        <w:t>0.3m，硬化面积约15000m</w:t>
      </w:r>
      <w:r>
        <w:rPr>
          <w:rFonts w:hint="eastAsia" w:asciiTheme="minorEastAsia" w:hAnsiTheme="minorEastAsia" w:eastAsiaTheme="minorEastAsia" w:cstheme="minorEastAsia"/>
          <w:spacing w:val="-1"/>
          <w:sz w:val="24"/>
          <w:szCs w:val="24"/>
          <w:vertAlign w:val="superscript"/>
          <w:lang w:val="en-US" w:eastAsia="zh-CN"/>
        </w:rPr>
        <w:t>2</w:t>
      </w:r>
      <w:r>
        <w:rPr>
          <w:rFonts w:hint="eastAsia" w:asciiTheme="minorEastAsia" w:hAnsiTheme="minorEastAsia" w:eastAsiaTheme="minorEastAsia" w:cstheme="minorEastAsia"/>
          <w:spacing w:val="-1"/>
          <w:sz w:val="24"/>
          <w:szCs w:val="24"/>
        </w:rPr>
        <w:t>。场地内包</w:t>
      </w:r>
      <w:r>
        <w:rPr>
          <w:rFonts w:hint="eastAsia" w:asciiTheme="minorEastAsia" w:hAnsiTheme="minorEastAsia" w:eastAsiaTheme="minorEastAsia" w:cstheme="minorEastAsia"/>
          <w:spacing w:val="-2"/>
          <w:sz w:val="24"/>
          <w:szCs w:val="24"/>
        </w:rPr>
        <w:t>括办公楼、车队停放场、家属楼、活动中</w:t>
      </w:r>
      <w:r>
        <w:rPr>
          <w:rFonts w:hint="eastAsia" w:asciiTheme="minorEastAsia" w:hAnsiTheme="minorEastAsia" w:eastAsiaTheme="minorEastAsia" w:cstheme="minorEastAsia"/>
          <w:spacing w:val="3"/>
          <w:sz w:val="24"/>
          <w:szCs w:val="24"/>
        </w:rPr>
        <w:t>心等，为高层混凝土建筑物，建筑高度约3-5m</w:t>
      </w:r>
      <w:r>
        <w:rPr>
          <w:rFonts w:hint="eastAsia" w:asciiTheme="minorEastAsia" w:hAnsiTheme="minorEastAsia" w:eastAsiaTheme="minorEastAsia" w:cstheme="minorEastAsia"/>
          <w:spacing w:val="2"/>
          <w:sz w:val="24"/>
          <w:szCs w:val="24"/>
        </w:rPr>
        <w:t>,建筑占地面积约35000m</w:t>
      </w:r>
      <w:r>
        <w:rPr>
          <w:rFonts w:hint="eastAsia" w:asciiTheme="minorEastAsia" w:hAnsiTheme="minorEastAsia" w:eastAsiaTheme="minorEastAsia" w:cstheme="minorEastAsia"/>
          <w:spacing w:val="2"/>
          <w:sz w:val="24"/>
          <w:szCs w:val="24"/>
          <w:vertAlign w:val="superscript"/>
          <w:lang w:val="en-US" w:eastAsia="zh-CN"/>
        </w:rPr>
        <w:t>2</w:t>
      </w:r>
      <w:r>
        <w:rPr>
          <w:rFonts w:hint="eastAsia" w:asciiTheme="minorEastAsia" w:hAnsiTheme="minorEastAsia" w:eastAsiaTheme="minorEastAsia" w:cstheme="minorEastAsia"/>
          <w:spacing w:val="2"/>
          <w:sz w:val="24"/>
          <w:szCs w:val="24"/>
        </w:rPr>
        <w:t>。办公</w:t>
      </w:r>
      <w:r>
        <w:rPr>
          <w:rFonts w:hint="eastAsia" w:asciiTheme="minorEastAsia" w:hAnsiTheme="minorEastAsia" w:eastAsiaTheme="minorEastAsia" w:cstheme="minorEastAsia"/>
          <w:spacing w:val="1"/>
          <w:sz w:val="24"/>
          <w:szCs w:val="24"/>
        </w:rPr>
        <w:t>生活区周边已种植绿植，布置指示牌等设施，绿化面积约为12000m</w:t>
      </w:r>
      <w:r>
        <w:rPr>
          <w:rFonts w:hint="eastAsia" w:asciiTheme="minorEastAsia" w:hAnsiTheme="minorEastAsia" w:eastAsiaTheme="minorEastAsia" w:cstheme="minorEastAsia"/>
          <w:spacing w:val="1"/>
          <w:sz w:val="24"/>
          <w:szCs w:val="24"/>
          <w:vertAlign w:val="superscript"/>
          <w:lang w:val="en-US" w:eastAsia="zh-CN"/>
        </w:rPr>
        <w:t>2</w:t>
      </w:r>
      <w:r>
        <w:rPr>
          <w:rFonts w:hint="eastAsia" w:asciiTheme="minorEastAsia" w:hAnsiTheme="minorEastAsia" w:eastAsiaTheme="minorEastAsia" w:cstheme="minorEastAsia"/>
          <w:sz w:val="24"/>
          <w:szCs w:val="24"/>
        </w:rPr>
        <w:t>。办公生活</w:t>
      </w:r>
      <w:r>
        <w:rPr>
          <w:rFonts w:hint="eastAsia" w:asciiTheme="minorEastAsia" w:hAnsiTheme="minorEastAsia" w:eastAsiaTheme="minorEastAsia" w:cstheme="minorEastAsia"/>
          <w:spacing w:val="3"/>
          <w:sz w:val="24"/>
          <w:szCs w:val="24"/>
        </w:rPr>
        <w:t>区场地内地形平坦，不产生高陡边坡。</w:t>
      </w:r>
      <w:r>
        <w:rPr>
          <w:rFonts w:hint="eastAsia" w:asciiTheme="minorEastAsia" w:hAnsiTheme="minorEastAsia" w:eastAsiaTheme="minorEastAsia" w:cstheme="minorEastAsia"/>
          <w:spacing w:val="-1"/>
          <w:sz w:val="24"/>
          <w:szCs w:val="24"/>
        </w:rPr>
        <w:t>见照片3-1</w:t>
      </w:r>
      <w:r>
        <w:rPr>
          <w:rFonts w:hint="eastAsia" w:asciiTheme="minorEastAsia" w:hAnsiTheme="minorEastAsia" w:eastAsiaTheme="minorEastAsia" w:cstheme="minorEastAsia"/>
          <w:spacing w:val="-1"/>
          <w:sz w:val="24"/>
          <w:szCs w:val="24"/>
          <w:lang w:val="en-US" w:eastAsia="zh-CN"/>
        </w:rPr>
        <w:t>7</w:t>
      </w:r>
      <w:r>
        <w:rPr>
          <w:rFonts w:hint="eastAsia" w:asciiTheme="minorEastAsia" w:hAnsiTheme="minorEastAsia" w:eastAsiaTheme="minorEastAsia" w:cstheme="minorEastAsia"/>
          <w:spacing w:val="-1"/>
          <w:sz w:val="24"/>
          <w:szCs w:val="24"/>
        </w:rPr>
        <w:t>。</w:t>
      </w:r>
    </w:p>
    <w:p w14:paraId="7FF08A03">
      <w:pPr>
        <w:keepNext w:val="0"/>
        <w:keepLines w:val="0"/>
        <w:pageBreakBefore w:val="0"/>
        <w:widowControl w:val="0"/>
        <w:tabs>
          <w:tab w:val="left" w:pos="228"/>
        </w:tabs>
        <w:kinsoku/>
        <w:wordWrap/>
        <w:overflowPunct/>
        <w:topLinePunct w:val="0"/>
        <w:autoSpaceDE/>
        <w:autoSpaceDN/>
        <w:bidi w:val="0"/>
        <w:adjustRightInd w:val="0"/>
        <w:snapToGrid w:val="0"/>
        <w:spacing w:line="240" w:lineRule="auto"/>
        <w:ind w:left="0" w:leftChars="0" w:firstLine="480" w:firstLineChars="200"/>
        <w:jc w:val="center"/>
        <w:textAlignment w:val="auto"/>
        <w:rPr>
          <w:position w:val="-63"/>
        </w:rPr>
      </w:pPr>
      <w:r>
        <w:rPr>
          <w:position w:val="-63"/>
        </w:rPr>
        <w:drawing>
          <wp:inline distT="0" distB="0" distL="0" distR="0">
            <wp:extent cx="4772660" cy="2019935"/>
            <wp:effectExtent l="0" t="0" r="8890" b="18415"/>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7"/>
                    <a:stretch>
                      <a:fillRect/>
                    </a:stretch>
                  </pic:blipFill>
                  <pic:spPr>
                    <a:xfrm>
                      <a:off x="0" y="0"/>
                      <a:ext cx="4772673" cy="2020010"/>
                    </a:xfrm>
                    <a:prstGeom prst="rect">
                      <a:avLst/>
                    </a:prstGeom>
                  </pic:spPr>
                </pic:pic>
              </a:graphicData>
            </a:graphic>
          </wp:inline>
        </w:drawing>
      </w:r>
    </w:p>
    <w:p w14:paraId="11BF23EF">
      <w:pPr>
        <w:keepNext w:val="0"/>
        <w:keepLines w:val="0"/>
        <w:pageBreakBefore w:val="0"/>
        <w:widowControl w:val="0"/>
        <w:tabs>
          <w:tab w:val="left" w:pos="228"/>
        </w:tabs>
        <w:kinsoku/>
        <w:wordWrap/>
        <w:overflowPunct/>
        <w:topLinePunct w:val="0"/>
        <w:autoSpaceDE/>
        <w:autoSpaceDN/>
        <w:bidi w:val="0"/>
        <w:adjustRightInd w:val="0"/>
        <w:snapToGrid w:val="0"/>
        <w:spacing w:line="240" w:lineRule="auto"/>
        <w:ind w:left="0" w:leftChars="0" w:firstLine="410" w:firstLineChars="200"/>
        <w:jc w:val="center"/>
        <w:textAlignment w:val="auto"/>
        <w:rPr>
          <w:rFonts w:hint="eastAsia" w:asciiTheme="minorEastAsia" w:hAnsiTheme="minorEastAsia" w:eastAsiaTheme="minorEastAsia" w:cstheme="minorEastAsia"/>
          <w:b/>
          <w:bCs/>
          <w:spacing w:val="-3"/>
          <w:sz w:val="21"/>
          <w:szCs w:val="21"/>
        </w:rPr>
      </w:pPr>
      <w:r>
        <w:rPr>
          <w:rFonts w:hint="eastAsia" w:asciiTheme="minorEastAsia" w:hAnsiTheme="minorEastAsia" w:eastAsiaTheme="minorEastAsia" w:cstheme="minorEastAsia"/>
          <w:b/>
          <w:bCs/>
          <w:spacing w:val="-3"/>
          <w:sz w:val="21"/>
          <w:szCs w:val="21"/>
        </w:rPr>
        <w:t>照片3-1</w:t>
      </w:r>
      <w:r>
        <w:rPr>
          <w:rFonts w:hint="eastAsia" w:asciiTheme="minorEastAsia" w:hAnsiTheme="minorEastAsia" w:eastAsiaTheme="minorEastAsia" w:cstheme="minorEastAsia"/>
          <w:b/>
          <w:bCs/>
          <w:spacing w:val="-3"/>
          <w:sz w:val="21"/>
          <w:szCs w:val="21"/>
          <w:lang w:val="en-US" w:eastAsia="zh-CN"/>
        </w:rPr>
        <w:t>7</w:t>
      </w:r>
      <w:r>
        <w:rPr>
          <w:rFonts w:hint="eastAsia" w:asciiTheme="minorEastAsia" w:hAnsiTheme="minorEastAsia" w:eastAsiaTheme="minorEastAsia" w:cstheme="minorEastAsia"/>
          <w:b/>
          <w:bCs/>
          <w:spacing w:val="-3"/>
          <w:sz w:val="21"/>
          <w:szCs w:val="21"/>
        </w:rPr>
        <w:t>办公生活区</w:t>
      </w:r>
    </w:p>
    <w:p w14:paraId="3340D2FC">
      <w:pPr>
        <w:pStyle w:val="5"/>
        <w:spacing w:before="179"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5"/>
          <w:sz w:val="24"/>
          <w:szCs w:val="24"/>
        </w:rPr>
        <w:t>10、物资供应部</w:t>
      </w:r>
    </w:p>
    <w:p w14:paraId="33A7C618">
      <w:pPr>
        <w:tabs>
          <w:tab w:val="left" w:pos="228"/>
        </w:tabs>
        <w:bidi w:val="0"/>
        <w:spacing w:line="360" w:lineRule="auto"/>
        <w:ind w:left="0" w:leftChars="0" w:firstLine="536" w:firstLineChars="200"/>
        <w:jc w:val="left"/>
        <w:rPr>
          <w:rFonts w:hint="eastAsia" w:asciiTheme="minorEastAsia" w:hAnsiTheme="minorEastAsia" w:eastAsiaTheme="minorEastAsia" w:cstheme="minorEastAsia"/>
          <w:spacing w:val="-5"/>
          <w:sz w:val="24"/>
          <w:szCs w:val="24"/>
        </w:rPr>
      </w:pPr>
      <w:r>
        <w:rPr>
          <w:rFonts w:hint="eastAsia" w:asciiTheme="minorEastAsia" w:hAnsiTheme="minorEastAsia" w:eastAsiaTheme="minorEastAsia" w:cstheme="minorEastAsia"/>
          <w:spacing w:val="14"/>
          <w:sz w:val="24"/>
          <w:szCs w:val="24"/>
        </w:rPr>
        <w:t>位于</w:t>
      </w:r>
      <w:r>
        <w:rPr>
          <w:rFonts w:hint="eastAsia" w:asciiTheme="minorEastAsia" w:hAnsiTheme="minorEastAsia" w:eastAsiaTheme="minorEastAsia" w:cstheme="minorEastAsia"/>
          <w:sz w:val="24"/>
          <w:szCs w:val="24"/>
        </w:rPr>
        <w:t>SJ</w:t>
      </w:r>
      <w:r>
        <w:rPr>
          <w:rFonts w:hint="eastAsia" w:asciiTheme="minorEastAsia" w:hAnsiTheme="minorEastAsia" w:eastAsiaTheme="minorEastAsia" w:cstheme="minorEastAsia"/>
          <w:spacing w:val="14"/>
          <w:sz w:val="24"/>
          <w:szCs w:val="24"/>
        </w:rPr>
        <w:t>35工业场地南部约400m处，主要功能为物资供应，场地面积</w:t>
      </w:r>
      <w:r>
        <w:rPr>
          <w:rFonts w:hint="eastAsia" w:asciiTheme="minorEastAsia" w:hAnsiTheme="minorEastAsia" w:eastAsiaTheme="minorEastAsia" w:cstheme="minorEastAsia"/>
          <w:spacing w:val="1"/>
          <w:sz w:val="24"/>
          <w:szCs w:val="24"/>
        </w:rPr>
        <w:t>10160m</w:t>
      </w:r>
      <w:r>
        <w:rPr>
          <w:rFonts w:hint="eastAsia" w:asciiTheme="minorEastAsia" w:hAnsiTheme="minorEastAsia" w:eastAsiaTheme="minorEastAsia" w:cstheme="minorEastAsia"/>
          <w:spacing w:val="1"/>
          <w:sz w:val="24"/>
          <w:szCs w:val="24"/>
          <w:vertAlign w:val="superscript"/>
          <w:lang w:val="en-US" w:eastAsia="zh-CN"/>
        </w:rPr>
        <w:t>2</w:t>
      </w:r>
      <w:r>
        <w:rPr>
          <w:rFonts w:hint="eastAsia" w:asciiTheme="minorEastAsia" w:hAnsiTheme="minorEastAsia" w:eastAsiaTheme="minorEastAsia" w:cstheme="minorEastAsia"/>
          <w:spacing w:val="1"/>
          <w:sz w:val="24"/>
          <w:szCs w:val="24"/>
        </w:rPr>
        <w:t>。场地地面已硬化，硬化厚度约0.3m，硬化面积约25000m</w:t>
      </w:r>
      <w:r>
        <w:rPr>
          <w:rFonts w:hint="eastAsia" w:asciiTheme="minorEastAsia" w:hAnsiTheme="minorEastAsia" w:eastAsiaTheme="minorEastAsia" w:cstheme="minorEastAsia"/>
          <w:spacing w:val="1"/>
          <w:sz w:val="24"/>
          <w:szCs w:val="24"/>
          <w:vertAlign w:val="superscript"/>
          <w:lang w:val="en-US" w:eastAsia="zh-CN"/>
        </w:rPr>
        <w:t>2</w:t>
      </w:r>
      <w:r>
        <w:rPr>
          <w:rFonts w:hint="eastAsia" w:asciiTheme="minorEastAsia" w:hAnsiTheme="minorEastAsia" w:eastAsiaTheme="minorEastAsia" w:cstheme="minorEastAsia"/>
          <w:spacing w:val="1"/>
          <w:sz w:val="24"/>
          <w:szCs w:val="24"/>
        </w:rPr>
        <w:t>。场地</w:t>
      </w:r>
      <w:r>
        <w:rPr>
          <w:rFonts w:hint="eastAsia" w:asciiTheme="minorEastAsia" w:hAnsiTheme="minorEastAsia" w:eastAsiaTheme="minorEastAsia" w:cstheme="minorEastAsia"/>
          <w:sz w:val="24"/>
          <w:szCs w:val="24"/>
        </w:rPr>
        <w:t>内有</w:t>
      </w:r>
      <w:r>
        <w:rPr>
          <w:rFonts w:hint="eastAsia" w:asciiTheme="minorEastAsia" w:hAnsiTheme="minorEastAsia" w:eastAsiaTheme="minorEastAsia" w:cstheme="minorEastAsia"/>
          <w:spacing w:val="-1"/>
          <w:sz w:val="24"/>
          <w:szCs w:val="24"/>
        </w:rPr>
        <w:t>办公楼、车队停放场、物资存储处等，场地内建筑物平均高度5m</w:t>
      </w:r>
      <w:r>
        <w:rPr>
          <w:rFonts w:hint="eastAsia" w:asciiTheme="minorEastAsia" w:hAnsiTheme="minorEastAsia" w:eastAsiaTheme="minorEastAsia" w:cstheme="minorEastAsia"/>
          <w:spacing w:val="-2"/>
          <w:sz w:val="24"/>
          <w:szCs w:val="24"/>
        </w:rPr>
        <w:t>，属彩钢瓦活动板房和砖混结构建筑物，面积为6500m</w:t>
      </w:r>
      <w:r>
        <w:rPr>
          <w:rFonts w:hint="eastAsia" w:asciiTheme="minorEastAsia" w:hAnsiTheme="minorEastAsia" w:eastAsiaTheme="minorEastAsia" w:cstheme="minorEastAsia"/>
          <w:spacing w:val="-2"/>
          <w:sz w:val="24"/>
          <w:szCs w:val="24"/>
          <w:vertAlign w:val="superscript"/>
          <w:lang w:val="en-US" w:eastAsia="zh-CN"/>
        </w:rPr>
        <w:t>2</w:t>
      </w:r>
      <w:r>
        <w:rPr>
          <w:rFonts w:hint="eastAsia" w:asciiTheme="minorEastAsia" w:hAnsiTheme="minorEastAsia" w:eastAsiaTheme="minorEastAsia" w:cstheme="minorEastAsia"/>
          <w:spacing w:val="-2"/>
          <w:sz w:val="24"/>
          <w:szCs w:val="24"/>
        </w:rPr>
        <w:t>。场地西侧存在切坡，坡高约5m，坡</w:t>
      </w:r>
      <w:r>
        <w:rPr>
          <w:rFonts w:hint="eastAsia" w:asciiTheme="minorEastAsia" w:hAnsiTheme="minorEastAsia" w:eastAsiaTheme="minorEastAsia" w:cstheme="minorEastAsia"/>
          <w:spacing w:val="-3"/>
          <w:sz w:val="24"/>
          <w:szCs w:val="24"/>
        </w:rPr>
        <w:t>长约</w:t>
      </w:r>
      <w:r>
        <w:rPr>
          <w:rFonts w:hint="eastAsia" w:asciiTheme="minorEastAsia" w:hAnsiTheme="minorEastAsia" w:eastAsiaTheme="minorEastAsia" w:cstheme="minorEastAsia"/>
          <w:spacing w:val="4"/>
          <w:sz w:val="24"/>
          <w:szCs w:val="24"/>
        </w:rPr>
        <w:t>60m，近直立，已采取浆砌石护坡工程。</w:t>
      </w:r>
      <w:r>
        <w:rPr>
          <w:rFonts w:hint="eastAsia" w:asciiTheme="minorEastAsia" w:hAnsiTheme="minorEastAsia" w:eastAsiaTheme="minorEastAsia" w:cstheme="minorEastAsia"/>
          <w:spacing w:val="-5"/>
          <w:sz w:val="24"/>
          <w:szCs w:val="24"/>
        </w:rPr>
        <w:t>见照片3-1</w:t>
      </w:r>
      <w:r>
        <w:rPr>
          <w:rFonts w:hint="eastAsia" w:asciiTheme="minorEastAsia" w:hAnsiTheme="minorEastAsia" w:eastAsiaTheme="minorEastAsia" w:cstheme="minorEastAsia"/>
          <w:spacing w:val="-5"/>
          <w:sz w:val="24"/>
          <w:szCs w:val="24"/>
          <w:lang w:val="en-US" w:eastAsia="zh-CN"/>
        </w:rPr>
        <w:t>8</w:t>
      </w:r>
      <w:r>
        <w:rPr>
          <w:rFonts w:hint="eastAsia" w:asciiTheme="minorEastAsia" w:hAnsiTheme="minorEastAsia" w:eastAsiaTheme="minorEastAsia" w:cstheme="minorEastAsia"/>
          <w:spacing w:val="-5"/>
          <w:sz w:val="24"/>
          <w:szCs w:val="24"/>
        </w:rPr>
        <w:t>。</w:t>
      </w:r>
    </w:p>
    <w:p w14:paraId="28C7756A">
      <w:pPr>
        <w:keepNext w:val="0"/>
        <w:keepLines w:val="0"/>
        <w:pageBreakBefore w:val="0"/>
        <w:widowControl w:val="0"/>
        <w:tabs>
          <w:tab w:val="left" w:pos="228"/>
        </w:tabs>
        <w:kinsoku/>
        <w:wordWrap/>
        <w:overflowPunct/>
        <w:topLinePunct w:val="0"/>
        <w:autoSpaceDE/>
        <w:autoSpaceDN/>
        <w:bidi w:val="0"/>
        <w:adjustRightInd w:val="0"/>
        <w:snapToGrid w:val="0"/>
        <w:spacing w:line="240" w:lineRule="auto"/>
        <w:ind w:left="0" w:leftChars="0" w:firstLine="0" w:firstLineChars="0"/>
        <w:jc w:val="both"/>
        <w:textAlignment w:val="auto"/>
        <w:rPr>
          <w:position w:val="-57"/>
        </w:rPr>
      </w:pPr>
      <w:r>
        <w:rPr>
          <w:position w:val="-57"/>
        </w:rPr>
        <w:drawing>
          <wp:inline distT="0" distB="0" distL="0" distR="0">
            <wp:extent cx="5028565" cy="1828165"/>
            <wp:effectExtent l="0" t="0" r="635" b="635"/>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8"/>
                    <a:stretch>
                      <a:fillRect/>
                    </a:stretch>
                  </pic:blipFill>
                  <pic:spPr>
                    <a:xfrm>
                      <a:off x="0" y="0"/>
                      <a:ext cx="5029198" cy="1828799"/>
                    </a:xfrm>
                    <a:prstGeom prst="rect">
                      <a:avLst/>
                    </a:prstGeom>
                  </pic:spPr>
                </pic:pic>
              </a:graphicData>
            </a:graphic>
          </wp:inline>
        </w:drawing>
      </w:r>
    </w:p>
    <w:p w14:paraId="2937EC51">
      <w:pPr>
        <w:keepNext w:val="0"/>
        <w:keepLines w:val="0"/>
        <w:pageBreakBefore w:val="0"/>
        <w:widowControl w:val="0"/>
        <w:tabs>
          <w:tab w:val="left" w:pos="228"/>
        </w:tabs>
        <w:kinsoku/>
        <w:wordWrap/>
        <w:overflowPunct/>
        <w:topLinePunct w:val="0"/>
        <w:autoSpaceDE/>
        <w:autoSpaceDN/>
        <w:bidi w:val="0"/>
        <w:adjustRightInd w:val="0"/>
        <w:snapToGrid w:val="0"/>
        <w:spacing w:line="240" w:lineRule="auto"/>
        <w:ind w:left="0" w:leftChars="0" w:firstLine="3042" w:firstLineChars="1500"/>
        <w:jc w:val="both"/>
        <w:textAlignment w:val="auto"/>
        <w:rPr>
          <w:rFonts w:hint="eastAsia" w:asciiTheme="minorEastAsia" w:hAnsiTheme="minorEastAsia" w:eastAsiaTheme="minorEastAsia" w:cstheme="minorEastAsia"/>
          <w:b/>
          <w:bCs/>
          <w:spacing w:val="-4"/>
          <w:sz w:val="21"/>
          <w:szCs w:val="21"/>
        </w:rPr>
      </w:pPr>
      <w:r>
        <w:rPr>
          <w:rFonts w:hint="eastAsia" w:asciiTheme="minorEastAsia" w:hAnsiTheme="minorEastAsia" w:eastAsiaTheme="minorEastAsia" w:cstheme="minorEastAsia"/>
          <w:b/>
          <w:bCs/>
          <w:spacing w:val="-4"/>
          <w:sz w:val="21"/>
          <w:szCs w:val="21"/>
        </w:rPr>
        <w:t>照片3-1</w:t>
      </w:r>
      <w:r>
        <w:rPr>
          <w:rFonts w:hint="eastAsia" w:asciiTheme="minorEastAsia" w:hAnsiTheme="minorEastAsia" w:eastAsiaTheme="minorEastAsia" w:cstheme="minorEastAsia"/>
          <w:b/>
          <w:bCs/>
          <w:spacing w:val="-4"/>
          <w:sz w:val="21"/>
          <w:szCs w:val="21"/>
          <w:lang w:val="en-US" w:eastAsia="zh-CN"/>
        </w:rPr>
        <w:t>8</w:t>
      </w:r>
      <w:r>
        <w:rPr>
          <w:rFonts w:hint="eastAsia" w:asciiTheme="minorEastAsia" w:hAnsiTheme="minorEastAsia" w:eastAsiaTheme="minorEastAsia" w:cstheme="minorEastAsia"/>
          <w:b/>
          <w:bCs/>
          <w:spacing w:val="-4"/>
          <w:sz w:val="21"/>
          <w:szCs w:val="21"/>
        </w:rPr>
        <w:t>物资供应部</w:t>
      </w:r>
    </w:p>
    <w:p w14:paraId="36F4D91C">
      <w:pPr>
        <w:keepNext w:val="0"/>
        <w:keepLines w:val="0"/>
        <w:pageBreakBefore w:val="0"/>
        <w:widowControl w:val="0"/>
        <w:tabs>
          <w:tab w:val="left" w:pos="228"/>
        </w:tabs>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pacing w:val="-11"/>
          <w:sz w:val="24"/>
          <w:szCs w:val="24"/>
        </w:rPr>
      </w:pPr>
      <w:r>
        <w:rPr>
          <w:rFonts w:hint="eastAsia" w:asciiTheme="minorEastAsia" w:hAnsiTheme="minorEastAsia" w:eastAsiaTheme="minorEastAsia" w:cstheme="minorEastAsia"/>
          <w:spacing w:val="-11"/>
          <w:sz w:val="24"/>
          <w:szCs w:val="24"/>
        </w:rPr>
        <w:t>11、一选厂</w:t>
      </w:r>
    </w:p>
    <w:p w14:paraId="6380B63A">
      <w:pPr>
        <w:tabs>
          <w:tab w:val="left" w:pos="228"/>
        </w:tabs>
        <w:bidi w:val="0"/>
        <w:spacing w:line="360" w:lineRule="auto"/>
        <w:ind w:left="0" w:right="0" w:firstLine="476" w:firstLineChars="200"/>
        <w:jc w:val="left"/>
        <w:rPr>
          <w:rFonts w:hint="eastAsia" w:asciiTheme="minorEastAsia" w:hAnsiTheme="minorEastAsia" w:eastAsiaTheme="minorEastAsia" w:cstheme="minorEastAsia"/>
          <w:spacing w:val="-5"/>
          <w:sz w:val="24"/>
          <w:szCs w:val="24"/>
          <w:lang w:val="en-US" w:eastAsia="zh-CN"/>
        </w:rPr>
      </w:pPr>
      <w:r>
        <w:rPr>
          <w:rFonts w:hint="eastAsia" w:asciiTheme="minorEastAsia" w:hAnsiTheme="minorEastAsia" w:eastAsiaTheme="minorEastAsia" w:cstheme="minorEastAsia"/>
          <w:spacing w:val="-1"/>
          <w:sz w:val="24"/>
          <w:szCs w:val="24"/>
        </w:rPr>
        <w:t>位于矿区外北东约2.1km处，与矿区之间有县级公路相通，一选厂由破碎车</w:t>
      </w:r>
      <w:r>
        <w:rPr>
          <w:rFonts w:hint="eastAsia" w:asciiTheme="minorEastAsia" w:hAnsiTheme="minorEastAsia" w:eastAsiaTheme="minorEastAsia" w:cstheme="minorEastAsia"/>
          <w:spacing w:val="2"/>
          <w:sz w:val="24"/>
          <w:szCs w:val="24"/>
        </w:rPr>
        <w:t>间、洗矿及筛分车间、磨矿重选车间、混合浮选车间</w:t>
      </w:r>
      <w:r>
        <w:rPr>
          <w:rFonts w:hint="eastAsia" w:asciiTheme="minorEastAsia" w:hAnsiTheme="minorEastAsia" w:eastAsiaTheme="minorEastAsia" w:cstheme="minorEastAsia"/>
          <w:spacing w:val="1"/>
          <w:sz w:val="24"/>
          <w:szCs w:val="24"/>
        </w:rPr>
        <w:t>、浮选药剂制备及添加车间、</w:t>
      </w:r>
      <w:r>
        <w:rPr>
          <w:rFonts w:hint="eastAsia" w:asciiTheme="minorEastAsia" w:hAnsiTheme="minorEastAsia" w:eastAsiaTheme="minorEastAsia" w:cstheme="minorEastAsia"/>
          <w:spacing w:val="2"/>
          <w:sz w:val="24"/>
          <w:szCs w:val="24"/>
        </w:rPr>
        <w:t>精矿脱水过滤车间、精矿储存车间组成，占地面积78919m</w:t>
      </w:r>
      <w:r>
        <w:rPr>
          <w:rFonts w:hint="eastAsia" w:asciiTheme="minorEastAsia" w:hAnsiTheme="minorEastAsia" w:eastAsiaTheme="minorEastAsia" w:cstheme="minorEastAsia"/>
          <w:spacing w:val="2"/>
          <w:sz w:val="24"/>
          <w:szCs w:val="24"/>
          <w:vertAlign w:val="superscript"/>
          <w:lang w:val="en-US" w:eastAsia="zh-CN"/>
        </w:rPr>
        <w:t>2</w:t>
      </w:r>
      <w:r>
        <w:rPr>
          <w:rFonts w:hint="eastAsia" w:asciiTheme="minorEastAsia" w:hAnsiTheme="minorEastAsia" w:eastAsiaTheme="minorEastAsia" w:cstheme="minorEastAsia"/>
          <w:spacing w:val="1"/>
          <w:sz w:val="24"/>
          <w:szCs w:val="24"/>
        </w:rPr>
        <w:t>。场地地面已硬化，</w:t>
      </w:r>
      <w:r>
        <w:rPr>
          <w:rFonts w:hint="eastAsia" w:asciiTheme="minorEastAsia" w:hAnsiTheme="minorEastAsia" w:eastAsiaTheme="minorEastAsia" w:cstheme="minorEastAsia"/>
          <w:spacing w:val="-2"/>
          <w:sz w:val="24"/>
          <w:szCs w:val="24"/>
        </w:rPr>
        <w:t>硬化厚度约0.3m，硬化面积约15000m</w:t>
      </w:r>
      <w:r>
        <w:rPr>
          <w:rFonts w:hint="eastAsia" w:asciiTheme="minorEastAsia" w:hAnsiTheme="minorEastAsia" w:eastAsiaTheme="minorEastAsia" w:cstheme="minorEastAsia"/>
          <w:spacing w:val="-2"/>
          <w:sz w:val="24"/>
          <w:szCs w:val="24"/>
          <w:vertAlign w:val="superscript"/>
          <w:lang w:val="en-US" w:eastAsia="zh-CN"/>
        </w:rPr>
        <w:t>2</w:t>
      </w:r>
      <w:r>
        <w:rPr>
          <w:rFonts w:hint="eastAsia" w:asciiTheme="minorEastAsia" w:hAnsiTheme="minorEastAsia" w:eastAsiaTheme="minorEastAsia" w:cstheme="minorEastAsia"/>
          <w:spacing w:val="-2"/>
          <w:sz w:val="24"/>
          <w:szCs w:val="24"/>
        </w:rPr>
        <w:t>。各车间均由钢及混凝土结构组成，高约</w:t>
      </w:r>
      <w:r>
        <w:rPr>
          <w:rFonts w:hint="eastAsia" w:asciiTheme="minorEastAsia" w:hAnsiTheme="minorEastAsia" w:eastAsiaTheme="minorEastAsia" w:cstheme="minorEastAsia"/>
          <w:spacing w:val="-1"/>
          <w:sz w:val="24"/>
          <w:szCs w:val="24"/>
        </w:rPr>
        <w:t>5m至数十米不等，建筑物面积约为60000m</w:t>
      </w:r>
      <w:r>
        <w:rPr>
          <w:rFonts w:hint="eastAsia" w:asciiTheme="minorEastAsia" w:hAnsiTheme="minorEastAsia" w:eastAsiaTheme="minorEastAsia" w:cstheme="minorEastAsia"/>
          <w:spacing w:val="-1"/>
          <w:sz w:val="24"/>
          <w:szCs w:val="24"/>
          <w:vertAlign w:val="superscript"/>
          <w:lang w:val="en-US" w:eastAsia="zh-CN"/>
        </w:rPr>
        <w:t>2</w:t>
      </w:r>
      <w:r>
        <w:rPr>
          <w:rFonts w:hint="eastAsia" w:asciiTheme="minorEastAsia" w:hAnsiTheme="minorEastAsia" w:eastAsiaTheme="minorEastAsia" w:cstheme="minorEastAsia"/>
          <w:spacing w:val="-1"/>
          <w:sz w:val="24"/>
          <w:szCs w:val="24"/>
        </w:rPr>
        <w:t>。</w:t>
      </w:r>
      <w:r>
        <w:rPr>
          <w:rFonts w:hint="eastAsia" w:asciiTheme="minorEastAsia" w:hAnsiTheme="minorEastAsia" w:eastAsiaTheme="minorEastAsia" w:cstheme="minorEastAsia"/>
          <w:spacing w:val="-4"/>
          <w:sz w:val="24"/>
          <w:szCs w:val="24"/>
        </w:rPr>
        <w:t>见照片3-1</w:t>
      </w:r>
      <w:r>
        <w:rPr>
          <w:rFonts w:hint="eastAsia" w:asciiTheme="minorEastAsia" w:hAnsiTheme="minorEastAsia" w:eastAsiaTheme="minorEastAsia" w:cstheme="minorEastAsia"/>
          <w:spacing w:val="-4"/>
          <w:sz w:val="24"/>
          <w:szCs w:val="24"/>
          <w:lang w:val="en-US" w:eastAsia="zh-CN"/>
        </w:rPr>
        <w:t>9</w:t>
      </w:r>
      <w:r>
        <w:rPr>
          <w:rFonts w:hint="eastAsia" w:asciiTheme="minorEastAsia" w:hAnsiTheme="minorEastAsia" w:eastAsiaTheme="minorEastAsia" w:cstheme="minorEastAsia"/>
          <w:spacing w:val="-5"/>
          <w:sz w:val="24"/>
          <w:szCs w:val="24"/>
        </w:rPr>
        <w:t>。</w:t>
      </w:r>
    </w:p>
    <w:p w14:paraId="743BD21F">
      <w:pPr>
        <w:keepNext w:val="0"/>
        <w:keepLines w:val="0"/>
        <w:pageBreakBefore w:val="0"/>
        <w:widowControl w:val="0"/>
        <w:tabs>
          <w:tab w:val="left" w:pos="228"/>
        </w:tabs>
        <w:kinsoku/>
        <w:wordWrap/>
        <w:overflowPunct/>
        <w:topLinePunct w:val="0"/>
        <w:autoSpaceDE/>
        <w:autoSpaceDN/>
        <w:bidi w:val="0"/>
        <w:adjustRightInd w:val="0"/>
        <w:snapToGrid w:val="0"/>
        <w:spacing w:line="240" w:lineRule="auto"/>
        <w:ind w:left="0" w:leftChars="0" w:right="0" w:firstLine="0" w:firstLineChars="0"/>
        <w:jc w:val="center"/>
        <w:textAlignment w:val="auto"/>
        <w:rPr>
          <w:position w:val="-63"/>
        </w:rPr>
      </w:pPr>
      <w:r>
        <w:rPr>
          <w:position w:val="-63"/>
        </w:rPr>
        <w:drawing>
          <wp:inline distT="0" distB="0" distL="0" distR="0">
            <wp:extent cx="3016885" cy="2026920"/>
            <wp:effectExtent l="0" t="0" r="12065" b="1143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9"/>
                    <a:stretch>
                      <a:fillRect/>
                    </a:stretch>
                  </pic:blipFill>
                  <pic:spPr>
                    <a:xfrm>
                      <a:off x="0" y="0"/>
                      <a:ext cx="3017519" cy="2027554"/>
                    </a:xfrm>
                    <a:prstGeom prst="rect">
                      <a:avLst/>
                    </a:prstGeom>
                  </pic:spPr>
                </pic:pic>
              </a:graphicData>
            </a:graphic>
          </wp:inline>
        </w:drawing>
      </w:r>
    </w:p>
    <w:p w14:paraId="1AAEA6A6">
      <w:pPr>
        <w:keepNext w:val="0"/>
        <w:keepLines w:val="0"/>
        <w:pageBreakBefore w:val="0"/>
        <w:widowControl w:val="0"/>
        <w:tabs>
          <w:tab w:val="left" w:pos="228"/>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heme="minorEastAsia" w:hAnsiTheme="minorEastAsia" w:eastAsiaTheme="minorEastAsia" w:cstheme="minorEastAsia"/>
          <w:b/>
          <w:bCs/>
          <w:spacing w:val="-3"/>
          <w:sz w:val="21"/>
          <w:szCs w:val="21"/>
        </w:rPr>
      </w:pPr>
      <w:r>
        <w:rPr>
          <w:rFonts w:hint="eastAsia" w:asciiTheme="minorEastAsia" w:hAnsiTheme="minorEastAsia" w:eastAsiaTheme="minorEastAsia" w:cstheme="minorEastAsia"/>
          <w:b/>
          <w:bCs/>
          <w:spacing w:val="-3"/>
          <w:sz w:val="21"/>
          <w:szCs w:val="21"/>
        </w:rPr>
        <w:t>照片3-1</w:t>
      </w:r>
      <w:r>
        <w:rPr>
          <w:rFonts w:hint="eastAsia" w:asciiTheme="minorEastAsia" w:hAnsiTheme="minorEastAsia" w:eastAsiaTheme="minorEastAsia" w:cstheme="minorEastAsia"/>
          <w:b/>
          <w:bCs/>
          <w:spacing w:val="-3"/>
          <w:sz w:val="21"/>
          <w:szCs w:val="21"/>
          <w:lang w:val="en-US" w:eastAsia="zh-CN"/>
        </w:rPr>
        <w:t>9</w:t>
      </w:r>
      <w:r>
        <w:rPr>
          <w:rFonts w:hint="eastAsia" w:asciiTheme="minorEastAsia" w:hAnsiTheme="minorEastAsia" w:eastAsiaTheme="minorEastAsia" w:cstheme="minorEastAsia"/>
          <w:b/>
          <w:bCs/>
          <w:spacing w:val="-3"/>
          <w:sz w:val="21"/>
          <w:szCs w:val="21"/>
        </w:rPr>
        <w:t>一选厂</w:t>
      </w:r>
    </w:p>
    <w:p w14:paraId="14782D55">
      <w:pPr>
        <w:numPr>
          <w:ilvl w:val="0"/>
          <w:numId w:val="4"/>
        </w:numPr>
        <w:tabs>
          <w:tab w:val="left" w:pos="228"/>
        </w:tabs>
        <w:bidi w:val="0"/>
        <w:spacing w:line="360" w:lineRule="auto"/>
        <w:ind w:left="480" w:leftChars="0" w:firstLine="0" w:firstLineChars="0"/>
        <w:jc w:val="left"/>
        <w:rPr>
          <w:rFonts w:hint="eastAsia" w:asciiTheme="minorEastAsia" w:hAnsiTheme="minorEastAsia" w:eastAsiaTheme="minorEastAsia" w:cstheme="minorEastAsia"/>
          <w:spacing w:val="-7"/>
          <w:sz w:val="24"/>
          <w:szCs w:val="24"/>
        </w:rPr>
      </w:pPr>
      <w:r>
        <w:rPr>
          <w:rFonts w:hint="eastAsia" w:asciiTheme="minorEastAsia" w:hAnsiTheme="minorEastAsia" w:eastAsiaTheme="minorEastAsia" w:cstheme="minorEastAsia"/>
          <w:spacing w:val="-7"/>
          <w:sz w:val="24"/>
          <w:szCs w:val="24"/>
        </w:rPr>
        <w:t>尾矿库</w:t>
      </w:r>
    </w:p>
    <w:p w14:paraId="5732B4AF">
      <w:pPr>
        <w:numPr>
          <w:ilvl w:val="0"/>
          <w:numId w:val="0"/>
        </w:numPr>
        <w:tabs>
          <w:tab w:val="left" w:pos="228"/>
        </w:tabs>
        <w:bidi w:val="0"/>
        <w:spacing w:line="360" w:lineRule="auto"/>
        <w:ind w:right="0" w:firstLine="476"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位于矿区外北东2.2km处、一选厂西北侧自然沟内，占地面积244296m</w:t>
      </w:r>
      <w:r>
        <w:rPr>
          <w:rFonts w:hint="eastAsia" w:asciiTheme="minorEastAsia" w:hAnsiTheme="minorEastAsia" w:eastAsiaTheme="minorEastAsia" w:cstheme="minorEastAsia"/>
          <w:spacing w:val="-1"/>
          <w:sz w:val="24"/>
          <w:szCs w:val="24"/>
          <w:vertAlign w:val="superscript"/>
          <w:lang w:val="en-US" w:eastAsia="zh-CN"/>
        </w:rPr>
        <w:t>2</w:t>
      </w:r>
      <w:r>
        <w:rPr>
          <w:rFonts w:hint="eastAsia" w:asciiTheme="minorEastAsia" w:hAnsiTheme="minorEastAsia" w:eastAsiaTheme="minorEastAsia" w:cstheme="minorEastAsia"/>
          <w:spacing w:val="-1"/>
          <w:sz w:val="24"/>
          <w:szCs w:val="24"/>
        </w:rPr>
        <w:t>。尾</w:t>
      </w:r>
      <w:r>
        <w:rPr>
          <w:rFonts w:hint="eastAsia" w:asciiTheme="minorEastAsia" w:hAnsiTheme="minorEastAsia" w:eastAsiaTheme="minorEastAsia" w:cstheme="minorEastAsia"/>
          <w:spacing w:val="9"/>
          <w:sz w:val="24"/>
          <w:szCs w:val="24"/>
        </w:rPr>
        <w:t>矿库等级为四等库，采用湿式排放，尾矿库有效库容为504.92×10</w:t>
      </w:r>
      <w:r>
        <w:rPr>
          <w:rFonts w:hint="eastAsia" w:asciiTheme="minorEastAsia" w:hAnsiTheme="minorEastAsia" w:eastAsiaTheme="minorEastAsia" w:cstheme="minorEastAsia"/>
          <w:spacing w:val="11"/>
          <w:sz w:val="24"/>
          <w:szCs w:val="24"/>
          <w:vertAlign w:val="superscript"/>
          <w:lang w:val="en-US" w:eastAsia="zh-CN"/>
        </w:rPr>
        <w:t>4</w:t>
      </w:r>
      <w:r>
        <w:rPr>
          <w:rFonts w:hint="eastAsia" w:asciiTheme="minorEastAsia" w:hAnsiTheme="minorEastAsia" w:eastAsiaTheme="minorEastAsia" w:cstheme="minorEastAsia"/>
          <w:spacing w:val="9"/>
          <w:sz w:val="24"/>
          <w:szCs w:val="24"/>
        </w:rPr>
        <w:t>m</w:t>
      </w:r>
      <w:r>
        <w:rPr>
          <w:rFonts w:hint="eastAsia" w:asciiTheme="minorEastAsia" w:hAnsiTheme="minorEastAsia" w:eastAsiaTheme="minorEastAsia" w:cstheme="minorEastAsia"/>
          <w:spacing w:val="11"/>
          <w:sz w:val="24"/>
          <w:szCs w:val="24"/>
          <w:vertAlign w:val="superscript"/>
          <w:lang w:val="en-US" w:eastAsia="zh-CN"/>
        </w:rPr>
        <w:t>3</w:t>
      </w:r>
      <w:r>
        <w:rPr>
          <w:rFonts w:hint="eastAsia" w:asciiTheme="minorEastAsia" w:hAnsiTheme="minorEastAsia" w:eastAsiaTheme="minorEastAsia" w:cstheme="minorEastAsia"/>
          <w:spacing w:val="9"/>
          <w:sz w:val="24"/>
          <w:szCs w:val="24"/>
        </w:rPr>
        <w:t>，</w:t>
      </w:r>
      <w:r>
        <w:rPr>
          <w:rFonts w:hint="eastAsia" w:asciiTheme="minorEastAsia" w:hAnsiTheme="minorEastAsia" w:eastAsiaTheme="minorEastAsia" w:cstheme="minorEastAsia"/>
          <w:spacing w:val="8"/>
          <w:sz w:val="24"/>
          <w:szCs w:val="24"/>
        </w:rPr>
        <w:t>可为</w:t>
      </w:r>
      <w:r>
        <w:rPr>
          <w:rFonts w:hint="eastAsia" w:asciiTheme="minorEastAsia" w:hAnsiTheme="minorEastAsia" w:eastAsiaTheme="minorEastAsia" w:cstheme="minorEastAsia"/>
          <w:spacing w:val="-4"/>
          <w:sz w:val="24"/>
          <w:szCs w:val="24"/>
        </w:rPr>
        <w:t>900t/d选厂服务10年。库内实际堆存尾砂量约为180万m</w:t>
      </w:r>
      <w:r>
        <w:rPr>
          <w:rFonts w:hint="eastAsia" w:asciiTheme="minorEastAsia" w:hAnsiTheme="minorEastAsia" w:eastAsiaTheme="minorEastAsia" w:cstheme="minorEastAsia"/>
          <w:spacing w:val="-6"/>
          <w:sz w:val="24"/>
          <w:szCs w:val="24"/>
          <w:vertAlign w:val="superscript"/>
          <w:lang w:val="en-US" w:eastAsia="zh-CN"/>
        </w:rPr>
        <w:t>3</w:t>
      </w:r>
      <w:r>
        <w:rPr>
          <w:rFonts w:hint="eastAsia" w:asciiTheme="minorEastAsia" w:hAnsiTheme="minorEastAsia" w:eastAsiaTheme="minorEastAsia" w:cstheme="minorEastAsia"/>
          <w:spacing w:val="-4"/>
          <w:sz w:val="24"/>
          <w:szCs w:val="24"/>
        </w:rPr>
        <w:t>。尾矿初期坝坝顶标高</w:t>
      </w:r>
      <w:r>
        <w:rPr>
          <w:rFonts w:hint="eastAsia" w:asciiTheme="minorEastAsia" w:hAnsiTheme="minorEastAsia" w:eastAsiaTheme="minorEastAsia" w:cstheme="minorEastAsia"/>
          <w:spacing w:val="-3"/>
          <w:sz w:val="24"/>
          <w:szCs w:val="24"/>
        </w:rPr>
        <w:t>为745.00m，坝高15m，坝长252.0m，顶宽3.5m，内</w:t>
      </w:r>
      <w:r>
        <w:rPr>
          <w:rFonts w:hint="eastAsia" w:asciiTheme="minorEastAsia" w:hAnsiTheme="minorEastAsia" w:eastAsiaTheme="minorEastAsia" w:cstheme="minorEastAsia"/>
          <w:spacing w:val="-4"/>
          <w:sz w:val="24"/>
          <w:szCs w:val="24"/>
        </w:rPr>
        <w:t>外坡比分别为1:2.0、1:2.5。</w:t>
      </w:r>
      <w:r>
        <w:rPr>
          <w:rFonts w:hint="eastAsia" w:asciiTheme="minorEastAsia" w:hAnsiTheme="minorEastAsia" w:eastAsiaTheme="minorEastAsia" w:cstheme="minorEastAsia"/>
          <w:spacing w:val="-2"/>
          <w:sz w:val="24"/>
          <w:szCs w:val="24"/>
        </w:rPr>
        <w:t>尾矿库已堆积三级子坝，坝顶标高分别为751、754、758m，平均堆积坡</w:t>
      </w:r>
      <w:r>
        <w:rPr>
          <w:rFonts w:hint="eastAsia" w:asciiTheme="minorEastAsia" w:hAnsiTheme="minorEastAsia" w:eastAsiaTheme="minorEastAsia" w:cstheme="minorEastAsia"/>
          <w:spacing w:val="-3"/>
          <w:sz w:val="24"/>
          <w:szCs w:val="24"/>
        </w:rPr>
        <w:t>比1:2.1。</w:t>
      </w:r>
      <w:r>
        <w:rPr>
          <w:rFonts w:hint="eastAsia" w:asciiTheme="minorEastAsia" w:hAnsiTheme="minorEastAsia" w:eastAsiaTheme="minorEastAsia" w:cstheme="minorEastAsia"/>
          <w:sz w:val="24"/>
          <w:szCs w:val="24"/>
        </w:rPr>
        <w:t>现阶段堆积坝坝顶标高为762m，758m平台之上堆积两个平台，分别为760m、</w:t>
      </w:r>
      <w:r>
        <w:rPr>
          <w:rFonts w:hint="eastAsia" w:asciiTheme="minorEastAsia" w:hAnsiTheme="minorEastAsia" w:eastAsiaTheme="minorEastAsia" w:cstheme="minorEastAsia"/>
          <w:spacing w:val="-4"/>
          <w:sz w:val="24"/>
          <w:szCs w:val="24"/>
        </w:rPr>
        <w:t>762m。758m、760m、762m平台</w:t>
      </w:r>
      <w:r>
        <w:rPr>
          <w:rFonts w:hint="eastAsia" w:asciiTheme="minorEastAsia" w:hAnsiTheme="minorEastAsia" w:eastAsiaTheme="minorEastAsia" w:cstheme="minorEastAsia"/>
          <w:spacing w:val="-5"/>
          <w:sz w:val="24"/>
          <w:szCs w:val="24"/>
        </w:rPr>
        <w:t>宽度分别为9.7m、8m、8m，平均堆积坡比1:4.0。</w:t>
      </w:r>
    </w:p>
    <w:p w14:paraId="7C05232E">
      <w:pPr>
        <w:pStyle w:val="5"/>
        <w:spacing w:line="360" w:lineRule="auto"/>
        <w:ind w:right="0" w:firstLine="492" w:firstLineChars="200"/>
        <w:jc w:val="left"/>
        <w:rPr>
          <w:rFonts w:hint="eastAsia" w:asciiTheme="minorEastAsia" w:hAnsiTheme="minorEastAsia" w:eastAsiaTheme="minorEastAsia" w:cstheme="minorEastAsia"/>
          <w:spacing w:val="-6"/>
          <w:sz w:val="24"/>
          <w:szCs w:val="24"/>
        </w:rPr>
      </w:pPr>
      <w:r>
        <w:rPr>
          <w:rFonts w:hint="eastAsia" w:asciiTheme="minorEastAsia" w:hAnsiTheme="minorEastAsia" w:eastAsiaTheme="minorEastAsia" w:cstheme="minorEastAsia"/>
          <w:spacing w:val="3"/>
          <w:sz w:val="24"/>
          <w:szCs w:val="24"/>
        </w:rPr>
        <w:t>初期坝内坡整体设碎石排渗层，排渗层内设渗水管。堆积坝堆筑过程中，沿</w:t>
      </w:r>
      <w:r>
        <w:rPr>
          <w:rFonts w:hint="eastAsia" w:asciiTheme="minorEastAsia" w:hAnsiTheme="minorEastAsia" w:eastAsiaTheme="minorEastAsia" w:cstheme="minorEastAsia"/>
          <w:spacing w:val="-2"/>
          <w:sz w:val="24"/>
          <w:szCs w:val="24"/>
        </w:rPr>
        <w:t>高度每隔8m设排渗管网一层。排渗管网垂直坝体轴线布置，每隔</w:t>
      </w:r>
      <w:r>
        <w:rPr>
          <w:rFonts w:hint="eastAsia" w:asciiTheme="minorEastAsia" w:hAnsiTheme="minorEastAsia" w:eastAsiaTheme="minorEastAsia" w:cstheme="minorEastAsia"/>
          <w:spacing w:val="-3"/>
          <w:sz w:val="24"/>
          <w:szCs w:val="24"/>
        </w:rPr>
        <w:t>15m设一条，</w:t>
      </w:r>
      <w:r>
        <w:rPr>
          <w:rFonts w:hint="eastAsia" w:asciiTheme="minorEastAsia" w:hAnsiTheme="minorEastAsia" w:eastAsiaTheme="minorEastAsia" w:cstheme="minorEastAsia"/>
          <w:spacing w:val="-1"/>
          <w:sz w:val="24"/>
          <w:szCs w:val="24"/>
        </w:rPr>
        <w:t>伸入库内70m。库区排洪设施采用排水井～排水管形式，均为钢筋混凝土结构。</w:t>
      </w:r>
      <w:r>
        <w:rPr>
          <w:rFonts w:hint="eastAsia" w:asciiTheme="minorEastAsia" w:hAnsiTheme="minorEastAsia" w:eastAsiaTheme="minorEastAsia" w:cstheme="minorEastAsia"/>
          <w:spacing w:val="3"/>
          <w:sz w:val="24"/>
          <w:szCs w:val="24"/>
        </w:rPr>
        <w:t>在尾矿库的下游设有回水沉淀池，及事故池，池旁堆有应急土</w:t>
      </w:r>
      <w:r>
        <w:rPr>
          <w:rFonts w:hint="eastAsia" w:asciiTheme="minorEastAsia" w:hAnsiTheme="minorEastAsia" w:eastAsiaTheme="minorEastAsia" w:cstheme="minorEastAsia"/>
          <w:spacing w:val="2"/>
          <w:sz w:val="24"/>
          <w:szCs w:val="24"/>
        </w:rPr>
        <w:t>堆，用做渗滤水集</w:t>
      </w:r>
      <w:r>
        <w:rPr>
          <w:rFonts w:hint="eastAsia" w:asciiTheme="minorEastAsia" w:hAnsiTheme="minorEastAsia" w:eastAsiaTheme="minorEastAsia" w:cstheme="minorEastAsia"/>
          <w:spacing w:val="3"/>
          <w:sz w:val="24"/>
          <w:szCs w:val="24"/>
        </w:rPr>
        <w:t>中收集及事故排放时使用。</w:t>
      </w:r>
      <w:r>
        <w:rPr>
          <w:rFonts w:hint="eastAsia" w:asciiTheme="minorEastAsia" w:hAnsiTheme="minorEastAsia" w:eastAsiaTheme="minorEastAsia" w:cstheme="minorEastAsia"/>
          <w:spacing w:val="-6"/>
          <w:sz w:val="24"/>
          <w:szCs w:val="24"/>
        </w:rPr>
        <w:t>见照片3-</w:t>
      </w:r>
      <w:r>
        <w:rPr>
          <w:rFonts w:hint="eastAsia" w:asciiTheme="minorEastAsia" w:hAnsiTheme="minorEastAsia" w:eastAsiaTheme="minorEastAsia" w:cstheme="minorEastAsia"/>
          <w:spacing w:val="-6"/>
          <w:sz w:val="24"/>
          <w:szCs w:val="24"/>
          <w:lang w:val="en-US" w:eastAsia="zh-CN"/>
        </w:rPr>
        <w:t>20</w:t>
      </w:r>
      <w:r>
        <w:rPr>
          <w:rFonts w:hint="eastAsia" w:asciiTheme="minorEastAsia" w:hAnsiTheme="minorEastAsia" w:eastAsiaTheme="minorEastAsia" w:cstheme="minorEastAsia"/>
          <w:spacing w:val="-6"/>
          <w:sz w:val="24"/>
          <w:szCs w:val="24"/>
        </w:rPr>
        <w:t>。</w:t>
      </w:r>
    </w:p>
    <w:p w14:paraId="4655E1F1">
      <w:pPr>
        <w:pStyle w:val="5"/>
        <w:keepNext w:val="0"/>
        <w:keepLines w:val="0"/>
        <w:pageBreakBefore w:val="0"/>
        <w:widowControl w:val="0"/>
        <w:kinsoku/>
        <w:wordWrap/>
        <w:overflowPunct/>
        <w:topLinePunct w:val="0"/>
        <w:autoSpaceDE/>
        <w:autoSpaceDN/>
        <w:bidi w:val="0"/>
        <w:adjustRightInd w:val="0"/>
        <w:snapToGrid w:val="0"/>
        <w:spacing w:line="240" w:lineRule="auto"/>
        <w:ind w:right="0" w:firstLine="400" w:firstLineChars="200"/>
        <w:jc w:val="center"/>
        <w:textAlignment w:val="auto"/>
        <w:rPr>
          <w:spacing w:val="-6"/>
          <w:sz w:val="24"/>
          <w:szCs w:val="24"/>
        </w:rPr>
      </w:pPr>
      <w:r>
        <w:rPr>
          <w:position w:val="-69"/>
        </w:rPr>
        <w:drawing>
          <wp:inline distT="0" distB="0" distL="0" distR="0">
            <wp:extent cx="3855720" cy="2203450"/>
            <wp:effectExtent l="0" t="0" r="11430" b="635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20"/>
                    <a:stretch>
                      <a:fillRect/>
                    </a:stretch>
                  </pic:blipFill>
                  <pic:spPr>
                    <a:xfrm>
                      <a:off x="0" y="0"/>
                      <a:ext cx="3856342" cy="2204082"/>
                    </a:xfrm>
                    <a:prstGeom prst="rect">
                      <a:avLst/>
                    </a:prstGeom>
                  </pic:spPr>
                </pic:pic>
              </a:graphicData>
            </a:graphic>
          </wp:inline>
        </w:drawing>
      </w:r>
    </w:p>
    <w:p w14:paraId="523164EE">
      <w:pPr>
        <w:pStyle w:val="5"/>
        <w:keepNext w:val="0"/>
        <w:keepLines w:val="0"/>
        <w:pageBreakBefore w:val="0"/>
        <w:widowControl w:val="0"/>
        <w:kinsoku/>
        <w:wordWrap/>
        <w:overflowPunct/>
        <w:topLinePunct w:val="0"/>
        <w:autoSpaceDE/>
        <w:autoSpaceDN/>
        <w:bidi w:val="0"/>
        <w:adjustRightInd w:val="0"/>
        <w:snapToGrid w:val="0"/>
        <w:spacing w:before="173" w:line="240" w:lineRule="auto"/>
        <w:ind w:firstLine="3277" w:firstLineChars="1600"/>
        <w:textAlignment w:val="auto"/>
        <w:rPr>
          <w:rFonts w:hint="eastAsia" w:asciiTheme="minorEastAsia" w:hAnsiTheme="minorEastAsia" w:eastAsiaTheme="minorEastAsia" w:cstheme="minorEastAsia"/>
          <w:spacing w:val="-7"/>
          <w:sz w:val="24"/>
          <w:szCs w:val="24"/>
        </w:rPr>
      </w:pPr>
      <w:r>
        <w:rPr>
          <w:rFonts w:hint="eastAsia" w:asciiTheme="minorEastAsia" w:hAnsiTheme="minorEastAsia" w:eastAsiaTheme="minorEastAsia" w:cstheme="minorEastAsia"/>
          <w:b/>
          <w:bCs/>
          <w:spacing w:val="-3"/>
          <w:sz w:val="21"/>
          <w:szCs w:val="21"/>
        </w:rPr>
        <w:t>照片3-</w:t>
      </w:r>
      <w:r>
        <w:rPr>
          <w:rFonts w:hint="eastAsia" w:asciiTheme="minorEastAsia" w:hAnsiTheme="minorEastAsia" w:eastAsiaTheme="minorEastAsia" w:cstheme="minorEastAsia"/>
          <w:b/>
          <w:bCs/>
          <w:spacing w:val="-3"/>
          <w:sz w:val="21"/>
          <w:szCs w:val="21"/>
          <w:lang w:val="en-US" w:eastAsia="zh-CN"/>
        </w:rPr>
        <w:t>20</w:t>
      </w:r>
      <w:r>
        <w:rPr>
          <w:rFonts w:hint="eastAsia" w:asciiTheme="minorEastAsia" w:hAnsiTheme="minorEastAsia" w:eastAsiaTheme="minorEastAsia" w:cstheme="minorEastAsia"/>
          <w:b/>
          <w:bCs/>
          <w:spacing w:val="-3"/>
          <w:sz w:val="21"/>
          <w:szCs w:val="21"/>
        </w:rPr>
        <w:t>尾矿库</w:t>
      </w:r>
    </w:p>
    <w:p w14:paraId="43FADE30">
      <w:pPr>
        <w:pStyle w:val="5"/>
        <w:spacing w:before="181" w:line="22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13、炸药库</w:t>
      </w:r>
    </w:p>
    <w:p w14:paraId="550ED97A">
      <w:pPr>
        <w:pStyle w:val="5"/>
        <w:tabs>
          <w:tab w:val="left" w:pos="8702"/>
        </w:tabs>
        <w:spacing w:before="46" w:line="351" w:lineRule="auto"/>
        <w:ind w:left="0" w:leftChars="0"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位于尾矿库北侧300m处，顺坡而建，占地面积10482m</w:t>
      </w:r>
      <w:r>
        <w:rPr>
          <w:rFonts w:hint="eastAsia" w:asciiTheme="minorEastAsia" w:hAnsiTheme="minorEastAsia" w:eastAsiaTheme="minorEastAsia" w:cstheme="minorEastAsia"/>
          <w:sz w:val="24"/>
          <w:szCs w:val="24"/>
          <w:vertAlign w:val="superscript"/>
          <w:lang w:val="en-US" w:eastAsia="zh-CN"/>
        </w:rPr>
        <w:t>2</w:t>
      </w:r>
      <w:r>
        <w:rPr>
          <w:rFonts w:hint="eastAsia" w:asciiTheme="minorEastAsia" w:hAnsiTheme="minorEastAsia" w:eastAsiaTheme="minorEastAsia" w:cstheme="minorEastAsia"/>
          <w:sz w:val="24"/>
          <w:szCs w:val="24"/>
        </w:rPr>
        <w:t>。由炸药库、雷管</w:t>
      </w:r>
      <w:r>
        <w:rPr>
          <w:rFonts w:hint="eastAsia" w:asciiTheme="minorEastAsia" w:hAnsiTheme="minorEastAsia" w:eastAsiaTheme="minorEastAsia" w:cstheme="minorEastAsia"/>
          <w:spacing w:val="4"/>
          <w:sz w:val="24"/>
          <w:szCs w:val="24"/>
        </w:rPr>
        <w:t>库和警卫室组成，场地地面未硬化，为小型混凝土建筑物，</w:t>
      </w:r>
      <w:r>
        <w:rPr>
          <w:rFonts w:hint="eastAsia" w:asciiTheme="minorEastAsia" w:hAnsiTheme="minorEastAsia" w:eastAsiaTheme="minorEastAsia" w:cstheme="minorEastAsia"/>
          <w:spacing w:val="3"/>
          <w:sz w:val="24"/>
          <w:szCs w:val="24"/>
        </w:rPr>
        <w:t>高约5m，建筑面积</w:t>
      </w:r>
      <w:r>
        <w:rPr>
          <w:rFonts w:hint="eastAsia" w:asciiTheme="minorEastAsia" w:hAnsiTheme="minorEastAsia" w:eastAsiaTheme="minorEastAsia" w:cstheme="minorEastAsia"/>
          <w:spacing w:val="-4"/>
          <w:sz w:val="24"/>
          <w:szCs w:val="24"/>
        </w:rPr>
        <w:t>为3900m</w:t>
      </w:r>
      <w:r>
        <w:rPr>
          <w:rFonts w:hint="eastAsia" w:asciiTheme="minorEastAsia" w:hAnsiTheme="minorEastAsia" w:eastAsiaTheme="minorEastAsia" w:cstheme="minorEastAsia"/>
          <w:spacing w:val="-6"/>
          <w:sz w:val="24"/>
          <w:szCs w:val="24"/>
          <w:vertAlign w:val="superscript"/>
          <w:lang w:val="en-US" w:eastAsia="zh-CN"/>
        </w:rPr>
        <w:t>2</w:t>
      </w:r>
      <w:r>
        <w:rPr>
          <w:rFonts w:hint="eastAsia" w:asciiTheme="minorEastAsia" w:hAnsiTheme="minorEastAsia" w:eastAsiaTheme="minorEastAsia" w:cstheme="minorEastAsia"/>
          <w:spacing w:val="-4"/>
          <w:sz w:val="24"/>
          <w:szCs w:val="24"/>
        </w:rPr>
        <w:t>。场地内顺坡设有4座防爆土堤，土堤底宽5m，顶宽2m，长10m，高</w:t>
      </w:r>
      <w:r>
        <w:rPr>
          <w:rFonts w:hint="eastAsia" w:asciiTheme="minorEastAsia" w:hAnsiTheme="minorEastAsia" w:eastAsiaTheme="minorEastAsia" w:cstheme="minorEastAsia"/>
          <w:spacing w:val="-1"/>
          <w:sz w:val="24"/>
          <w:szCs w:val="24"/>
        </w:rPr>
        <w:t>约3.5m。场地范围内不存在危险边坡</w:t>
      </w:r>
      <w:r>
        <w:rPr>
          <w:rFonts w:hint="eastAsia" w:asciiTheme="minorEastAsia" w:hAnsiTheme="minorEastAsia" w:eastAsiaTheme="minorEastAsia" w:cstheme="minorEastAsia"/>
          <w:spacing w:val="-1"/>
          <w:sz w:val="24"/>
          <w:szCs w:val="24"/>
          <w:lang w:eastAsia="zh-CN"/>
        </w:rPr>
        <w:t>。</w:t>
      </w:r>
      <w:r>
        <w:rPr>
          <w:rFonts w:hint="eastAsia" w:asciiTheme="minorEastAsia" w:hAnsiTheme="minorEastAsia" w:eastAsiaTheme="minorEastAsia" w:cstheme="minorEastAsia"/>
          <w:spacing w:val="-1"/>
          <w:sz w:val="24"/>
          <w:szCs w:val="24"/>
        </w:rPr>
        <w:t>见照片3-</w:t>
      </w:r>
      <w:r>
        <w:rPr>
          <w:rFonts w:hint="eastAsia" w:asciiTheme="minorEastAsia" w:hAnsiTheme="minorEastAsia" w:eastAsiaTheme="minorEastAsia" w:cstheme="minorEastAsia"/>
          <w:spacing w:val="-1"/>
          <w:sz w:val="24"/>
          <w:szCs w:val="24"/>
          <w:lang w:val="en-US" w:eastAsia="zh-CN"/>
        </w:rPr>
        <w:t>21</w:t>
      </w:r>
      <w:r>
        <w:rPr>
          <w:rFonts w:hint="eastAsia" w:asciiTheme="minorEastAsia" w:hAnsiTheme="minorEastAsia" w:eastAsiaTheme="minorEastAsia" w:cstheme="minorEastAsia"/>
          <w:spacing w:val="-1"/>
          <w:sz w:val="24"/>
          <w:szCs w:val="24"/>
        </w:rPr>
        <w:t>。</w:t>
      </w:r>
    </w:p>
    <w:p w14:paraId="3B468927">
      <w:pPr>
        <w:pStyle w:val="5"/>
        <w:keepNext w:val="0"/>
        <w:keepLines w:val="0"/>
        <w:pageBreakBefore w:val="0"/>
        <w:widowControl w:val="0"/>
        <w:kinsoku/>
        <w:wordWrap/>
        <w:overflowPunct/>
        <w:topLinePunct w:val="0"/>
        <w:autoSpaceDE/>
        <w:autoSpaceDN/>
        <w:bidi w:val="0"/>
        <w:adjustRightInd w:val="0"/>
        <w:snapToGrid w:val="0"/>
        <w:spacing w:before="168" w:line="240" w:lineRule="auto"/>
        <w:ind w:left="480"/>
        <w:jc w:val="both"/>
        <w:textAlignment w:val="auto"/>
        <w:rPr>
          <w:position w:val="-80"/>
        </w:rPr>
      </w:pPr>
      <w:r>
        <w:rPr>
          <w:rFonts w:hint="eastAsia"/>
          <w:position w:val="-80"/>
          <w:lang w:val="en-US" w:eastAsia="zh-CN"/>
        </w:rPr>
        <w:t xml:space="preserve">        </w:t>
      </w:r>
      <w:r>
        <w:rPr>
          <w:position w:val="-80"/>
        </w:rPr>
        <w:drawing>
          <wp:inline distT="0" distB="0" distL="0" distR="0">
            <wp:extent cx="3388995" cy="2559050"/>
            <wp:effectExtent l="0" t="0" r="1905" b="1270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21"/>
                    <a:stretch>
                      <a:fillRect/>
                    </a:stretch>
                  </pic:blipFill>
                  <pic:spPr>
                    <a:xfrm>
                      <a:off x="0" y="0"/>
                      <a:ext cx="3389628" cy="2559684"/>
                    </a:xfrm>
                    <a:prstGeom prst="rect">
                      <a:avLst/>
                    </a:prstGeom>
                  </pic:spPr>
                </pic:pic>
              </a:graphicData>
            </a:graphic>
          </wp:inline>
        </w:drawing>
      </w:r>
    </w:p>
    <w:p w14:paraId="2355A584">
      <w:pPr>
        <w:pStyle w:val="5"/>
        <w:keepNext w:val="0"/>
        <w:keepLines w:val="0"/>
        <w:pageBreakBefore w:val="0"/>
        <w:widowControl w:val="0"/>
        <w:kinsoku/>
        <w:wordWrap/>
        <w:overflowPunct/>
        <w:topLinePunct w:val="0"/>
        <w:autoSpaceDE/>
        <w:autoSpaceDN/>
        <w:bidi w:val="0"/>
        <w:adjustRightInd w:val="0"/>
        <w:snapToGrid w:val="0"/>
        <w:spacing w:before="168" w:line="240" w:lineRule="auto"/>
        <w:ind w:firstLine="3277" w:firstLineChars="1600"/>
        <w:jc w:val="both"/>
        <w:textAlignment w:val="auto"/>
        <w:rPr>
          <w:rFonts w:hint="eastAsia" w:asciiTheme="minorEastAsia" w:hAnsiTheme="minorEastAsia" w:eastAsiaTheme="minorEastAsia" w:cstheme="minorEastAsia"/>
          <w:b/>
          <w:bCs/>
          <w:spacing w:val="-3"/>
          <w:sz w:val="21"/>
          <w:szCs w:val="21"/>
        </w:rPr>
      </w:pPr>
      <w:r>
        <w:rPr>
          <w:rFonts w:hint="eastAsia" w:asciiTheme="minorEastAsia" w:hAnsiTheme="minorEastAsia" w:eastAsiaTheme="minorEastAsia" w:cstheme="minorEastAsia"/>
          <w:b/>
          <w:bCs/>
          <w:spacing w:val="-3"/>
          <w:sz w:val="21"/>
          <w:szCs w:val="21"/>
        </w:rPr>
        <w:t>照片3-</w:t>
      </w:r>
      <w:r>
        <w:rPr>
          <w:rFonts w:hint="eastAsia" w:asciiTheme="minorEastAsia" w:hAnsiTheme="minorEastAsia" w:eastAsiaTheme="minorEastAsia" w:cstheme="minorEastAsia"/>
          <w:b/>
          <w:bCs/>
          <w:spacing w:val="-3"/>
          <w:sz w:val="21"/>
          <w:szCs w:val="21"/>
          <w:lang w:val="en-US" w:eastAsia="zh-CN"/>
        </w:rPr>
        <w:t>21</w:t>
      </w:r>
      <w:r>
        <w:rPr>
          <w:rFonts w:hint="eastAsia" w:asciiTheme="minorEastAsia" w:hAnsiTheme="minorEastAsia" w:eastAsiaTheme="minorEastAsia" w:cstheme="minorEastAsia"/>
          <w:b/>
          <w:bCs/>
          <w:spacing w:val="-3"/>
          <w:sz w:val="21"/>
          <w:szCs w:val="21"/>
        </w:rPr>
        <w:t>炸药库</w:t>
      </w:r>
    </w:p>
    <w:p w14:paraId="72DF7999">
      <w:pPr>
        <w:pStyle w:val="5"/>
        <w:spacing w:before="180" w:line="221"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rPr>
        <w:t>14、截洪沟</w:t>
      </w:r>
    </w:p>
    <w:p w14:paraId="0A4F6471">
      <w:pPr>
        <w:pStyle w:val="5"/>
        <w:spacing w:before="178" w:line="354" w:lineRule="auto"/>
        <w:ind w:right="239" w:firstLine="480"/>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z w:val="24"/>
          <w:szCs w:val="24"/>
        </w:rPr>
        <w:t>矿方在尾矿库北侧、南侧及西侧，综合废石场北东侧</w:t>
      </w:r>
      <w:r>
        <w:rPr>
          <w:rFonts w:hint="eastAsia" w:asciiTheme="minorEastAsia" w:hAnsiTheme="minorEastAsia" w:eastAsiaTheme="minorEastAsia" w:cstheme="minorEastAsia"/>
          <w:spacing w:val="-1"/>
          <w:sz w:val="24"/>
          <w:szCs w:val="24"/>
        </w:rPr>
        <w:t>以及炸药库西南侧修建</w:t>
      </w:r>
      <w:r>
        <w:rPr>
          <w:rFonts w:hint="eastAsia" w:asciiTheme="minorEastAsia" w:hAnsiTheme="minorEastAsia" w:eastAsiaTheme="minorEastAsia" w:cstheme="minorEastAsia"/>
          <w:sz w:val="24"/>
          <w:szCs w:val="24"/>
        </w:rPr>
        <w:t>了截洪沟，起到保护场地和清污分流的作用。截洪沟为浆</w:t>
      </w:r>
      <w:r>
        <w:rPr>
          <w:rFonts w:hint="eastAsia" w:asciiTheme="minorEastAsia" w:hAnsiTheme="minorEastAsia" w:eastAsiaTheme="minorEastAsia" w:cstheme="minorEastAsia"/>
          <w:spacing w:val="-1"/>
          <w:sz w:val="24"/>
          <w:szCs w:val="24"/>
        </w:rPr>
        <w:t>砌石结构，为矩形截水</w:t>
      </w:r>
      <w:r>
        <w:rPr>
          <w:rFonts w:hint="eastAsia" w:asciiTheme="minorEastAsia" w:hAnsiTheme="minorEastAsia" w:eastAsiaTheme="minorEastAsia" w:cstheme="minorEastAsia"/>
          <w:sz w:val="24"/>
          <w:szCs w:val="24"/>
        </w:rPr>
        <w:t>沟，截洪沟断面参数为B×H=0.8×1.0m，坡度小于</w:t>
      </w:r>
      <w:r>
        <w:rPr>
          <w:rFonts w:hint="eastAsia" w:asciiTheme="minorEastAsia" w:hAnsiTheme="minorEastAsia" w:eastAsiaTheme="minorEastAsia" w:cstheme="minorEastAsia"/>
          <w:spacing w:val="-1"/>
          <w:sz w:val="24"/>
          <w:szCs w:val="24"/>
        </w:rPr>
        <w:t>0.6</w:t>
      </w:r>
      <w:r>
        <w:rPr>
          <w:rFonts w:hint="eastAsia" w:asciiTheme="minorEastAsia" w:hAnsiTheme="minorEastAsia" w:eastAsiaTheme="minorEastAsia" w:cstheme="minorEastAsia"/>
          <w:spacing w:val="-13"/>
          <w:sz w:val="24"/>
          <w:szCs w:val="24"/>
        </w:rPr>
        <w:t>％，</w:t>
      </w:r>
      <w:r>
        <w:rPr>
          <w:rFonts w:hint="eastAsia" w:asciiTheme="minorEastAsia" w:hAnsiTheme="minorEastAsia" w:eastAsiaTheme="minorEastAsia" w:cstheme="minorEastAsia"/>
          <w:spacing w:val="-1"/>
          <w:sz w:val="24"/>
          <w:szCs w:val="24"/>
        </w:rPr>
        <w:t>长度2380m，占地面</w:t>
      </w:r>
      <w:r>
        <w:rPr>
          <w:rFonts w:hint="eastAsia" w:asciiTheme="minorEastAsia" w:hAnsiTheme="minorEastAsia" w:eastAsiaTheme="minorEastAsia" w:cstheme="minorEastAsia"/>
          <w:spacing w:val="1"/>
          <w:sz w:val="24"/>
          <w:szCs w:val="24"/>
        </w:rPr>
        <w:t>积约为1904m</w:t>
      </w:r>
      <w:r>
        <w:rPr>
          <w:rFonts w:hint="eastAsia" w:asciiTheme="minorEastAsia" w:hAnsiTheme="minorEastAsia" w:eastAsiaTheme="minorEastAsia" w:cstheme="minorEastAsia"/>
          <w:spacing w:val="1"/>
          <w:sz w:val="24"/>
          <w:szCs w:val="24"/>
          <w:vertAlign w:val="superscript"/>
          <w:lang w:val="en-US" w:eastAsia="zh-CN"/>
        </w:rPr>
        <w:t>2</w:t>
      </w:r>
      <w:r>
        <w:rPr>
          <w:rFonts w:hint="eastAsia" w:asciiTheme="minorEastAsia" w:hAnsiTheme="minorEastAsia" w:eastAsiaTheme="minorEastAsia" w:cstheme="minorEastAsia"/>
          <w:spacing w:val="1"/>
          <w:sz w:val="24"/>
          <w:szCs w:val="24"/>
        </w:rPr>
        <w:t>。靠近山体一侧存在切坡，坡高约1-2</w:t>
      </w:r>
      <w:r>
        <w:rPr>
          <w:rFonts w:hint="eastAsia" w:asciiTheme="minorEastAsia" w:hAnsiTheme="minorEastAsia" w:eastAsiaTheme="minorEastAsia" w:cstheme="minorEastAsia"/>
          <w:sz w:val="24"/>
          <w:szCs w:val="24"/>
        </w:rPr>
        <w:t>m，坡度约30-40°,另侧废</w:t>
      </w:r>
      <w:r>
        <w:rPr>
          <w:rFonts w:hint="eastAsia" w:asciiTheme="minorEastAsia" w:hAnsiTheme="minorEastAsia" w:eastAsiaTheme="minorEastAsia" w:cstheme="minorEastAsia"/>
          <w:spacing w:val="-1"/>
          <w:sz w:val="24"/>
          <w:szCs w:val="24"/>
        </w:rPr>
        <w:t>渣石顺坡堆放，堆高0.5-1m，边坡角</w:t>
      </w:r>
      <w:r>
        <w:rPr>
          <w:rFonts w:hint="eastAsia" w:asciiTheme="minorEastAsia" w:hAnsiTheme="minorEastAsia" w:eastAsiaTheme="minorEastAsia" w:cstheme="minorEastAsia"/>
          <w:spacing w:val="-2"/>
          <w:sz w:val="24"/>
          <w:szCs w:val="24"/>
        </w:rPr>
        <w:t>30～45°。见照片3-</w:t>
      </w:r>
      <w:r>
        <w:rPr>
          <w:rFonts w:hint="eastAsia" w:asciiTheme="minorEastAsia" w:hAnsiTheme="minorEastAsia" w:eastAsiaTheme="minorEastAsia" w:cstheme="minorEastAsia"/>
          <w:spacing w:val="-2"/>
          <w:sz w:val="24"/>
          <w:szCs w:val="24"/>
          <w:lang w:val="en-US" w:eastAsia="zh-CN"/>
        </w:rPr>
        <w:t>22</w:t>
      </w:r>
      <w:r>
        <w:rPr>
          <w:rFonts w:hint="eastAsia" w:asciiTheme="minorEastAsia" w:hAnsiTheme="minorEastAsia" w:eastAsiaTheme="minorEastAsia" w:cstheme="minorEastAsia"/>
          <w:spacing w:val="-2"/>
          <w:sz w:val="24"/>
          <w:szCs w:val="24"/>
        </w:rPr>
        <w:t>。</w:t>
      </w:r>
    </w:p>
    <w:p w14:paraId="46300844">
      <w:pPr>
        <w:pStyle w:val="5"/>
        <w:keepNext w:val="0"/>
        <w:keepLines w:val="0"/>
        <w:pageBreakBefore w:val="0"/>
        <w:widowControl w:val="0"/>
        <w:kinsoku/>
        <w:wordWrap/>
        <w:overflowPunct/>
        <w:topLinePunct w:val="0"/>
        <w:autoSpaceDE/>
        <w:autoSpaceDN/>
        <w:bidi w:val="0"/>
        <w:adjustRightInd w:val="0"/>
        <w:snapToGrid w:val="0"/>
        <w:spacing w:before="178" w:line="240" w:lineRule="auto"/>
        <w:ind w:left="3598" w:leftChars="166" w:right="238" w:hanging="3200" w:hangingChars="1600"/>
        <w:jc w:val="left"/>
        <w:textAlignment w:val="auto"/>
        <w:rPr>
          <w:rFonts w:hint="eastAsia" w:asciiTheme="minorEastAsia" w:hAnsiTheme="minorEastAsia" w:eastAsiaTheme="minorEastAsia" w:cstheme="minorEastAsia"/>
          <w:spacing w:val="-7"/>
          <w:sz w:val="24"/>
          <w:szCs w:val="24"/>
        </w:rPr>
      </w:pPr>
      <w:r>
        <w:rPr>
          <w:position w:val="-64"/>
        </w:rPr>
        <w:drawing>
          <wp:inline distT="0" distB="0" distL="0" distR="0">
            <wp:extent cx="5242560" cy="2054860"/>
            <wp:effectExtent l="0" t="0" r="15240" b="254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22"/>
                    <a:stretch>
                      <a:fillRect/>
                    </a:stretch>
                  </pic:blipFill>
                  <pic:spPr>
                    <a:xfrm>
                      <a:off x="0" y="0"/>
                      <a:ext cx="5243193" cy="2054981"/>
                    </a:xfrm>
                    <a:prstGeom prst="rect">
                      <a:avLst/>
                    </a:prstGeom>
                  </pic:spPr>
                </pic:pic>
              </a:graphicData>
            </a:graphic>
          </wp:inline>
        </w:drawing>
      </w:r>
      <w:r>
        <w:rPr>
          <w:rFonts w:hint="eastAsia" w:asciiTheme="minorEastAsia" w:hAnsiTheme="minorEastAsia" w:eastAsiaTheme="minorEastAsia" w:cstheme="minorEastAsia"/>
          <w:b/>
          <w:bCs/>
          <w:spacing w:val="-2"/>
          <w:sz w:val="21"/>
          <w:szCs w:val="21"/>
        </w:rPr>
        <w:t>照片3-</w:t>
      </w:r>
      <w:r>
        <w:rPr>
          <w:rFonts w:hint="eastAsia" w:asciiTheme="minorEastAsia" w:hAnsiTheme="minorEastAsia" w:eastAsiaTheme="minorEastAsia" w:cstheme="minorEastAsia"/>
          <w:b/>
          <w:bCs/>
          <w:spacing w:val="-2"/>
          <w:sz w:val="21"/>
          <w:szCs w:val="21"/>
          <w:lang w:val="en-US" w:eastAsia="zh-CN"/>
        </w:rPr>
        <w:t>22</w:t>
      </w:r>
      <w:r>
        <w:rPr>
          <w:rFonts w:hint="eastAsia" w:asciiTheme="minorEastAsia" w:hAnsiTheme="minorEastAsia" w:eastAsiaTheme="minorEastAsia" w:cstheme="minorEastAsia"/>
          <w:b/>
          <w:bCs/>
          <w:spacing w:val="-2"/>
          <w:sz w:val="21"/>
          <w:szCs w:val="21"/>
        </w:rPr>
        <w:t>截洪沟</w:t>
      </w:r>
    </w:p>
    <w:p w14:paraId="26A92372">
      <w:pPr>
        <w:pStyle w:val="5"/>
        <w:spacing w:line="360" w:lineRule="auto"/>
        <w:ind w:left="0" w:right="0" w:firstLine="45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15、取土场1</w:t>
      </w:r>
    </w:p>
    <w:p w14:paraId="4646DA4F">
      <w:pPr>
        <w:pStyle w:val="5"/>
        <w:spacing w:line="360" w:lineRule="auto"/>
        <w:ind w:left="0" w:right="0" w:firstLine="476"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spacing w:val="-1"/>
          <w:sz w:val="24"/>
          <w:szCs w:val="24"/>
        </w:rPr>
        <w:t>紧邻尾矿库北东侧，用于修筑尾矿坝及道路，场地面积为3084m</w:t>
      </w:r>
      <w:r>
        <w:rPr>
          <w:rFonts w:hint="eastAsia" w:asciiTheme="minorEastAsia" w:hAnsiTheme="minorEastAsia" w:eastAsiaTheme="minorEastAsia" w:cstheme="minorEastAsia"/>
          <w:spacing w:val="-1"/>
          <w:sz w:val="24"/>
          <w:szCs w:val="24"/>
          <w:vertAlign w:val="superscript"/>
          <w:lang w:val="en-US" w:eastAsia="zh-CN"/>
        </w:rPr>
        <w:t>2</w:t>
      </w:r>
      <w:r>
        <w:rPr>
          <w:rFonts w:hint="eastAsia" w:asciiTheme="minorEastAsia" w:hAnsiTheme="minorEastAsia" w:eastAsiaTheme="minorEastAsia" w:cstheme="minorEastAsia"/>
          <w:spacing w:val="-1"/>
          <w:sz w:val="24"/>
          <w:szCs w:val="24"/>
        </w:rPr>
        <w:t>。场地呈不</w:t>
      </w:r>
      <w:r>
        <w:rPr>
          <w:rFonts w:hint="eastAsia" w:asciiTheme="minorEastAsia" w:hAnsiTheme="minorEastAsia" w:eastAsiaTheme="minorEastAsia" w:cstheme="minorEastAsia"/>
          <w:spacing w:val="-4"/>
          <w:sz w:val="24"/>
          <w:szCs w:val="24"/>
        </w:rPr>
        <w:t>规则扇形，长70m，宽40-50m。场地西北侧挖掘形成了长约60m、高约8m的切</w:t>
      </w:r>
      <w:r>
        <w:rPr>
          <w:rFonts w:hint="eastAsia" w:asciiTheme="minorEastAsia" w:hAnsiTheme="minorEastAsia" w:eastAsiaTheme="minorEastAsia" w:cstheme="minorEastAsia"/>
          <w:sz w:val="24"/>
          <w:szCs w:val="24"/>
        </w:rPr>
        <w:t>坡，</w:t>
      </w:r>
      <w:r>
        <w:rPr>
          <w:rFonts w:hint="eastAsia" w:asciiTheme="minorEastAsia" w:hAnsiTheme="minorEastAsia" w:eastAsiaTheme="minorEastAsia" w:cstheme="minorEastAsia"/>
          <w:color w:val="auto"/>
          <w:sz w:val="24"/>
          <w:szCs w:val="24"/>
        </w:rPr>
        <w:t>采掘面坡角70</w:t>
      </w:r>
      <w:r>
        <w:rPr>
          <w:rFonts w:hint="eastAsia" w:asciiTheme="minorEastAsia" w:hAnsiTheme="minorEastAsia" w:eastAsiaTheme="minorEastAsia" w:cstheme="minorEastAsia"/>
          <w:color w:val="auto"/>
          <w:sz w:val="24"/>
          <w:szCs w:val="24"/>
          <w:lang w:val="en-US" w:eastAsia="zh-CN"/>
        </w:rPr>
        <w:t>°</w:t>
      </w:r>
      <w:r>
        <w:rPr>
          <w:rFonts w:hint="eastAsia" w:ascii="宋体" w:hAnsi="宋体" w:eastAsia="宋体" w:cs="宋体"/>
          <w:color w:val="auto"/>
          <w:sz w:val="24"/>
          <w:szCs w:val="24"/>
          <w:lang w:val="en-US" w:eastAsia="zh-CN"/>
        </w:rPr>
        <w:t>～</w:t>
      </w:r>
      <w:r>
        <w:rPr>
          <w:rFonts w:hint="eastAsia" w:asciiTheme="minorEastAsia" w:hAnsiTheme="minorEastAsia" w:eastAsiaTheme="minorEastAsia" w:cstheme="minorEastAsia"/>
          <w:color w:val="auto"/>
          <w:sz w:val="24"/>
          <w:szCs w:val="24"/>
        </w:rPr>
        <w:t>80</w:t>
      </w:r>
      <w:r>
        <w:rPr>
          <w:rFonts w:hint="eastAsia" w:asciiTheme="minorEastAsia" w:hAnsiTheme="minorEastAsia" w:eastAsiaTheme="minorEastAsia" w:cstheme="minorEastAsia"/>
          <w:color w:val="auto"/>
          <w:sz w:val="24"/>
          <w:szCs w:val="24"/>
          <w:lang w:val="en-US" w:eastAsia="zh-CN"/>
        </w:rPr>
        <w:t>°。</w:t>
      </w:r>
      <w:r>
        <w:rPr>
          <w:rFonts w:hint="eastAsia" w:asciiTheme="minorEastAsia" w:hAnsiTheme="minorEastAsia" w:eastAsiaTheme="minorEastAsia" w:cstheme="minorEastAsia"/>
          <w:color w:val="auto"/>
          <w:spacing w:val="-6"/>
          <w:sz w:val="24"/>
          <w:szCs w:val="24"/>
        </w:rPr>
        <w:t>见照片3-</w:t>
      </w:r>
      <w:r>
        <w:rPr>
          <w:rFonts w:hint="eastAsia" w:asciiTheme="minorEastAsia" w:hAnsiTheme="minorEastAsia" w:eastAsiaTheme="minorEastAsia" w:cstheme="minorEastAsia"/>
          <w:color w:val="auto"/>
          <w:spacing w:val="-6"/>
          <w:sz w:val="24"/>
          <w:szCs w:val="24"/>
          <w:lang w:val="en-US" w:eastAsia="zh-CN"/>
        </w:rPr>
        <w:t>23</w:t>
      </w:r>
      <w:r>
        <w:rPr>
          <w:rFonts w:hint="eastAsia" w:asciiTheme="minorEastAsia" w:hAnsiTheme="minorEastAsia" w:eastAsiaTheme="minorEastAsia" w:cstheme="minorEastAsia"/>
          <w:color w:val="auto"/>
          <w:spacing w:val="-6"/>
          <w:sz w:val="24"/>
          <w:szCs w:val="24"/>
        </w:rPr>
        <w:t>。</w:t>
      </w:r>
    </w:p>
    <w:p w14:paraId="1579F685">
      <w:pPr>
        <w:pStyle w:val="5"/>
        <w:spacing w:line="360" w:lineRule="auto"/>
        <w:ind w:left="0" w:right="0" w:firstLine="45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16、取土场2</w:t>
      </w:r>
    </w:p>
    <w:p w14:paraId="3F7D9D41">
      <w:pPr>
        <w:pStyle w:val="5"/>
        <w:spacing w:line="360" w:lineRule="auto"/>
        <w:ind w:left="0" w:right="0" w:firstLine="464" w:firstLineChars="200"/>
        <w:rPr>
          <w:rFonts w:hint="eastAsia" w:asciiTheme="minorEastAsia" w:hAnsiTheme="minorEastAsia" w:eastAsiaTheme="minorEastAsia" w:cstheme="minorEastAsia"/>
          <w:spacing w:val="-3"/>
          <w:sz w:val="24"/>
          <w:szCs w:val="24"/>
          <w:lang w:val="en-US" w:eastAsia="zh-CN"/>
        </w:rPr>
      </w:pPr>
      <w:r>
        <w:rPr>
          <w:rFonts w:hint="eastAsia" w:asciiTheme="minorEastAsia" w:hAnsiTheme="minorEastAsia" w:eastAsiaTheme="minorEastAsia" w:cstheme="minorEastAsia"/>
          <w:spacing w:val="-4"/>
          <w:sz w:val="24"/>
          <w:szCs w:val="24"/>
        </w:rPr>
        <w:t>位于取土场1西南侧180m处，用于修筑尾矿坝及道路，场地面积为3700m</w:t>
      </w:r>
      <w:r>
        <w:rPr>
          <w:rFonts w:hint="eastAsia" w:asciiTheme="minorEastAsia" w:hAnsiTheme="minorEastAsia" w:eastAsiaTheme="minorEastAsia" w:cstheme="minorEastAsia"/>
          <w:spacing w:val="-6"/>
          <w:sz w:val="24"/>
          <w:szCs w:val="24"/>
          <w:vertAlign w:val="superscript"/>
          <w:lang w:val="en-US" w:eastAsia="zh-CN"/>
        </w:rPr>
        <w:t>2</w:t>
      </w:r>
      <w:r>
        <w:rPr>
          <w:rFonts w:hint="eastAsia" w:asciiTheme="minorEastAsia" w:hAnsiTheme="minorEastAsia" w:eastAsiaTheme="minorEastAsia" w:cstheme="minorEastAsia"/>
          <w:spacing w:val="-4"/>
          <w:sz w:val="24"/>
          <w:szCs w:val="24"/>
        </w:rPr>
        <w:t>。</w:t>
      </w:r>
      <w:r>
        <w:rPr>
          <w:rFonts w:hint="eastAsia" w:asciiTheme="minorEastAsia" w:hAnsiTheme="minorEastAsia" w:eastAsiaTheme="minorEastAsia" w:cstheme="minorEastAsia"/>
          <w:spacing w:val="-3"/>
          <w:sz w:val="24"/>
          <w:szCs w:val="24"/>
        </w:rPr>
        <w:t>场地呈不规则圆弧状，长65m，宽约55m。场地西北侧挖</w:t>
      </w:r>
      <w:r>
        <w:rPr>
          <w:rFonts w:hint="eastAsia" w:asciiTheme="minorEastAsia" w:hAnsiTheme="minorEastAsia" w:eastAsiaTheme="minorEastAsia" w:cstheme="minorEastAsia"/>
          <w:spacing w:val="-4"/>
          <w:sz w:val="24"/>
          <w:szCs w:val="24"/>
        </w:rPr>
        <w:t>掘形成切坡，长约70m、</w:t>
      </w:r>
      <w:r>
        <w:rPr>
          <w:rFonts w:hint="eastAsia" w:asciiTheme="minorEastAsia" w:hAnsiTheme="minorEastAsia" w:eastAsiaTheme="minorEastAsia" w:cstheme="minorEastAsia"/>
          <w:spacing w:val="2"/>
          <w:sz w:val="24"/>
          <w:szCs w:val="24"/>
        </w:rPr>
        <w:t>高约2-6m，近直立。</w:t>
      </w:r>
      <w:r>
        <w:rPr>
          <w:rFonts w:hint="eastAsia" w:asciiTheme="minorEastAsia" w:hAnsiTheme="minorEastAsia" w:eastAsiaTheme="minorEastAsia" w:cstheme="minorEastAsia"/>
          <w:spacing w:val="-6"/>
          <w:sz w:val="24"/>
          <w:szCs w:val="24"/>
        </w:rPr>
        <w:t>见照片3-</w:t>
      </w:r>
      <w:r>
        <w:rPr>
          <w:rFonts w:hint="eastAsia" w:asciiTheme="minorEastAsia" w:hAnsiTheme="minorEastAsia" w:eastAsiaTheme="minorEastAsia" w:cstheme="minorEastAsia"/>
          <w:spacing w:val="-6"/>
          <w:sz w:val="24"/>
          <w:szCs w:val="24"/>
          <w:lang w:val="en-US" w:eastAsia="zh-CN"/>
        </w:rPr>
        <w:t>24</w:t>
      </w:r>
      <w:r>
        <w:rPr>
          <w:rFonts w:hint="eastAsia" w:asciiTheme="minorEastAsia" w:hAnsiTheme="minorEastAsia" w:eastAsiaTheme="minorEastAsia" w:cstheme="minorEastAsia"/>
          <w:spacing w:val="-6"/>
          <w:sz w:val="24"/>
          <w:szCs w:val="24"/>
        </w:rPr>
        <w:t>。</w:t>
      </w:r>
    </w:p>
    <w:p w14:paraId="601E000C">
      <w:pPr>
        <w:pStyle w:val="5"/>
        <w:keepNext w:val="0"/>
        <w:keepLines w:val="0"/>
        <w:pageBreakBefore w:val="0"/>
        <w:widowControl w:val="0"/>
        <w:kinsoku/>
        <w:wordWrap/>
        <w:overflowPunct/>
        <w:topLinePunct w:val="0"/>
        <w:autoSpaceDE/>
        <w:autoSpaceDN/>
        <w:bidi w:val="0"/>
        <w:adjustRightInd w:val="0"/>
        <w:snapToGrid w:val="0"/>
        <w:spacing w:before="173" w:line="240" w:lineRule="auto"/>
        <w:ind w:left="0" w:leftChars="0" w:firstLine="0" w:firstLineChars="0"/>
        <w:textAlignment w:val="auto"/>
        <w:rPr>
          <w:position w:val="-61"/>
        </w:rPr>
      </w:pPr>
      <w:r>
        <w:rPr>
          <w:position w:val="-61"/>
        </w:rPr>
        <w:drawing>
          <wp:inline distT="0" distB="0" distL="0" distR="0">
            <wp:extent cx="5151755" cy="1939925"/>
            <wp:effectExtent l="0" t="0" r="10795" b="3175"/>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23"/>
                    <a:stretch>
                      <a:fillRect/>
                    </a:stretch>
                  </pic:blipFill>
                  <pic:spPr>
                    <a:xfrm>
                      <a:off x="0" y="0"/>
                      <a:ext cx="5152238" cy="1940026"/>
                    </a:xfrm>
                    <a:prstGeom prst="rect">
                      <a:avLst/>
                    </a:prstGeom>
                  </pic:spPr>
                </pic:pic>
              </a:graphicData>
            </a:graphic>
          </wp:inline>
        </w:drawing>
      </w:r>
    </w:p>
    <w:p w14:paraId="7CC849FA">
      <w:pPr>
        <w:pStyle w:val="5"/>
        <w:keepNext w:val="0"/>
        <w:keepLines w:val="0"/>
        <w:pageBreakBefore w:val="0"/>
        <w:widowControl w:val="0"/>
        <w:kinsoku/>
        <w:wordWrap/>
        <w:overflowPunct/>
        <w:topLinePunct w:val="0"/>
        <w:autoSpaceDE/>
        <w:autoSpaceDN/>
        <w:bidi w:val="0"/>
        <w:adjustRightInd w:val="0"/>
        <w:snapToGrid w:val="0"/>
        <w:spacing w:before="167" w:line="240" w:lineRule="auto"/>
        <w:ind w:firstLine="2231" w:firstLineChars="1100"/>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pacing w:val="-4"/>
          <w:sz w:val="21"/>
          <w:szCs w:val="21"/>
        </w:rPr>
        <w:t>照片3-</w:t>
      </w:r>
      <w:r>
        <w:rPr>
          <w:rFonts w:hint="eastAsia" w:asciiTheme="minorEastAsia" w:hAnsiTheme="minorEastAsia" w:eastAsiaTheme="minorEastAsia" w:cstheme="minorEastAsia"/>
          <w:b/>
          <w:bCs/>
          <w:spacing w:val="-4"/>
          <w:sz w:val="21"/>
          <w:szCs w:val="21"/>
          <w:lang w:val="en-US" w:eastAsia="zh-CN"/>
        </w:rPr>
        <w:t>23</w:t>
      </w:r>
      <w:r>
        <w:rPr>
          <w:rFonts w:hint="eastAsia" w:asciiTheme="minorEastAsia" w:hAnsiTheme="minorEastAsia" w:eastAsiaTheme="minorEastAsia" w:cstheme="minorEastAsia"/>
          <w:b/>
          <w:bCs/>
          <w:spacing w:val="-4"/>
          <w:sz w:val="21"/>
          <w:szCs w:val="21"/>
        </w:rPr>
        <w:t>取土场1照片3-</w:t>
      </w:r>
      <w:r>
        <w:rPr>
          <w:rFonts w:hint="eastAsia" w:asciiTheme="minorEastAsia" w:hAnsiTheme="minorEastAsia" w:eastAsiaTheme="minorEastAsia" w:cstheme="minorEastAsia"/>
          <w:b/>
          <w:bCs/>
          <w:spacing w:val="-4"/>
          <w:sz w:val="21"/>
          <w:szCs w:val="21"/>
          <w:lang w:val="en-US" w:eastAsia="zh-CN"/>
        </w:rPr>
        <w:t>24</w:t>
      </w:r>
      <w:r>
        <w:rPr>
          <w:rFonts w:hint="eastAsia" w:asciiTheme="minorEastAsia" w:hAnsiTheme="minorEastAsia" w:eastAsiaTheme="minorEastAsia" w:cstheme="minorEastAsia"/>
          <w:b/>
          <w:bCs/>
          <w:spacing w:val="-4"/>
          <w:sz w:val="21"/>
          <w:szCs w:val="21"/>
        </w:rPr>
        <w:t>取土场2</w:t>
      </w:r>
    </w:p>
    <w:p w14:paraId="1A74AC85">
      <w:pPr>
        <w:pStyle w:val="5"/>
        <w:spacing w:before="179" w:line="360" w:lineRule="auto"/>
        <w:ind w:left="0" w:leftChars="0" w:firstLine="456" w:firstLineChars="200"/>
        <w:rPr>
          <w:rFonts w:hint="eastAsia" w:asciiTheme="minorEastAsia" w:hAnsiTheme="minorEastAsia" w:eastAsiaTheme="minorEastAsia" w:cstheme="minorEastAsia"/>
          <w:spacing w:val="-6"/>
          <w:sz w:val="24"/>
          <w:szCs w:val="24"/>
        </w:rPr>
      </w:pPr>
    </w:p>
    <w:p w14:paraId="3033F0F5">
      <w:pPr>
        <w:pStyle w:val="5"/>
        <w:spacing w:before="179" w:line="360" w:lineRule="auto"/>
        <w:ind w:left="0" w:leftChars="0" w:firstLine="456" w:firstLineChars="200"/>
        <w:rPr>
          <w:rFonts w:hint="eastAsia" w:asciiTheme="minorEastAsia" w:hAnsiTheme="minorEastAsia" w:eastAsiaTheme="minorEastAsia" w:cstheme="minorEastAsia"/>
          <w:spacing w:val="-6"/>
          <w:sz w:val="24"/>
          <w:szCs w:val="24"/>
        </w:rPr>
      </w:pPr>
    </w:p>
    <w:p w14:paraId="4ABE1183">
      <w:pPr>
        <w:pStyle w:val="5"/>
        <w:spacing w:before="179" w:line="360" w:lineRule="auto"/>
        <w:ind w:left="0" w:leftChars="0" w:firstLine="456"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17、综合废石场</w:t>
      </w:r>
    </w:p>
    <w:p w14:paraId="37FC8DC1">
      <w:pPr>
        <w:pStyle w:val="5"/>
        <w:spacing w:line="360" w:lineRule="auto"/>
        <w:ind w:left="0" w:leftChars="0" w:firstLine="472" w:firstLineChars="200"/>
        <w:jc w:val="left"/>
        <w:rPr>
          <w:rFonts w:hint="eastAsia"/>
          <w:spacing w:val="-5"/>
          <w:sz w:val="24"/>
          <w:szCs w:val="24"/>
          <w:lang w:val="en-US" w:eastAsia="zh-CN"/>
        </w:rPr>
      </w:pPr>
      <w:r>
        <w:rPr>
          <w:rFonts w:hint="eastAsia" w:asciiTheme="minorEastAsia" w:hAnsiTheme="minorEastAsia" w:eastAsiaTheme="minorEastAsia" w:cstheme="minorEastAsia"/>
          <w:spacing w:val="-2"/>
          <w:sz w:val="24"/>
          <w:szCs w:val="24"/>
        </w:rPr>
        <w:t>位于SJ1工业场地东南1.4km，占地面</w:t>
      </w:r>
      <w:r>
        <w:rPr>
          <w:rFonts w:hint="eastAsia" w:asciiTheme="minorEastAsia" w:hAnsiTheme="minorEastAsia" w:eastAsiaTheme="minorEastAsia" w:cstheme="minorEastAsia"/>
          <w:spacing w:val="-3"/>
          <w:sz w:val="24"/>
          <w:szCs w:val="24"/>
        </w:rPr>
        <w:t>积71547m</w:t>
      </w:r>
      <w:r>
        <w:rPr>
          <w:rFonts w:hint="eastAsia" w:asciiTheme="minorEastAsia" w:hAnsiTheme="minorEastAsia" w:eastAsiaTheme="minorEastAsia" w:cstheme="minorEastAsia"/>
          <w:spacing w:val="-6"/>
          <w:sz w:val="24"/>
          <w:szCs w:val="24"/>
          <w:vertAlign w:val="superscript"/>
          <w:lang w:val="en-US" w:eastAsia="zh-CN"/>
        </w:rPr>
        <w:t>2</w:t>
      </w:r>
      <w:r>
        <w:rPr>
          <w:rFonts w:hint="eastAsia" w:asciiTheme="minorEastAsia" w:hAnsiTheme="minorEastAsia" w:eastAsiaTheme="minorEastAsia" w:cstheme="minorEastAsia"/>
          <w:spacing w:val="-3"/>
          <w:sz w:val="24"/>
          <w:szCs w:val="24"/>
        </w:rPr>
        <w:t>。废石呈台阶堆放，场地</w:t>
      </w:r>
      <w:r>
        <w:rPr>
          <w:rFonts w:hint="eastAsia" w:asciiTheme="minorEastAsia" w:hAnsiTheme="minorEastAsia" w:eastAsiaTheme="minorEastAsia" w:cstheme="minorEastAsia"/>
          <w:spacing w:val="1"/>
          <w:sz w:val="24"/>
          <w:szCs w:val="24"/>
        </w:rPr>
        <w:t>北西侧堆积形成三级台阶，</w:t>
      </w:r>
      <w:r>
        <w:rPr>
          <w:rFonts w:hint="eastAsia" w:asciiTheme="minorEastAsia" w:hAnsiTheme="minorEastAsia" w:eastAsiaTheme="minorEastAsia" w:cstheme="minorEastAsia"/>
          <w:color w:val="auto"/>
          <w:spacing w:val="1"/>
          <w:sz w:val="24"/>
          <w:szCs w:val="24"/>
        </w:rPr>
        <w:t>台阶宽度5</w:t>
      </w:r>
      <w:r>
        <w:rPr>
          <w:rFonts w:hint="eastAsia" w:ascii="宋体" w:hAnsi="宋体" w:eastAsia="宋体" w:cs="宋体"/>
          <w:color w:val="auto"/>
          <w:spacing w:val="1"/>
          <w:sz w:val="24"/>
          <w:szCs w:val="24"/>
        </w:rPr>
        <w:t>～</w:t>
      </w:r>
      <w:r>
        <w:rPr>
          <w:rFonts w:hint="eastAsia" w:asciiTheme="minorEastAsia" w:hAnsiTheme="minorEastAsia" w:eastAsiaTheme="minorEastAsia" w:cstheme="minorEastAsia"/>
          <w:color w:val="auto"/>
          <w:spacing w:val="1"/>
          <w:sz w:val="24"/>
          <w:szCs w:val="24"/>
        </w:rPr>
        <w:t>35m，高5</w:t>
      </w:r>
      <w:r>
        <w:rPr>
          <w:rFonts w:hint="eastAsia" w:ascii="宋体" w:hAnsi="宋体" w:eastAsia="宋体" w:cs="宋体"/>
          <w:color w:val="auto"/>
          <w:spacing w:val="1"/>
          <w:sz w:val="24"/>
          <w:szCs w:val="24"/>
        </w:rPr>
        <w:t>～</w:t>
      </w:r>
      <w:r>
        <w:rPr>
          <w:rFonts w:hint="eastAsia" w:asciiTheme="minorEastAsia" w:hAnsiTheme="minorEastAsia" w:eastAsiaTheme="minorEastAsia" w:cstheme="minorEastAsia"/>
          <w:color w:val="auto"/>
          <w:spacing w:val="1"/>
          <w:sz w:val="24"/>
          <w:szCs w:val="24"/>
        </w:rPr>
        <w:t>10m，堆积坡度约为35</w:t>
      </w:r>
      <w:r>
        <w:rPr>
          <w:rFonts w:hint="eastAsia" w:asciiTheme="minorEastAsia" w:hAnsiTheme="minorEastAsia" w:eastAsiaTheme="minorEastAsia" w:cstheme="minorEastAsia"/>
          <w:spacing w:val="1"/>
          <w:sz w:val="24"/>
          <w:szCs w:val="24"/>
        </w:rPr>
        <w:t>°,经</w:t>
      </w:r>
      <w:r>
        <w:rPr>
          <w:rFonts w:hint="eastAsia" w:asciiTheme="minorEastAsia" w:hAnsiTheme="minorEastAsia" w:eastAsiaTheme="minorEastAsia" w:cstheme="minorEastAsia"/>
          <w:spacing w:val="-2"/>
          <w:sz w:val="24"/>
          <w:szCs w:val="24"/>
        </w:rPr>
        <w:t>过DTM三角网法计算，废石堆放量约115486m</w:t>
      </w:r>
      <w:r>
        <w:rPr>
          <w:rFonts w:hint="eastAsia" w:asciiTheme="minorEastAsia" w:hAnsiTheme="minorEastAsia" w:eastAsiaTheme="minorEastAsia" w:cstheme="minorEastAsia"/>
          <w:spacing w:val="-2"/>
          <w:sz w:val="24"/>
          <w:szCs w:val="24"/>
          <w:vertAlign w:val="superscript"/>
          <w:lang w:val="en-US" w:eastAsia="zh-CN"/>
        </w:rPr>
        <w:t>3</w:t>
      </w:r>
      <w:r>
        <w:rPr>
          <w:rFonts w:hint="eastAsia" w:asciiTheme="minorEastAsia" w:hAnsiTheme="minorEastAsia" w:eastAsiaTheme="minorEastAsia" w:cstheme="minorEastAsia"/>
          <w:spacing w:val="-2"/>
          <w:sz w:val="24"/>
          <w:szCs w:val="24"/>
        </w:rPr>
        <w:t>。场地南东侧为前期治理形</w:t>
      </w:r>
      <w:r>
        <w:rPr>
          <w:rFonts w:hint="eastAsia" w:asciiTheme="minorEastAsia" w:hAnsiTheme="minorEastAsia" w:eastAsiaTheme="minorEastAsia" w:cstheme="minorEastAsia"/>
          <w:spacing w:val="-3"/>
          <w:sz w:val="24"/>
          <w:szCs w:val="24"/>
        </w:rPr>
        <w:t>成的</w:t>
      </w:r>
      <w:r>
        <w:rPr>
          <w:rFonts w:hint="eastAsia" w:asciiTheme="minorEastAsia" w:hAnsiTheme="minorEastAsia" w:eastAsiaTheme="minorEastAsia" w:cstheme="minorEastAsia"/>
          <w:spacing w:val="-2"/>
          <w:sz w:val="24"/>
          <w:szCs w:val="24"/>
        </w:rPr>
        <w:t>三级治理台阶，台阶宽度5m，高约15m，</w:t>
      </w:r>
      <w:r>
        <w:rPr>
          <w:rFonts w:hint="eastAsia" w:asciiTheme="minorEastAsia" w:hAnsiTheme="minorEastAsia" w:eastAsiaTheme="minorEastAsia" w:cstheme="minorEastAsia"/>
          <w:spacing w:val="-3"/>
          <w:sz w:val="24"/>
          <w:szCs w:val="24"/>
        </w:rPr>
        <w:t>堆积坡度35°左右。距坡底南东20m</w:t>
      </w:r>
      <w:r>
        <w:rPr>
          <w:rFonts w:hint="eastAsia" w:asciiTheme="minorEastAsia" w:hAnsiTheme="minorEastAsia" w:eastAsiaTheme="minorEastAsia" w:cstheme="minorEastAsia"/>
          <w:spacing w:val="-1"/>
          <w:sz w:val="24"/>
          <w:szCs w:val="24"/>
        </w:rPr>
        <w:t>左右设置一处混凝土梯形拦挡墙，顶宽4m，底宽6m，高5m</w:t>
      </w:r>
      <w:r>
        <w:rPr>
          <w:rFonts w:hint="eastAsia" w:asciiTheme="minorEastAsia" w:hAnsiTheme="minorEastAsia" w:eastAsiaTheme="minorEastAsia" w:cstheme="minorEastAsia"/>
          <w:spacing w:val="-2"/>
          <w:sz w:val="24"/>
          <w:szCs w:val="24"/>
        </w:rPr>
        <w:t>，长约70m。防止</w:t>
      </w:r>
      <w:r>
        <w:rPr>
          <w:rFonts w:hint="eastAsia" w:asciiTheme="minorEastAsia" w:hAnsiTheme="minorEastAsia" w:eastAsiaTheme="minorEastAsia" w:cstheme="minorEastAsia"/>
          <w:spacing w:val="3"/>
          <w:sz w:val="24"/>
          <w:szCs w:val="24"/>
        </w:rPr>
        <w:t>汛期废渣外流。</w:t>
      </w:r>
      <w:r>
        <w:rPr>
          <w:rFonts w:hint="eastAsia" w:asciiTheme="minorEastAsia" w:hAnsiTheme="minorEastAsia" w:eastAsiaTheme="minorEastAsia" w:cstheme="minorEastAsia"/>
          <w:spacing w:val="-5"/>
          <w:sz w:val="24"/>
          <w:szCs w:val="24"/>
        </w:rPr>
        <w:t>见照片3-</w:t>
      </w:r>
      <w:r>
        <w:rPr>
          <w:rFonts w:hint="eastAsia" w:asciiTheme="minorEastAsia" w:hAnsiTheme="minorEastAsia" w:eastAsiaTheme="minorEastAsia" w:cstheme="minorEastAsia"/>
          <w:spacing w:val="-5"/>
          <w:sz w:val="24"/>
          <w:szCs w:val="24"/>
          <w:lang w:val="en-US" w:eastAsia="zh-CN"/>
        </w:rPr>
        <w:t>25、</w:t>
      </w:r>
      <w:r>
        <w:rPr>
          <w:rFonts w:hint="eastAsia" w:asciiTheme="minorEastAsia" w:hAnsiTheme="minorEastAsia" w:eastAsiaTheme="minorEastAsia" w:cstheme="minorEastAsia"/>
          <w:spacing w:val="-5"/>
          <w:sz w:val="24"/>
          <w:szCs w:val="24"/>
        </w:rPr>
        <w:t>照片3-</w:t>
      </w:r>
      <w:r>
        <w:rPr>
          <w:rFonts w:hint="eastAsia" w:asciiTheme="minorEastAsia" w:hAnsiTheme="minorEastAsia" w:eastAsiaTheme="minorEastAsia" w:cstheme="minorEastAsia"/>
          <w:spacing w:val="-5"/>
          <w:sz w:val="24"/>
          <w:szCs w:val="24"/>
          <w:lang w:val="en-US" w:eastAsia="zh-CN"/>
        </w:rPr>
        <w:t>27</w:t>
      </w:r>
      <w:r>
        <w:rPr>
          <w:rFonts w:hint="eastAsia" w:asciiTheme="minorEastAsia" w:hAnsiTheme="minorEastAsia" w:eastAsiaTheme="minorEastAsia" w:cstheme="minorEastAsia"/>
          <w:spacing w:val="-5"/>
          <w:sz w:val="24"/>
          <w:szCs w:val="24"/>
        </w:rPr>
        <w:t>，实测图3-2。</w:t>
      </w:r>
    </w:p>
    <w:p w14:paraId="243B44EE">
      <w:pPr>
        <w:pStyle w:val="5"/>
        <w:keepNext w:val="0"/>
        <w:keepLines w:val="0"/>
        <w:pageBreakBefore w:val="0"/>
        <w:widowControl w:val="0"/>
        <w:kinsoku/>
        <w:wordWrap/>
        <w:overflowPunct/>
        <w:topLinePunct w:val="0"/>
        <w:autoSpaceDE/>
        <w:autoSpaceDN/>
        <w:bidi w:val="0"/>
        <w:adjustRightInd w:val="0"/>
        <w:snapToGrid w:val="0"/>
        <w:spacing w:before="169" w:line="240" w:lineRule="auto"/>
        <w:ind w:firstLine="1800" w:firstLineChars="900"/>
        <w:jc w:val="left"/>
        <w:textAlignment w:val="auto"/>
        <w:rPr>
          <w:position w:val="-57"/>
        </w:rPr>
      </w:pPr>
      <w:r>
        <w:rPr>
          <w:position w:val="-57"/>
        </w:rPr>
        <w:drawing>
          <wp:inline distT="0" distB="0" distL="0" distR="0">
            <wp:extent cx="3275330" cy="1613535"/>
            <wp:effectExtent l="0" t="0" r="1270" b="5715"/>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24">
                      <a:lum bright="-6000"/>
                    </a:blip>
                    <a:stretch>
                      <a:fillRect/>
                    </a:stretch>
                  </pic:blipFill>
                  <pic:spPr>
                    <a:xfrm>
                      <a:off x="0" y="0"/>
                      <a:ext cx="3275508" cy="1613535"/>
                    </a:xfrm>
                    <a:prstGeom prst="rect">
                      <a:avLst/>
                    </a:prstGeom>
                  </pic:spPr>
                </pic:pic>
              </a:graphicData>
            </a:graphic>
          </wp:inline>
        </w:drawing>
      </w:r>
    </w:p>
    <w:p w14:paraId="5FDBAF28">
      <w:pPr>
        <w:pStyle w:val="5"/>
        <w:keepNext w:val="0"/>
        <w:keepLines w:val="0"/>
        <w:pageBreakBefore w:val="0"/>
        <w:widowControl w:val="0"/>
        <w:kinsoku/>
        <w:wordWrap/>
        <w:overflowPunct/>
        <w:topLinePunct w:val="0"/>
        <w:autoSpaceDE/>
        <w:autoSpaceDN/>
        <w:bidi w:val="0"/>
        <w:adjustRightInd w:val="0"/>
        <w:snapToGrid w:val="0"/>
        <w:spacing w:before="169" w:line="240" w:lineRule="auto"/>
        <w:ind w:firstLine="3072" w:firstLineChars="1500"/>
        <w:jc w:val="left"/>
        <w:textAlignment w:val="auto"/>
        <w:rPr>
          <w:rFonts w:hint="eastAsia" w:asciiTheme="minorEastAsia" w:hAnsiTheme="minorEastAsia" w:eastAsiaTheme="minorEastAsia" w:cstheme="minorEastAsia"/>
          <w:b/>
          <w:bCs/>
          <w:spacing w:val="-3"/>
          <w:sz w:val="21"/>
          <w:szCs w:val="21"/>
        </w:rPr>
      </w:pPr>
      <w:r>
        <w:rPr>
          <w:rFonts w:hint="eastAsia" w:asciiTheme="minorEastAsia" w:hAnsiTheme="minorEastAsia" w:eastAsiaTheme="minorEastAsia" w:cstheme="minorEastAsia"/>
          <w:b/>
          <w:bCs/>
          <w:spacing w:val="-3"/>
          <w:sz w:val="21"/>
          <w:szCs w:val="21"/>
        </w:rPr>
        <w:t>照片3-</w:t>
      </w:r>
      <w:r>
        <w:rPr>
          <w:rFonts w:hint="eastAsia" w:asciiTheme="minorEastAsia" w:hAnsiTheme="minorEastAsia" w:eastAsiaTheme="minorEastAsia" w:cstheme="minorEastAsia"/>
          <w:b/>
          <w:bCs/>
          <w:spacing w:val="-3"/>
          <w:sz w:val="21"/>
          <w:szCs w:val="21"/>
          <w:lang w:val="en-US" w:eastAsia="zh-CN"/>
        </w:rPr>
        <w:t>25</w:t>
      </w:r>
      <w:r>
        <w:rPr>
          <w:rFonts w:hint="eastAsia" w:asciiTheme="minorEastAsia" w:hAnsiTheme="minorEastAsia" w:eastAsiaTheme="minorEastAsia" w:cstheme="minorEastAsia"/>
          <w:b/>
          <w:bCs/>
          <w:spacing w:val="-3"/>
          <w:sz w:val="21"/>
          <w:szCs w:val="21"/>
        </w:rPr>
        <w:t>综合废石场</w:t>
      </w:r>
    </w:p>
    <w:p w14:paraId="4133E0A1">
      <w:pPr>
        <w:pStyle w:val="5"/>
        <w:keepNext w:val="0"/>
        <w:keepLines w:val="0"/>
        <w:pageBreakBefore w:val="0"/>
        <w:widowControl w:val="0"/>
        <w:kinsoku/>
        <w:wordWrap/>
        <w:overflowPunct/>
        <w:topLinePunct w:val="0"/>
        <w:autoSpaceDE/>
        <w:autoSpaceDN/>
        <w:bidi w:val="0"/>
        <w:adjustRightInd w:val="0"/>
        <w:snapToGrid w:val="0"/>
        <w:spacing w:before="169" w:line="240" w:lineRule="auto"/>
        <w:ind w:left="1798" w:leftChars="166" w:hanging="1400" w:hangingChars="700"/>
        <w:jc w:val="left"/>
        <w:textAlignment w:val="auto"/>
        <w:rPr>
          <w:position w:val="-60"/>
        </w:rPr>
      </w:pPr>
      <w:r>
        <w:rPr>
          <w:position w:val="-60"/>
        </w:rPr>
        <w:drawing>
          <wp:inline distT="0" distB="0" distL="0" distR="0">
            <wp:extent cx="5118100" cy="1767205"/>
            <wp:effectExtent l="0" t="0" r="6350" b="4445"/>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25"/>
                    <a:stretch>
                      <a:fillRect/>
                    </a:stretch>
                  </pic:blipFill>
                  <pic:spPr>
                    <a:xfrm>
                      <a:off x="0" y="0"/>
                      <a:ext cx="5118733" cy="1767205"/>
                    </a:xfrm>
                    <a:prstGeom prst="rect">
                      <a:avLst/>
                    </a:prstGeom>
                  </pic:spPr>
                </pic:pic>
              </a:graphicData>
            </a:graphic>
          </wp:inline>
        </w:drawing>
      </w:r>
    </w:p>
    <w:p w14:paraId="05DBEE81">
      <w:pPr>
        <w:pStyle w:val="5"/>
        <w:keepNext w:val="0"/>
        <w:keepLines w:val="0"/>
        <w:pageBreakBefore w:val="0"/>
        <w:widowControl w:val="0"/>
        <w:kinsoku/>
        <w:wordWrap/>
        <w:overflowPunct/>
        <w:topLinePunct w:val="0"/>
        <w:autoSpaceDE/>
        <w:autoSpaceDN/>
        <w:bidi w:val="0"/>
        <w:adjustRightInd w:val="0"/>
        <w:snapToGrid w:val="0"/>
        <w:spacing w:before="169" w:line="240" w:lineRule="auto"/>
        <w:ind w:left="1956" w:leftChars="639" w:hanging="422" w:hangingChars="200"/>
        <w:jc w:val="left"/>
        <w:textAlignment w:val="auto"/>
        <w:rPr>
          <w:rFonts w:ascii="Times New Roman" w:hAnsi="Times New Roman" w:eastAsia="Times New Roman" w:cs="Times New Roman"/>
          <w:spacing w:val="-6"/>
          <w:sz w:val="24"/>
          <w:szCs w:val="24"/>
        </w:rPr>
      </w:pPr>
      <w:r>
        <w:rPr>
          <w:rFonts w:hint="eastAsia" w:asciiTheme="minorEastAsia" w:hAnsiTheme="minorEastAsia" w:eastAsiaTheme="minorEastAsia" w:cstheme="minorEastAsia"/>
          <w:b/>
          <w:bCs/>
          <w:sz w:val="21"/>
          <w:szCs w:val="21"/>
        </w:rPr>
        <w:t>照片3-</w:t>
      </w:r>
      <w:r>
        <w:rPr>
          <w:rFonts w:hint="eastAsia" w:asciiTheme="minorEastAsia" w:hAnsiTheme="minorEastAsia" w:eastAsiaTheme="minorEastAsia" w:cstheme="minorEastAsia"/>
          <w:b/>
          <w:bCs/>
          <w:sz w:val="21"/>
          <w:szCs w:val="21"/>
          <w:lang w:val="en-US" w:eastAsia="zh-CN"/>
        </w:rPr>
        <w:t>26</w:t>
      </w:r>
      <w:r>
        <w:rPr>
          <w:rFonts w:hint="eastAsia" w:asciiTheme="minorEastAsia" w:hAnsiTheme="minorEastAsia" w:eastAsiaTheme="minorEastAsia" w:cstheme="minorEastAsia"/>
          <w:b/>
          <w:bCs/>
          <w:sz w:val="21"/>
          <w:szCs w:val="21"/>
        </w:rPr>
        <w:t>综合废石场治理边坡照片3-</w:t>
      </w:r>
      <w:r>
        <w:rPr>
          <w:rFonts w:hint="eastAsia" w:asciiTheme="minorEastAsia" w:hAnsiTheme="minorEastAsia" w:eastAsiaTheme="minorEastAsia" w:cstheme="minorEastAsia"/>
          <w:b/>
          <w:bCs/>
          <w:sz w:val="21"/>
          <w:szCs w:val="21"/>
          <w:lang w:val="en-US" w:eastAsia="zh-CN"/>
        </w:rPr>
        <w:t>27</w:t>
      </w:r>
      <w:r>
        <w:rPr>
          <w:rFonts w:hint="eastAsia" w:asciiTheme="minorEastAsia" w:hAnsiTheme="minorEastAsia" w:eastAsiaTheme="minorEastAsia" w:cstheme="minorEastAsia"/>
          <w:b/>
          <w:bCs/>
          <w:sz w:val="21"/>
          <w:szCs w:val="21"/>
        </w:rPr>
        <w:t>综合废石场下游挡渣墙</w:t>
      </w:r>
    </w:p>
    <w:p w14:paraId="7DDF237B">
      <w:pPr>
        <w:pStyle w:val="5"/>
        <w:spacing w:before="182" w:line="220" w:lineRule="auto"/>
        <w:ind w:left="0" w:leftChars="0" w:firstLine="456"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18、矿区道路</w:t>
      </w:r>
    </w:p>
    <w:p w14:paraId="530ABC96">
      <w:pPr>
        <w:pStyle w:val="5"/>
        <w:spacing w:before="173" w:line="360" w:lineRule="auto"/>
        <w:ind w:left="0" w:leftChars="0" w:firstLine="492" w:firstLineChars="200"/>
        <w:jc w:val="left"/>
        <w:rPr>
          <w:rFonts w:hint="eastAsia" w:asciiTheme="minorEastAsia" w:hAnsiTheme="minorEastAsia" w:eastAsiaTheme="minorEastAsia" w:cstheme="minorEastAsia"/>
          <w:spacing w:val="-5"/>
          <w:sz w:val="24"/>
          <w:szCs w:val="24"/>
        </w:rPr>
      </w:pPr>
      <w:r>
        <w:rPr>
          <w:rFonts w:hint="eastAsia" w:asciiTheme="minorEastAsia" w:hAnsiTheme="minorEastAsia" w:eastAsiaTheme="minorEastAsia" w:cstheme="minorEastAsia"/>
          <w:spacing w:val="3"/>
          <w:sz w:val="24"/>
          <w:szCs w:val="24"/>
        </w:rPr>
        <w:t>矿区道路遍布于矿区，连接各个工业场地及废石场、尾矿库之间的道路、供</w:t>
      </w:r>
      <w:r>
        <w:rPr>
          <w:rFonts w:hint="eastAsia" w:asciiTheme="minorEastAsia" w:hAnsiTheme="minorEastAsia" w:eastAsiaTheme="minorEastAsia" w:cstheme="minorEastAsia"/>
          <w:spacing w:val="-2"/>
          <w:sz w:val="24"/>
          <w:szCs w:val="24"/>
        </w:rPr>
        <w:t>矿石、废石、材料等运输，矿区道路为水泥、砂石</w:t>
      </w:r>
      <w:r>
        <w:rPr>
          <w:rFonts w:hint="eastAsia" w:asciiTheme="minorEastAsia" w:hAnsiTheme="minorEastAsia" w:eastAsiaTheme="minorEastAsia" w:cstheme="minorEastAsia"/>
          <w:spacing w:val="-3"/>
          <w:sz w:val="24"/>
          <w:szCs w:val="24"/>
        </w:rPr>
        <w:t>路，道路总长9762.5m，路宽</w:t>
      </w:r>
      <w:r>
        <w:rPr>
          <w:rFonts w:hint="eastAsia" w:asciiTheme="minorEastAsia" w:hAnsiTheme="minorEastAsia" w:eastAsiaTheme="minorEastAsia" w:cstheme="minorEastAsia"/>
          <w:spacing w:val="-1"/>
          <w:sz w:val="24"/>
          <w:szCs w:val="24"/>
        </w:rPr>
        <w:t>约4m，面积39050m</w:t>
      </w:r>
      <w:r>
        <w:rPr>
          <w:rFonts w:hint="eastAsia" w:asciiTheme="minorEastAsia" w:hAnsiTheme="minorEastAsia" w:eastAsiaTheme="minorEastAsia" w:cstheme="minorEastAsia"/>
          <w:spacing w:val="-1"/>
          <w:sz w:val="24"/>
          <w:szCs w:val="24"/>
          <w:vertAlign w:val="superscript"/>
          <w:lang w:val="en-US" w:eastAsia="zh-CN"/>
        </w:rPr>
        <w:t>2</w:t>
      </w:r>
      <w:r>
        <w:rPr>
          <w:rFonts w:hint="eastAsia" w:asciiTheme="minorEastAsia" w:hAnsiTheme="minorEastAsia" w:eastAsiaTheme="minorEastAsia" w:cstheme="minorEastAsia"/>
          <w:spacing w:val="-1"/>
          <w:sz w:val="24"/>
          <w:szCs w:val="24"/>
        </w:rPr>
        <w:t>。局部地段存在切坡，主要位于尾矿库北东部，切坡长</w:t>
      </w:r>
      <w:r>
        <w:rPr>
          <w:rFonts w:hint="eastAsia" w:asciiTheme="minorEastAsia" w:hAnsiTheme="minorEastAsia" w:eastAsiaTheme="minorEastAsia" w:cstheme="minorEastAsia"/>
          <w:spacing w:val="-2"/>
          <w:sz w:val="24"/>
          <w:szCs w:val="24"/>
        </w:rPr>
        <w:t>度约为400m，切坡深度3-8m，</w:t>
      </w:r>
      <w:r>
        <w:rPr>
          <w:rFonts w:hint="eastAsia" w:asciiTheme="minorEastAsia" w:hAnsiTheme="minorEastAsia" w:eastAsiaTheme="minorEastAsia" w:cstheme="minorEastAsia"/>
          <w:color w:val="auto"/>
          <w:spacing w:val="-2"/>
          <w:sz w:val="24"/>
          <w:szCs w:val="24"/>
        </w:rPr>
        <w:t>坡度40-70°</w:t>
      </w:r>
      <w:r>
        <w:rPr>
          <w:rFonts w:hint="eastAsia" w:asciiTheme="minorEastAsia" w:hAnsiTheme="minorEastAsia" w:eastAsiaTheme="minorEastAsia" w:cstheme="minorEastAsia"/>
          <w:spacing w:val="-2"/>
          <w:sz w:val="24"/>
          <w:szCs w:val="24"/>
        </w:rPr>
        <w:t>左右，</w:t>
      </w:r>
      <w:r>
        <w:rPr>
          <w:rFonts w:hint="eastAsia" w:asciiTheme="minorEastAsia" w:hAnsiTheme="minorEastAsia" w:eastAsiaTheme="minorEastAsia" w:cstheme="minorEastAsia"/>
          <w:spacing w:val="-5"/>
          <w:sz w:val="24"/>
          <w:szCs w:val="24"/>
        </w:rPr>
        <w:t>见照片3-2</w:t>
      </w:r>
      <w:r>
        <w:rPr>
          <w:rFonts w:hint="eastAsia" w:asciiTheme="minorEastAsia" w:hAnsiTheme="minorEastAsia" w:eastAsiaTheme="minorEastAsia" w:cstheme="minorEastAsia"/>
          <w:spacing w:val="-5"/>
          <w:sz w:val="24"/>
          <w:szCs w:val="24"/>
          <w:lang w:val="en-US" w:eastAsia="zh-CN"/>
        </w:rPr>
        <w:t>8</w:t>
      </w:r>
      <w:r>
        <w:rPr>
          <w:rFonts w:hint="eastAsia" w:asciiTheme="minorEastAsia" w:hAnsiTheme="minorEastAsia" w:eastAsiaTheme="minorEastAsia" w:cstheme="minorEastAsia"/>
          <w:spacing w:val="-5"/>
          <w:sz w:val="24"/>
          <w:szCs w:val="24"/>
        </w:rPr>
        <w:t>。</w:t>
      </w:r>
    </w:p>
    <w:p w14:paraId="10F6C71B">
      <w:pPr>
        <w:pStyle w:val="5"/>
        <w:keepNext w:val="0"/>
        <w:keepLines w:val="0"/>
        <w:pageBreakBefore w:val="0"/>
        <w:widowControl w:val="0"/>
        <w:kinsoku/>
        <w:wordWrap/>
        <w:overflowPunct/>
        <w:topLinePunct w:val="0"/>
        <w:autoSpaceDE/>
        <w:autoSpaceDN/>
        <w:bidi w:val="0"/>
        <w:adjustRightInd w:val="0"/>
        <w:snapToGrid w:val="0"/>
        <w:spacing w:before="173" w:line="240" w:lineRule="auto"/>
        <w:ind w:left="0" w:leftChars="0" w:firstLine="400" w:firstLineChars="200"/>
        <w:jc w:val="left"/>
        <w:textAlignment w:val="auto"/>
        <w:rPr>
          <w:position w:val="-59"/>
        </w:rPr>
      </w:pPr>
      <w:r>
        <w:rPr>
          <w:position w:val="-59"/>
        </w:rPr>
        <w:drawing>
          <wp:inline distT="0" distB="0" distL="0" distR="0">
            <wp:extent cx="5028565" cy="1895475"/>
            <wp:effectExtent l="0" t="0" r="635" b="9525"/>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26"/>
                    <a:stretch>
                      <a:fillRect/>
                    </a:stretch>
                  </pic:blipFill>
                  <pic:spPr>
                    <a:xfrm>
                      <a:off x="0" y="0"/>
                      <a:ext cx="5028824" cy="1895816"/>
                    </a:xfrm>
                    <a:prstGeom prst="rect">
                      <a:avLst/>
                    </a:prstGeom>
                  </pic:spPr>
                </pic:pic>
              </a:graphicData>
            </a:graphic>
          </wp:inline>
        </w:drawing>
      </w:r>
    </w:p>
    <w:p w14:paraId="58E4BE58">
      <w:pPr>
        <w:pStyle w:val="5"/>
        <w:keepNext w:val="0"/>
        <w:keepLines w:val="0"/>
        <w:pageBreakBefore w:val="0"/>
        <w:widowControl w:val="0"/>
        <w:kinsoku/>
        <w:wordWrap/>
        <w:overflowPunct/>
        <w:topLinePunct w:val="0"/>
        <w:autoSpaceDE/>
        <w:autoSpaceDN/>
        <w:bidi w:val="0"/>
        <w:adjustRightInd w:val="0"/>
        <w:snapToGrid w:val="0"/>
        <w:spacing w:before="37" w:line="240" w:lineRule="auto"/>
        <w:ind w:firstLine="3482" w:firstLineChars="1700"/>
        <w:textAlignment w:val="auto"/>
        <w:rPr>
          <w:rFonts w:hint="eastAsia" w:asciiTheme="minorEastAsia" w:hAnsiTheme="minorEastAsia" w:eastAsiaTheme="minorEastAsia" w:cstheme="minorEastAsia"/>
          <w:b/>
          <w:bCs/>
          <w:spacing w:val="-3"/>
          <w:sz w:val="21"/>
          <w:szCs w:val="21"/>
        </w:rPr>
      </w:pPr>
      <w:r>
        <w:rPr>
          <w:rFonts w:hint="eastAsia" w:asciiTheme="minorEastAsia" w:hAnsiTheme="minorEastAsia" w:eastAsiaTheme="minorEastAsia" w:cstheme="minorEastAsia"/>
          <w:b/>
          <w:bCs/>
          <w:spacing w:val="-3"/>
          <w:sz w:val="21"/>
          <w:szCs w:val="21"/>
        </w:rPr>
        <w:t>照片3-</w:t>
      </w:r>
      <w:r>
        <w:rPr>
          <w:rFonts w:hint="eastAsia" w:asciiTheme="minorEastAsia" w:hAnsiTheme="minorEastAsia" w:eastAsiaTheme="minorEastAsia" w:cstheme="minorEastAsia"/>
          <w:b/>
          <w:bCs/>
          <w:spacing w:val="-3"/>
          <w:sz w:val="21"/>
          <w:szCs w:val="21"/>
          <w:lang w:val="en-US" w:eastAsia="zh-CN"/>
        </w:rPr>
        <w:t>28</w:t>
      </w:r>
      <w:r>
        <w:rPr>
          <w:rFonts w:hint="eastAsia" w:asciiTheme="minorEastAsia" w:hAnsiTheme="minorEastAsia" w:eastAsiaTheme="minorEastAsia" w:cstheme="minorEastAsia"/>
          <w:b/>
          <w:bCs/>
          <w:spacing w:val="-3"/>
          <w:sz w:val="21"/>
          <w:szCs w:val="21"/>
        </w:rPr>
        <w:t>矿区道路</w:t>
      </w:r>
    </w:p>
    <w:p w14:paraId="4DDE8406">
      <w:pPr>
        <w:pStyle w:val="5"/>
        <w:spacing w:before="40" w:line="360" w:lineRule="auto"/>
        <w:rPr>
          <w:sz w:val="24"/>
          <w:szCs w:val="24"/>
        </w:rPr>
      </w:pPr>
      <w:r>
        <w:rPr>
          <w:rFonts w:hint="eastAsia"/>
          <w:spacing w:val="-2"/>
          <w:sz w:val="24"/>
          <w:szCs w:val="24"/>
          <w:lang w:val="en-US" w:eastAsia="zh-CN"/>
        </w:rPr>
        <w:t>19</w:t>
      </w:r>
      <w:r>
        <w:rPr>
          <w:spacing w:val="-2"/>
          <w:sz w:val="24"/>
          <w:szCs w:val="24"/>
        </w:rPr>
        <w:t>、评估区内其它区域</w:t>
      </w:r>
    </w:p>
    <w:p w14:paraId="0B08795F">
      <w:pPr>
        <w:pStyle w:val="5"/>
        <w:spacing w:line="360" w:lineRule="auto"/>
        <w:ind w:right="0" w:firstLine="0" w:firstLineChars="0"/>
        <w:rPr>
          <w:rFonts w:hint="default" w:asciiTheme="minorEastAsia" w:hAnsiTheme="minorEastAsia" w:eastAsiaTheme="minorEastAsia" w:cstheme="minorEastAsia"/>
          <w:b/>
          <w:bCs/>
          <w:spacing w:val="-3"/>
          <w:sz w:val="21"/>
          <w:szCs w:val="21"/>
          <w:lang w:val="en-US" w:eastAsia="zh-CN"/>
        </w:rPr>
      </w:pPr>
      <w:r>
        <w:rPr>
          <w:spacing w:val="3"/>
          <w:sz w:val="24"/>
          <w:szCs w:val="24"/>
        </w:rPr>
        <w:t>评估区内其它区域矿山活动极少，矿山活动对地形地貌影响较轻，该区其它</w:t>
      </w:r>
      <w:r>
        <w:rPr>
          <w:spacing w:val="-3"/>
          <w:sz w:val="24"/>
          <w:szCs w:val="24"/>
        </w:rPr>
        <w:t>地方基本保持了原生的地形地貌状态。</w:t>
      </w:r>
    </w:p>
    <w:p w14:paraId="369D3D71">
      <w:pPr>
        <w:pStyle w:val="3"/>
        <w:keepNext/>
        <w:keepLines/>
        <w:pageBreakBefore w:val="0"/>
        <w:widowControl w:val="0"/>
        <w:numPr>
          <w:ilvl w:val="0"/>
          <w:numId w:val="5"/>
        </w:numPr>
        <w:kinsoku/>
        <w:wordWrap/>
        <w:overflowPunct/>
        <w:topLinePunct w:val="0"/>
        <w:autoSpaceDE/>
        <w:autoSpaceDN/>
        <w:bidi w:val="0"/>
        <w:adjustRightInd/>
        <w:snapToGrid/>
        <w:spacing w:before="0" w:line="360" w:lineRule="auto"/>
        <w:ind w:left="480" w:leftChars="0" w:firstLine="0" w:firstLineChars="0"/>
        <w:jc w:val="both"/>
        <w:textAlignment w:val="auto"/>
        <w:rPr>
          <w:rFonts w:hint="eastAsia" w:asciiTheme="minorEastAsia" w:hAnsiTheme="minorEastAsia" w:eastAsiaTheme="minorEastAsia" w:cstheme="minorEastAsia"/>
          <w:b/>
          <w:color w:val="auto"/>
          <w:sz w:val="28"/>
          <w:szCs w:val="28"/>
          <w:lang w:eastAsia="zh-CN"/>
        </w:rPr>
      </w:pPr>
      <w:bookmarkStart w:id="7" w:name="_Toc18177"/>
      <w:bookmarkStart w:id="8" w:name="_Toc32129"/>
      <w:r>
        <w:rPr>
          <w:rFonts w:hint="eastAsia" w:asciiTheme="minorEastAsia" w:hAnsiTheme="minorEastAsia" w:eastAsiaTheme="minorEastAsia" w:cstheme="minorEastAsia"/>
          <w:b/>
          <w:color w:val="auto"/>
          <w:sz w:val="28"/>
          <w:szCs w:val="28"/>
          <w:lang w:eastAsia="zh-CN"/>
        </w:rPr>
        <w:t>矿山地质环境问题预测</w:t>
      </w:r>
      <w:bookmarkEnd w:id="7"/>
      <w:bookmarkEnd w:id="8"/>
    </w:p>
    <w:p w14:paraId="177195C9">
      <w:pPr>
        <w:bidi w:val="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一</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地质灾害</w:t>
      </w:r>
      <w:r>
        <w:rPr>
          <w:rFonts w:hint="eastAsia" w:asciiTheme="minorEastAsia" w:hAnsiTheme="minorEastAsia" w:eastAsiaTheme="minorEastAsia" w:cstheme="minorEastAsia"/>
          <w:b/>
          <w:bCs/>
          <w:sz w:val="24"/>
          <w:szCs w:val="24"/>
          <w:lang w:val="en-US" w:eastAsia="zh-CN"/>
        </w:rPr>
        <w:t>预测</w:t>
      </w:r>
    </w:p>
    <w:p w14:paraId="1F1329A6">
      <w:pPr>
        <w:bidi w:val="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预测采矿活动不会引发泥石流、滑坡、崩塌、地面沉降、地裂缝、冻胀融陷、发风蚀沙埋灾害,可能会引发地面塌陷，预测评估影响程度为较严重。</w:t>
      </w:r>
    </w:p>
    <w:p w14:paraId="570004DA">
      <w:pPr>
        <w:bidi w:val="0"/>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二</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含水层破坏</w:t>
      </w:r>
      <w:r>
        <w:rPr>
          <w:rFonts w:hint="eastAsia" w:asciiTheme="minorEastAsia" w:hAnsiTheme="minorEastAsia" w:eastAsiaTheme="minorEastAsia" w:cstheme="minorEastAsia"/>
          <w:b/>
          <w:bCs/>
          <w:sz w:val="24"/>
          <w:szCs w:val="24"/>
          <w:lang w:val="en-US" w:eastAsia="zh-CN"/>
        </w:rPr>
        <w:t>预测</w:t>
      </w:r>
    </w:p>
    <w:p w14:paraId="35470CBD">
      <w:pPr>
        <w:pStyle w:val="5"/>
        <w:spacing w:line="360" w:lineRule="auto"/>
        <w:ind w:left="0" w:right="0" w:firstLine="492" w:firstLineChars="200"/>
        <w:jc w:val="both"/>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3"/>
          <w:sz w:val="24"/>
          <w:szCs w:val="24"/>
        </w:rPr>
        <w:t>预</w:t>
      </w:r>
      <w:r>
        <w:rPr>
          <w:rFonts w:hint="eastAsia" w:asciiTheme="minorEastAsia" w:hAnsiTheme="minorEastAsia" w:eastAsiaTheme="minorEastAsia" w:cstheme="minorEastAsia"/>
          <w:spacing w:val="2"/>
          <w:sz w:val="24"/>
          <w:szCs w:val="24"/>
        </w:rPr>
        <w:t>计污染物对矿山周</w:t>
      </w:r>
      <w:r>
        <w:rPr>
          <w:rFonts w:hint="eastAsia" w:asciiTheme="minorEastAsia" w:hAnsiTheme="minorEastAsia" w:eastAsiaTheme="minorEastAsia" w:cstheme="minorEastAsia"/>
          <w:spacing w:val="3"/>
          <w:sz w:val="24"/>
          <w:szCs w:val="24"/>
        </w:rPr>
        <w:t>围及下游村庄饮用水源造成影响较轻。预测评估采矿活动对尾</w:t>
      </w:r>
      <w:r>
        <w:rPr>
          <w:rFonts w:hint="eastAsia" w:asciiTheme="minorEastAsia" w:hAnsiTheme="minorEastAsia" w:eastAsiaTheme="minorEastAsia" w:cstheme="minorEastAsia"/>
          <w:spacing w:val="2"/>
          <w:sz w:val="24"/>
          <w:szCs w:val="24"/>
        </w:rPr>
        <w:t>矿库周边地下水水</w:t>
      </w:r>
      <w:r>
        <w:rPr>
          <w:rFonts w:hint="eastAsia" w:asciiTheme="minorEastAsia" w:hAnsiTheme="minorEastAsia" w:eastAsiaTheme="minorEastAsia" w:cstheme="minorEastAsia"/>
          <w:spacing w:val="-2"/>
          <w:sz w:val="24"/>
          <w:szCs w:val="24"/>
        </w:rPr>
        <w:t>质影响较严重。</w:t>
      </w:r>
    </w:p>
    <w:p w14:paraId="76B463D4">
      <w:pPr>
        <w:bidi w:val="0"/>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三</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地形地貌景观破坏</w:t>
      </w:r>
      <w:r>
        <w:rPr>
          <w:rFonts w:hint="eastAsia" w:asciiTheme="minorEastAsia" w:hAnsiTheme="minorEastAsia" w:eastAsiaTheme="minorEastAsia" w:cstheme="minorEastAsia"/>
          <w:b/>
          <w:bCs/>
          <w:sz w:val="24"/>
          <w:szCs w:val="24"/>
          <w:lang w:val="en-US" w:eastAsia="zh-CN"/>
        </w:rPr>
        <w:t>预测</w:t>
      </w:r>
    </w:p>
    <w:p w14:paraId="03CEF938">
      <w:pPr>
        <w:bidi w:val="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在未来矿山生产过程中，预测地面塌陷区、SJ1工业场地、SJ15工业场地、SJ2工业场地、SJ35工业场地、FJ56工业场地、FJ35工业场地、FJ26工业场地、FJ大黄线工业场地、物资供应部、办公生活区对地形地貌景观影响严重；取土场1、一选厂、尾矿库、炸药库、矿区道路、综合废石场对矿区地形地貌景观影响较严重；取土场1、取土场2、截洪沟及其他区域对矿区地形地貌景观影响较轻</w:t>
      </w:r>
      <w:r>
        <w:rPr>
          <w:rFonts w:hint="eastAsia" w:asciiTheme="minorEastAsia" w:hAnsiTheme="minorEastAsia" w:eastAsiaTheme="minorEastAsia" w:cstheme="minorEastAsia"/>
          <w:sz w:val="24"/>
          <w:szCs w:val="24"/>
          <w:lang w:eastAsia="zh-CN"/>
        </w:rPr>
        <w:t>。</w:t>
      </w:r>
    </w:p>
    <w:p w14:paraId="79851AFF">
      <w:pPr>
        <w:pStyle w:val="2"/>
        <w:numPr>
          <w:ilvl w:val="0"/>
          <w:numId w:val="6"/>
        </w:numPr>
        <w:bidi w:val="0"/>
        <w:rPr>
          <w:rFonts w:hint="eastAsia"/>
          <w:sz w:val="30"/>
          <w:szCs w:val="30"/>
          <w:lang w:val="en-US" w:eastAsia="zh-CN"/>
        </w:rPr>
      </w:pPr>
      <w:bookmarkStart w:id="9" w:name="_Toc20166"/>
      <w:r>
        <w:rPr>
          <w:rFonts w:hint="eastAsia"/>
          <w:sz w:val="30"/>
          <w:szCs w:val="30"/>
          <w:lang w:val="en-US" w:eastAsia="zh-CN"/>
        </w:rPr>
        <w:t>以往矿山地质环境治理工程及土地复垦成效</w:t>
      </w:r>
      <w:bookmarkEnd w:id="9"/>
    </w:p>
    <w:p w14:paraId="35BB0969">
      <w:pPr>
        <w:pStyle w:val="3"/>
        <w:pageBreakBefore w:val="0"/>
        <w:widowControl w:val="0"/>
        <w:numPr>
          <w:ilvl w:val="0"/>
          <w:numId w:val="7"/>
        </w:numPr>
        <w:kinsoku/>
        <w:wordWrap/>
        <w:overflowPunct/>
        <w:topLinePunct w:val="0"/>
        <w:autoSpaceDE/>
        <w:autoSpaceDN/>
        <w:bidi w:val="0"/>
        <w:adjustRightInd/>
        <w:snapToGrid/>
        <w:spacing w:before="0"/>
        <w:ind w:left="480" w:leftChars="0" w:firstLineChars="0"/>
        <w:jc w:val="both"/>
        <w:textAlignment w:val="auto"/>
        <w:rPr>
          <w:rFonts w:hint="eastAsia" w:ascii="宋体" w:hAnsi="宋体" w:eastAsia="宋体" w:cs="宋体"/>
          <w:b/>
          <w:color w:val="auto"/>
          <w:sz w:val="28"/>
          <w:szCs w:val="28"/>
          <w:lang w:val="en-US" w:eastAsia="zh-CN"/>
        </w:rPr>
      </w:pPr>
      <w:bookmarkStart w:id="10" w:name="_Toc1815"/>
      <w:r>
        <w:rPr>
          <w:rFonts w:hint="eastAsia" w:ascii="宋体" w:hAnsi="宋体" w:eastAsia="宋体" w:cs="宋体"/>
          <w:b/>
          <w:color w:val="auto"/>
          <w:sz w:val="28"/>
          <w:szCs w:val="28"/>
          <w:lang w:val="en-US" w:eastAsia="zh-CN"/>
        </w:rPr>
        <w:t>矿山地质环境治理及土地复垦现状</w:t>
      </w:r>
      <w:bookmarkEnd w:id="10"/>
    </w:p>
    <w:p w14:paraId="79169A2C">
      <w:pPr>
        <w:pStyle w:val="5"/>
        <w:numPr>
          <w:ilvl w:val="0"/>
          <w:numId w:val="8"/>
        </w:numPr>
        <w:spacing w:line="360" w:lineRule="auto"/>
        <w:ind w:left="0" w:right="0" w:firstLine="494" w:firstLineChars="200"/>
        <w:jc w:val="left"/>
        <w:rPr>
          <w:rFonts w:hint="eastAsia" w:asciiTheme="minorEastAsia" w:hAnsiTheme="minorEastAsia" w:eastAsiaTheme="minorEastAsia" w:cstheme="minorEastAsia"/>
          <w:b/>
          <w:bCs/>
          <w:spacing w:val="3"/>
          <w:sz w:val="24"/>
          <w:szCs w:val="24"/>
          <w:lang w:eastAsia="zh-CN"/>
        </w:rPr>
      </w:pPr>
      <w:r>
        <w:rPr>
          <w:rFonts w:hint="eastAsia" w:asciiTheme="minorEastAsia" w:hAnsiTheme="minorEastAsia" w:eastAsiaTheme="minorEastAsia" w:cstheme="minorEastAsia"/>
          <w:b/>
          <w:bCs/>
          <w:spacing w:val="3"/>
          <w:sz w:val="24"/>
          <w:szCs w:val="24"/>
          <w:lang w:eastAsia="zh-CN"/>
        </w:rPr>
        <w:t>《</w:t>
      </w:r>
      <w:r>
        <w:rPr>
          <w:rFonts w:hint="eastAsia" w:asciiTheme="minorEastAsia" w:hAnsiTheme="minorEastAsia" w:eastAsiaTheme="minorEastAsia" w:cstheme="minorEastAsia"/>
          <w:b/>
          <w:bCs/>
          <w:spacing w:val="3"/>
          <w:sz w:val="24"/>
          <w:szCs w:val="24"/>
          <w:lang w:val="en-US" w:eastAsia="zh-CN"/>
        </w:rPr>
        <w:t>一分期方案</w:t>
      </w:r>
      <w:r>
        <w:rPr>
          <w:rFonts w:hint="eastAsia" w:asciiTheme="minorEastAsia" w:hAnsiTheme="minorEastAsia" w:eastAsiaTheme="minorEastAsia" w:cstheme="minorEastAsia"/>
          <w:b/>
          <w:bCs/>
          <w:spacing w:val="3"/>
          <w:sz w:val="24"/>
          <w:szCs w:val="24"/>
          <w:lang w:eastAsia="zh-CN"/>
        </w:rPr>
        <w:t>》</w:t>
      </w:r>
    </w:p>
    <w:p w14:paraId="2076F0C6">
      <w:pPr>
        <w:pStyle w:val="5"/>
        <w:numPr>
          <w:ilvl w:val="0"/>
          <w:numId w:val="0"/>
        </w:numPr>
        <w:spacing w:line="360" w:lineRule="auto"/>
        <w:ind w:right="0" w:rightChars="0" w:firstLine="492" w:firstLineChars="200"/>
        <w:jc w:val="left"/>
        <w:rPr>
          <w:rFonts w:hint="eastAsia" w:asciiTheme="minorEastAsia" w:hAnsiTheme="minorEastAsia" w:eastAsiaTheme="minorEastAsia" w:cstheme="minorEastAsia"/>
          <w:spacing w:val="3"/>
          <w:sz w:val="24"/>
          <w:szCs w:val="24"/>
          <w:lang w:eastAsia="zh-CN"/>
        </w:rPr>
      </w:pPr>
      <w:r>
        <w:rPr>
          <w:rFonts w:hint="eastAsia" w:asciiTheme="minorEastAsia" w:hAnsiTheme="minorEastAsia" w:eastAsiaTheme="minorEastAsia" w:cstheme="minorEastAsia"/>
          <w:spacing w:val="3"/>
          <w:sz w:val="24"/>
          <w:szCs w:val="24"/>
        </w:rPr>
        <w:t>矿山地质环境分期治理及土地复垦方案（2011.1.-2014.8.1）设计治理及完成情况2014年6月，内蒙古地质矿产勘查院承担《内蒙古金陶股份有限公司金厂沟梁金矿矿山地质环境分期治理及土地复垦方案（2011年1月-2014年8月1日）》，该方案于2014年10月23日评审备案［审查文号：赤分治备字（2014）146号］</w:t>
      </w:r>
      <w:r>
        <w:rPr>
          <w:rFonts w:hint="eastAsia" w:asciiTheme="minorEastAsia" w:hAnsiTheme="minorEastAsia" w:eastAsiaTheme="minorEastAsia" w:cstheme="minorEastAsia"/>
          <w:spacing w:val="3"/>
          <w:sz w:val="24"/>
          <w:szCs w:val="24"/>
          <w:lang w:eastAsia="zh-CN"/>
        </w:rPr>
        <w:t>；</w:t>
      </w:r>
    </w:p>
    <w:p w14:paraId="31F1EE1D">
      <w:pPr>
        <w:pStyle w:val="5"/>
        <w:spacing w:line="360" w:lineRule="auto"/>
        <w:ind w:left="0" w:right="0" w:firstLine="472"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2014年7月，内蒙古第十地质矿产勘查开发有限责任公司、赤峰国源地产评</w:t>
      </w:r>
      <w:r>
        <w:rPr>
          <w:rFonts w:hint="eastAsia" w:asciiTheme="minorEastAsia" w:hAnsiTheme="minorEastAsia" w:eastAsiaTheme="minorEastAsia" w:cstheme="minorEastAsia"/>
          <w:spacing w:val="3"/>
          <w:sz w:val="24"/>
          <w:szCs w:val="24"/>
        </w:rPr>
        <w:t>估有限公司共同编制了《内蒙古自治区敖汉旗（内蒙古金陶股</w:t>
      </w:r>
      <w:r>
        <w:rPr>
          <w:rFonts w:hint="eastAsia" w:asciiTheme="minorEastAsia" w:hAnsiTheme="minorEastAsia" w:eastAsiaTheme="minorEastAsia" w:cstheme="minorEastAsia"/>
          <w:spacing w:val="2"/>
          <w:sz w:val="24"/>
          <w:szCs w:val="24"/>
        </w:rPr>
        <w:t>份有限公司）金厂</w:t>
      </w:r>
      <w:r>
        <w:rPr>
          <w:rFonts w:hint="eastAsia" w:asciiTheme="minorEastAsia" w:hAnsiTheme="minorEastAsia" w:eastAsiaTheme="minorEastAsia" w:cstheme="minorEastAsia"/>
          <w:spacing w:val="9"/>
          <w:sz w:val="24"/>
          <w:szCs w:val="24"/>
        </w:rPr>
        <w:t>沟梁金矿矿山地质环境保护与恢复治理及土地复垦方</w:t>
      </w:r>
      <w:r>
        <w:rPr>
          <w:rFonts w:hint="eastAsia" w:asciiTheme="minorEastAsia" w:hAnsiTheme="minorEastAsia" w:eastAsiaTheme="minorEastAsia" w:cstheme="minorEastAsia"/>
          <w:spacing w:val="8"/>
          <w:sz w:val="24"/>
          <w:szCs w:val="24"/>
        </w:rPr>
        <w:t>案》(赤分治备字[2014]52</w:t>
      </w:r>
      <w:r>
        <w:rPr>
          <w:rFonts w:hint="eastAsia" w:asciiTheme="minorEastAsia" w:hAnsiTheme="minorEastAsia" w:eastAsiaTheme="minorEastAsia" w:cstheme="minorEastAsia"/>
          <w:spacing w:val="-2"/>
          <w:sz w:val="24"/>
          <w:szCs w:val="24"/>
        </w:rPr>
        <w:t>号)。本方案设计的近期（2015.1-2017.12）治理内容为：对采石场1、采石场2进</w:t>
      </w:r>
      <w:r>
        <w:rPr>
          <w:rFonts w:hint="eastAsia" w:asciiTheme="minorEastAsia" w:hAnsiTheme="minorEastAsia" w:eastAsiaTheme="minorEastAsia" w:cstheme="minorEastAsia"/>
          <w:spacing w:val="3"/>
          <w:sz w:val="24"/>
          <w:szCs w:val="24"/>
        </w:rPr>
        <w:t>行削坡、覆土、整平并恢复植被；对面塌陷区进行监测，经现</w:t>
      </w:r>
      <w:r>
        <w:rPr>
          <w:rFonts w:hint="eastAsia" w:asciiTheme="minorEastAsia" w:hAnsiTheme="minorEastAsia" w:eastAsiaTheme="minorEastAsia" w:cstheme="minorEastAsia"/>
          <w:spacing w:val="2"/>
          <w:sz w:val="24"/>
          <w:szCs w:val="24"/>
        </w:rPr>
        <w:t>场调查本矿山未对</w:t>
      </w:r>
      <w:r>
        <w:rPr>
          <w:rFonts w:hint="eastAsia" w:asciiTheme="minorEastAsia" w:hAnsiTheme="minorEastAsia" w:eastAsiaTheme="minorEastAsia" w:cstheme="minorEastAsia"/>
          <w:spacing w:val="-2"/>
          <w:sz w:val="24"/>
          <w:szCs w:val="24"/>
        </w:rPr>
        <w:t>采石场1和采石场2进行相应治理，现状未发现地面塌陷地质灾害，矿山对采空</w:t>
      </w:r>
      <w:r>
        <w:rPr>
          <w:rFonts w:hint="eastAsia" w:asciiTheme="minorEastAsia" w:hAnsiTheme="minorEastAsia" w:eastAsiaTheme="minorEastAsia" w:cstheme="minorEastAsia"/>
          <w:sz w:val="24"/>
          <w:szCs w:val="24"/>
        </w:rPr>
        <w:t>区上部进行了监测。</w:t>
      </w:r>
    </w:p>
    <w:p w14:paraId="68D22612">
      <w:pPr>
        <w:pStyle w:val="5"/>
        <w:numPr>
          <w:ilvl w:val="0"/>
          <w:numId w:val="8"/>
        </w:numPr>
        <w:spacing w:line="360" w:lineRule="auto"/>
        <w:ind w:left="0" w:leftChars="0" w:right="0" w:firstLine="482" w:firstLineChars="200"/>
        <w:jc w:val="left"/>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2014年治理方案</w:t>
      </w:r>
      <w:r>
        <w:rPr>
          <w:rFonts w:hint="eastAsia" w:asciiTheme="minorEastAsia" w:hAnsiTheme="minorEastAsia" w:eastAsiaTheme="minorEastAsia" w:cstheme="minorEastAsia"/>
          <w:b/>
          <w:bCs/>
          <w:sz w:val="24"/>
          <w:szCs w:val="24"/>
          <w:lang w:eastAsia="zh-CN"/>
        </w:rPr>
        <w:t>》</w:t>
      </w:r>
    </w:p>
    <w:p w14:paraId="5FF15B74">
      <w:pPr>
        <w:pStyle w:val="5"/>
        <w:numPr>
          <w:ilvl w:val="0"/>
          <w:numId w:val="0"/>
        </w:numPr>
        <w:spacing w:line="360" w:lineRule="auto"/>
        <w:ind w:left="0" w:leftChars="0" w:right="0" w:rightChars="0" w:firstLine="472" w:firstLineChars="200"/>
        <w:jc w:val="left"/>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spacing w:val="-2"/>
          <w:sz w:val="24"/>
          <w:szCs w:val="24"/>
        </w:rPr>
        <w:t>2014年7月，内蒙古第十地质矿产勘查开发有限责任公司、赤峰国源地产评</w:t>
      </w:r>
      <w:r>
        <w:rPr>
          <w:rFonts w:hint="eastAsia" w:asciiTheme="minorEastAsia" w:hAnsiTheme="minorEastAsia" w:eastAsiaTheme="minorEastAsia" w:cstheme="minorEastAsia"/>
          <w:spacing w:val="3"/>
          <w:sz w:val="24"/>
          <w:szCs w:val="24"/>
        </w:rPr>
        <w:t>估有限公司共同编制了《内蒙古自治区敖汉旗（内蒙古金陶股</w:t>
      </w:r>
      <w:r>
        <w:rPr>
          <w:rFonts w:hint="eastAsia" w:asciiTheme="minorEastAsia" w:hAnsiTheme="minorEastAsia" w:eastAsiaTheme="minorEastAsia" w:cstheme="minorEastAsia"/>
          <w:spacing w:val="2"/>
          <w:sz w:val="24"/>
          <w:szCs w:val="24"/>
        </w:rPr>
        <w:t>份有限公司）金厂</w:t>
      </w:r>
      <w:r>
        <w:rPr>
          <w:rFonts w:hint="eastAsia" w:asciiTheme="minorEastAsia" w:hAnsiTheme="minorEastAsia" w:eastAsiaTheme="minorEastAsia" w:cstheme="minorEastAsia"/>
          <w:spacing w:val="9"/>
          <w:sz w:val="24"/>
          <w:szCs w:val="24"/>
        </w:rPr>
        <w:t>沟梁金矿矿山地质环境保护与恢复治理及土地复垦方</w:t>
      </w:r>
      <w:r>
        <w:rPr>
          <w:rFonts w:hint="eastAsia" w:asciiTheme="minorEastAsia" w:hAnsiTheme="minorEastAsia" w:eastAsiaTheme="minorEastAsia" w:cstheme="minorEastAsia"/>
          <w:spacing w:val="8"/>
          <w:sz w:val="24"/>
          <w:szCs w:val="24"/>
        </w:rPr>
        <w:t>案》(赤分治备字[2014]52</w:t>
      </w:r>
      <w:r>
        <w:rPr>
          <w:rFonts w:hint="eastAsia" w:asciiTheme="minorEastAsia" w:hAnsiTheme="minorEastAsia" w:eastAsiaTheme="minorEastAsia" w:cstheme="minorEastAsia"/>
          <w:spacing w:val="-2"/>
          <w:sz w:val="24"/>
          <w:szCs w:val="24"/>
        </w:rPr>
        <w:t>号)。本方案设计的近期（2015.1-2017.12）治理内容为：对采石场1、采石场2进</w:t>
      </w:r>
      <w:r>
        <w:rPr>
          <w:rFonts w:hint="eastAsia" w:asciiTheme="minorEastAsia" w:hAnsiTheme="minorEastAsia" w:eastAsiaTheme="minorEastAsia" w:cstheme="minorEastAsia"/>
          <w:spacing w:val="3"/>
          <w:sz w:val="24"/>
          <w:szCs w:val="24"/>
        </w:rPr>
        <w:t>行削坡、覆土、整平并恢复植被；对面塌陷区进行监测，</w:t>
      </w:r>
    </w:p>
    <w:p w14:paraId="6002D339">
      <w:pPr>
        <w:pStyle w:val="5"/>
        <w:spacing w:line="360" w:lineRule="auto"/>
        <w:ind w:left="0" w:right="0" w:firstLine="482" w:firstLineChars="200"/>
        <w:jc w:val="left"/>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三</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二分期方案</w:t>
      </w:r>
      <w:r>
        <w:rPr>
          <w:rFonts w:hint="eastAsia" w:asciiTheme="minorEastAsia" w:hAnsiTheme="minorEastAsia" w:eastAsiaTheme="minorEastAsia" w:cstheme="minorEastAsia"/>
          <w:b/>
          <w:bCs/>
          <w:sz w:val="24"/>
          <w:szCs w:val="24"/>
          <w:lang w:eastAsia="zh-CN"/>
        </w:rPr>
        <w:t>》</w:t>
      </w:r>
    </w:p>
    <w:p w14:paraId="0E136B7A">
      <w:pPr>
        <w:pStyle w:val="5"/>
        <w:spacing w:line="360" w:lineRule="auto"/>
        <w:ind w:left="0" w:right="0" w:firstLine="476"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2018年2月，江西核工业工程地质勘察院和赤峰国源地产评估有限责任公司</w:t>
      </w:r>
      <w:r>
        <w:rPr>
          <w:rFonts w:hint="eastAsia" w:asciiTheme="minorEastAsia" w:hAnsiTheme="minorEastAsia" w:eastAsiaTheme="minorEastAsia" w:cstheme="minorEastAsia"/>
          <w:sz w:val="24"/>
          <w:szCs w:val="24"/>
        </w:rPr>
        <w:t>共同编制了《内蒙古自治区敖汉旗（内蒙古金陶股份有限公</w:t>
      </w:r>
      <w:r>
        <w:rPr>
          <w:rFonts w:hint="eastAsia" w:asciiTheme="minorEastAsia" w:hAnsiTheme="minorEastAsia" w:eastAsiaTheme="minorEastAsia" w:cstheme="minorEastAsia"/>
          <w:spacing w:val="-1"/>
          <w:sz w:val="24"/>
          <w:szCs w:val="24"/>
        </w:rPr>
        <w:t>司）金厂沟梁金矿矿</w:t>
      </w:r>
      <w:r>
        <w:rPr>
          <w:rFonts w:hint="eastAsia" w:asciiTheme="minorEastAsia" w:hAnsiTheme="minorEastAsia" w:eastAsiaTheme="minorEastAsia" w:cstheme="minorEastAsia"/>
          <w:sz w:val="24"/>
          <w:szCs w:val="24"/>
        </w:rPr>
        <w:t>山地质环境治理方案》(赤矿备字[2018]</w:t>
      </w:r>
      <w:r>
        <w:rPr>
          <w:rFonts w:hint="eastAsia" w:asciiTheme="minorEastAsia" w:hAnsiTheme="minorEastAsia" w:eastAsiaTheme="minorEastAsia" w:cstheme="minorEastAsia"/>
          <w:spacing w:val="-1"/>
          <w:sz w:val="24"/>
          <w:szCs w:val="24"/>
        </w:rPr>
        <w:t>008号)。经申请赤峰市国土资源局同意，</w:t>
      </w:r>
      <w:r>
        <w:rPr>
          <w:rFonts w:hint="eastAsia" w:asciiTheme="minorEastAsia" w:hAnsiTheme="minorEastAsia" w:eastAsiaTheme="minorEastAsia" w:cstheme="minorEastAsia"/>
          <w:sz w:val="24"/>
          <w:szCs w:val="24"/>
        </w:rPr>
        <w:t>将本次矿山地质环境保护与恢复治理及土地复垦方案规划</w:t>
      </w:r>
      <w:r>
        <w:rPr>
          <w:rFonts w:hint="eastAsia" w:asciiTheme="minorEastAsia" w:hAnsiTheme="minorEastAsia" w:eastAsiaTheme="minorEastAsia" w:cstheme="minorEastAsia"/>
          <w:spacing w:val="-1"/>
          <w:sz w:val="24"/>
          <w:szCs w:val="24"/>
        </w:rPr>
        <w:t>的近期治理工程内容</w:t>
      </w:r>
    </w:p>
    <w:p w14:paraId="4D7A114E">
      <w:pPr>
        <w:pStyle w:val="5"/>
        <w:spacing w:line="360" w:lineRule="auto"/>
        <w:ind w:left="0" w:right="0" w:firstLine="0" w:firstLineChars="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pacing w:val="-2"/>
          <w:sz w:val="24"/>
          <w:szCs w:val="24"/>
        </w:rPr>
        <w:t>（2018.1.1-2020.12.31）代替二分期治理内容。</w:t>
      </w:r>
      <w:r>
        <w:rPr>
          <w:rFonts w:hint="eastAsia" w:asciiTheme="minorEastAsia" w:hAnsiTheme="minorEastAsia" w:eastAsiaTheme="minorEastAsia" w:cstheme="minorEastAsia"/>
          <w:spacing w:val="-2"/>
          <w:sz w:val="24"/>
          <w:szCs w:val="24"/>
          <w:lang w:val="en-US" w:eastAsia="zh-CN"/>
        </w:rPr>
        <w:t>方案内容为：对尾矿库北侧截水沟扰动区域、取土场进行平整、播撒草籽；对1号采石场和2号采石场进行回填、覆土、平整、植树、播撒草籽；</w:t>
      </w:r>
      <w:r>
        <w:rPr>
          <w:rFonts w:hint="eastAsia" w:asciiTheme="minorEastAsia" w:hAnsiTheme="minorEastAsia" w:eastAsiaTheme="minorEastAsia" w:cstheme="minorEastAsia"/>
          <w:sz w:val="24"/>
          <w:szCs w:val="24"/>
          <w:lang w:val="en-US" w:eastAsia="zh-CN"/>
        </w:rPr>
        <w:t>对</w:t>
      </w:r>
      <w:r>
        <w:rPr>
          <w:rFonts w:hint="eastAsia" w:asciiTheme="minorEastAsia" w:hAnsiTheme="minorEastAsia" w:eastAsiaTheme="minorEastAsia" w:cstheme="minorEastAsia"/>
          <w:sz w:val="24"/>
          <w:szCs w:val="24"/>
        </w:rPr>
        <w:t>对预测地面塌陷区地表进行变形监测；对土地损毁进行监测；对尾矿库下游地下水进行监测；对前期复垦工程管护。</w:t>
      </w:r>
    </w:p>
    <w:p w14:paraId="3E2E5C94">
      <w:pPr>
        <w:pStyle w:val="5"/>
        <w:spacing w:line="360" w:lineRule="auto"/>
        <w:ind w:left="0" w:right="0" w:firstLine="474" w:firstLineChars="200"/>
        <w:rPr>
          <w:rFonts w:hint="eastAsia" w:asciiTheme="minorEastAsia" w:hAnsiTheme="minorEastAsia" w:eastAsiaTheme="minorEastAsia" w:cstheme="minorEastAsia"/>
          <w:b/>
          <w:bCs/>
          <w:spacing w:val="-2"/>
          <w:sz w:val="24"/>
          <w:szCs w:val="24"/>
          <w:lang w:val="en-US" w:eastAsia="zh-CN"/>
        </w:rPr>
      </w:pPr>
      <w:r>
        <w:rPr>
          <w:rFonts w:hint="eastAsia" w:asciiTheme="minorEastAsia" w:hAnsiTheme="minorEastAsia" w:eastAsiaTheme="minorEastAsia" w:cstheme="minorEastAsia"/>
          <w:b/>
          <w:bCs/>
          <w:spacing w:val="-2"/>
          <w:sz w:val="24"/>
          <w:szCs w:val="24"/>
          <w:lang w:val="en-US" w:eastAsia="zh-CN"/>
        </w:rPr>
        <w:t>（四）2021年计划书</w:t>
      </w:r>
    </w:p>
    <w:p w14:paraId="6E664439">
      <w:pPr>
        <w:pStyle w:val="5"/>
        <w:spacing w:line="360" w:lineRule="auto"/>
        <w:ind w:left="0" w:right="0" w:firstLine="472" w:firstLineChars="200"/>
        <w:rPr>
          <w:rFonts w:hint="eastAsia" w:asciiTheme="minorEastAsia" w:hAnsiTheme="minorEastAsia" w:eastAsiaTheme="minorEastAsia" w:cstheme="minorEastAsia"/>
          <w:spacing w:val="-8"/>
          <w:sz w:val="24"/>
          <w:szCs w:val="24"/>
          <w:lang w:val="en-US" w:eastAsia="zh-CN"/>
        </w:rPr>
      </w:pPr>
      <w:r>
        <w:rPr>
          <w:rFonts w:hint="eastAsia" w:asciiTheme="minorEastAsia" w:hAnsiTheme="minorEastAsia" w:eastAsiaTheme="minorEastAsia" w:cstheme="minorEastAsia"/>
          <w:spacing w:val="-2"/>
          <w:sz w:val="24"/>
          <w:szCs w:val="24"/>
        </w:rPr>
        <w:t>2021年1月，内蒙古通达矿业技术服务有限公司编制了《内蒙古金陶股份</w:t>
      </w:r>
      <w:r>
        <w:rPr>
          <w:rFonts w:hint="eastAsia" w:asciiTheme="minorEastAsia" w:hAnsiTheme="minorEastAsia" w:eastAsiaTheme="minorEastAsia" w:cstheme="minorEastAsia"/>
          <w:spacing w:val="-7"/>
          <w:sz w:val="24"/>
          <w:szCs w:val="24"/>
        </w:rPr>
        <w:t>有限公司金厂沟梁金矿2021年度矿山地质环境治理计</w:t>
      </w:r>
      <w:r>
        <w:rPr>
          <w:rFonts w:hint="eastAsia" w:asciiTheme="minorEastAsia" w:hAnsiTheme="minorEastAsia" w:eastAsiaTheme="minorEastAsia" w:cstheme="minorEastAsia"/>
          <w:spacing w:val="-8"/>
          <w:sz w:val="24"/>
          <w:szCs w:val="24"/>
        </w:rPr>
        <w:t>划书》，</w:t>
      </w:r>
      <w:r>
        <w:rPr>
          <w:rFonts w:hint="eastAsia" w:asciiTheme="minorEastAsia" w:hAnsiTheme="minorEastAsia" w:eastAsiaTheme="minorEastAsia" w:cstheme="minorEastAsia"/>
          <w:spacing w:val="-8"/>
          <w:sz w:val="24"/>
          <w:szCs w:val="24"/>
          <w:lang w:val="en-US" w:eastAsia="zh-CN"/>
        </w:rPr>
        <w:t>计划书确定的治理任务为对1号采石场和2号采石场进行补植杏树，对预测地面塌陷区地表进行变形监测；对土地损毁进行监测；对尾矿库下游地下水进行监测；对前期复垦工程管护。对前期已治理区进行管护。</w:t>
      </w:r>
    </w:p>
    <w:p w14:paraId="64D94B30">
      <w:pPr>
        <w:pStyle w:val="5"/>
        <w:spacing w:line="360" w:lineRule="auto"/>
        <w:ind w:left="0" w:right="0" w:firstLine="450" w:firstLineChars="200"/>
        <w:rPr>
          <w:rFonts w:hint="eastAsia" w:asciiTheme="minorEastAsia" w:hAnsiTheme="minorEastAsia" w:eastAsiaTheme="minorEastAsia" w:cstheme="minorEastAsia"/>
          <w:b/>
          <w:bCs/>
          <w:spacing w:val="-8"/>
          <w:sz w:val="24"/>
          <w:szCs w:val="24"/>
          <w:lang w:val="en-US" w:eastAsia="zh-CN"/>
        </w:rPr>
      </w:pPr>
      <w:r>
        <w:rPr>
          <w:rFonts w:hint="eastAsia" w:asciiTheme="minorEastAsia" w:hAnsiTheme="minorEastAsia" w:eastAsiaTheme="minorEastAsia" w:cstheme="minorEastAsia"/>
          <w:b/>
          <w:bCs/>
          <w:spacing w:val="-8"/>
          <w:sz w:val="24"/>
          <w:szCs w:val="24"/>
          <w:lang w:val="en-US" w:eastAsia="zh-CN"/>
        </w:rPr>
        <w:t>（五）2022年计划书</w:t>
      </w:r>
    </w:p>
    <w:p w14:paraId="463B953F">
      <w:pPr>
        <w:pStyle w:val="5"/>
        <w:spacing w:line="360" w:lineRule="auto"/>
        <w:ind w:left="0" w:right="0" w:firstLine="476" w:firstLineChars="200"/>
        <w:rPr>
          <w:rFonts w:hint="eastAsia" w:asciiTheme="minorEastAsia" w:hAnsiTheme="minorEastAsia" w:eastAsiaTheme="minorEastAsia" w:cstheme="minorEastAsia"/>
          <w:spacing w:val="-8"/>
          <w:sz w:val="24"/>
          <w:szCs w:val="24"/>
          <w:lang w:val="en-US" w:eastAsia="zh-CN"/>
        </w:rPr>
      </w:pPr>
      <w:r>
        <w:rPr>
          <w:rFonts w:hint="eastAsia" w:asciiTheme="minorEastAsia" w:hAnsiTheme="minorEastAsia" w:eastAsiaTheme="minorEastAsia" w:cstheme="minorEastAsia"/>
          <w:spacing w:val="-1"/>
          <w:sz w:val="24"/>
          <w:szCs w:val="24"/>
        </w:rPr>
        <w:t>2022年4月，内蒙古通达矿业技术服务有限公司编制了《内蒙古金陶股份</w:t>
      </w:r>
      <w:r>
        <w:rPr>
          <w:rFonts w:hint="eastAsia" w:asciiTheme="minorEastAsia" w:hAnsiTheme="minorEastAsia" w:eastAsiaTheme="minorEastAsia" w:cstheme="minorEastAsia"/>
          <w:spacing w:val="-7"/>
          <w:sz w:val="24"/>
          <w:szCs w:val="24"/>
        </w:rPr>
        <w:t>有限公司金厂沟梁金矿2022年度矿山地质环境治理计</w:t>
      </w:r>
      <w:r>
        <w:rPr>
          <w:rFonts w:hint="eastAsia" w:asciiTheme="minorEastAsia" w:hAnsiTheme="minorEastAsia" w:eastAsiaTheme="minorEastAsia" w:cstheme="minorEastAsia"/>
          <w:spacing w:val="-8"/>
          <w:sz w:val="24"/>
          <w:szCs w:val="24"/>
        </w:rPr>
        <w:t>划书》，</w:t>
      </w:r>
      <w:r>
        <w:rPr>
          <w:rFonts w:hint="eastAsia" w:asciiTheme="minorEastAsia" w:hAnsiTheme="minorEastAsia" w:eastAsiaTheme="minorEastAsia" w:cstheme="minorEastAsia"/>
          <w:spacing w:val="-8"/>
          <w:sz w:val="24"/>
          <w:szCs w:val="24"/>
          <w:lang w:val="en-US" w:eastAsia="zh-CN"/>
        </w:rPr>
        <w:t>计划书确定的治理任务为对1号采石场和2号采石场进行补植杏树，对预测地面塌陷区地表进行变形监测；对土地损毁进行监测；对尾矿库下游地下水进行监测；对前期复垦工程管护。对前期已治理区进行管护。</w:t>
      </w:r>
    </w:p>
    <w:p w14:paraId="20BF728D">
      <w:pPr>
        <w:pStyle w:val="5"/>
        <w:spacing w:line="360" w:lineRule="auto"/>
        <w:ind w:left="0" w:right="0" w:firstLine="450" w:firstLineChars="200"/>
        <w:rPr>
          <w:rFonts w:hint="eastAsia" w:asciiTheme="minorEastAsia" w:hAnsiTheme="minorEastAsia" w:eastAsiaTheme="minorEastAsia" w:cstheme="minorEastAsia"/>
          <w:b/>
          <w:bCs/>
          <w:spacing w:val="-8"/>
          <w:sz w:val="24"/>
          <w:szCs w:val="24"/>
          <w:lang w:val="en-US" w:eastAsia="zh-CN"/>
        </w:rPr>
      </w:pPr>
      <w:r>
        <w:rPr>
          <w:rFonts w:hint="eastAsia" w:asciiTheme="minorEastAsia" w:hAnsiTheme="minorEastAsia" w:eastAsiaTheme="minorEastAsia" w:cstheme="minorEastAsia"/>
          <w:b/>
          <w:bCs/>
          <w:spacing w:val="-8"/>
          <w:sz w:val="24"/>
          <w:szCs w:val="24"/>
          <w:lang w:val="en-US" w:eastAsia="zh-CN"/>
        </w:rPr>
        <w:t>（六）2023年计划书</w:t>
      </w:r>
    </w:p>
    <w:p w14:paraId="228D1DB0">
      <w:pPr>
        <w:pStyle w:val="5"/>
        <w:spacing w:before="0" w:line="360" w:lineRule="auto"/>
        <w:ind w:left="0" w:firstLine="476" w:firstLineChars="200"/>
        <w:jc w:val="both"/>
        <w:rPr>
          <w:rFonts w:hint="eastAsia" w:asciiTheme="minorEastAsia" w:hAnsiTheme="minorEastAsia" w:eastAsiaTheme="minorEastAsia" w:cstheme="minorEastAsia"/>
          <w:b/>
          <w:bCs/>
          <w:spacing w:val="-8"/>
          <w:sz w:val="24"/>
          <w:szCs w:val="24"/>
          <w:lang w:val="en-US" w:eastAsia="zh-CN"/>
        </w:rPr>
      </w:pPr>
      <w:r>
        <w:rPr>
          <w:rFonts w:hint="eastAsia" w:asciiTheme="minorEastAsia" w:hAnsiTheme="minorEastAsia" w:eastAsiaTheme="minorEastAsia" w:cstheme="minorEastAsia"/>
          <w:spacing w:val="-1"/>
          <w:sz w:val="24"/>
          <w:szCs w:val="24"/>
        </w:rPr>
        <w:t>202</w:t>
      </w:r>
      <w:r>
        <w:rPr>
          <w:rFonts w:hint="eastAsia" w:asciiTheme="minorEastAsia" w:hAnsiTheme="minorEastAsia" w:eastAsiaTheme="minorEastAsia" w:cstheme="minorEastAsia"/>
          <w:spacing w:val="-1"/>
          <w:sz w:val="24"/>
          <w:szCs w:val="24"/>
          <w:lang w:val="en-US" w:eastAsia="zh-CN"/>
        </w:rPr>
        <w:t>3</w:t>
      </w:r>
      <w:r>
        <w:rPr>
          <w:rFonts w:hint="eastAsia" w:asciiTheme="minorEastAsia" w:hAnsiTheme="minorEastAsia" w:eastAsiaTheme="minorEastAsia" w:cstheme="minorEastAsia"/>
          <w:spacing w:val="-1"/>
          <w:sz w:val="24"/>
          <w:szCs w:val="24"/>
        </w:rPr>
        <w:t>年</w:t>
      </w:r>
      <w:r>
        <w:rPr>
          <w:rFonts w:hint="eastAsia" w:asciiTheme="minorEastAsia" w:hAnsiTheme="minorEastAsia" w:eastAsiaTheme="minorEastAsia" w:cstheme="minorEastAsia"/>
          <w:spacing w:val="-1"/>
          <w:sz w:val="24"/>
          <w:szCs w:val="24"/>
          <w:lang w:val="en-US" w:eastAsia="zh-CN"/>
        </w:rPr>
        <w:t>2</w:t>
      </w:r>
      <w:r>
        <w:rPr>
          <w:rFonts w:hint="eastAsia" w:asciiTheme="minorEastAsia" w:hAnsiTheme="minorEastAsia" w:eastAsiaTheme="minorEastAsia" w:cstheme="minorEastAsia"/>
          <w:spacing w:val="-1"/>
          <w:sz w:val="24"/>
          <w:szCs w:val="24"/>
        </w:rPr>
        <w:t>月，内蒙古通达矿业技术服务有限公司编制了《内蒙古金陶股份</w:t>
      </w:r>
      <w:r>
        <w:rPr>
          <w:rFonts w:hint="eastAsia" w:asciiTheme="minorEastAsia" w:hAnsiTheme="minorEastAsia" w:eastAsiaTheme="minorEastAsia" w:cstheme="minorEastAsia"/>
          <w:spacing w:val="-7"/>
          <w:sz w:val="24"/>
          <w:szCs w:val="24"/>
        </w:rPr>
        <w:t>有限公司金厂沟梁金矿202</w:t>
      </w:r>
      <w:r>
        <w:rPr>
          <w:rFonts w:hint="eastAsia" w:asciiTheme="minorEastAsia" w:hAnsiTheme="minorEastAsia" w:eastAsiaTheme="minorEastAsia" w:cstheme="minorEastAsia"/>
          <w:spacing w:val="-7"/>
          <w:sz w:val="24"/>
          <w:szCs w:val="24"/>
          <w:lang w:val="en-US" w:eastAsia="zh-CN"/>
        </w:rPr>
        <w:t>4</w:t>
      </w:r>
      <w:r>
        <w:rPr>
          <w:rFonts w:hint="eastAsia" w:asciiTheme="minorEastAsia" w:hAnsiTheme="minorEastAsia" w:eastAsiaTheme="minorEastAsia" w:cstheme="minorEastAsia"/>
          <w:spacing w:val="-7"/>
          <w:sz w:val="24"/>
          <w:szCs w:val="24"/>
        </w:rPr>
        <w:t>年度矿山地质环境治理计</w:t>
      </w:r>
      <w:r>
        <w:rPr>
          <w:rFonts w:hint="eastAsia" w:asciiTheme="minorEastAsia" w:hAnsiTheme="minorEastAsia" w:eastAsiaTheme="minorEastAsia" w:cstheme="minorEastAsia"/>
          <w:spacing w:val="-8"/>
          <w:sz w:val="24"/>
          <w:szCs w:val="24"/>
        </w:rPr>
        <w:t>划书》</w:t>
      </w:r>
      <w:r>
        <w:rPr>
          <w:rFonts w:hint="eastAsia" w:asciiTheme="minorEastAsia" w:hAnsiTheme="minorEastAsia" w:eastAsiaTheme="minorEastAsia" w:cstheme="minorEastAsia"/>
          <w:spacing w:val="-8"/>
          <w:sz w:val="24"/>
          <w:szCs w:val="24"/>
          <w:lang w:eastAsia="zh-CN"/>
        </w:rPr>
        <w:t>，</w:t>
      </w:r>
      <w:r>
        <w:rPr>
          <w:rFonts w:hint="eastAsia" w:asciiTheme="minorEastAsia" w:hAnsiTheme="minorEastAsia" w:eastAsiaTheme="minorEastAsia" w:cstheme="minorEastAsia"/>
          <w:spacing w:val="-8"/>
          <w:sz w:val="24"/>
          <w:szCs w:val="24"/>
          <w:lang w:val="en-US" w:eastAsia="zh-CN"/>
        </w:rPr>
        <w:t>计划书确定的治理内容为</w:t>
      </w:r>
      <w:r>
        <w:rPr>
          <w:rFonts w:hint="eastAsia" w:asciiTheme="minorEastAsia" w:hAnsiTheme="minorEastAsia" w:eastAsiaTheme="minorEastAsia" w:cstheme="minorEastAsia"/>
          <w:sz w:val="24"/>
          <w:szCs w:val="24"/>
          <w:lang w:eastAsia="zh-CN"/>
        </w:rPr>
        <w:t>2023年度治理工程为监测管护工程，经现场调查，前期1号、2号采石场治理区仍存在缺苗现象，本年度矿山地质环境治理与土地复垦的主要任务1号、2号采石场的补植工程和监测工程。</w:t>
      </w:r>
    </w:p>
    <w:p w14:paraId="27014ADC">
      <w:pPr>
        <w:pStyle w:val="5"/>
        <w:spacing w:line="360" w:lineRule="auto"/>
        <w:ind w:left="0" w:right="0" w:firstLine="450" w:firstLineChars="200"/>
        <w:rPr>
          <w:rFonts w:hint="eastAsia" w:asciiTheme="minorEastAsia" w:hAnsiTheme="minorEastAsia" w:eastAsiaTheme="minorEastAsia" w:cstheme="minorEastAsia"/>
          <w:b/>
          <w:bCs/>
          <w:spacing w:val="-8"/>
          <w:sz w:val="24"/>
          <w:szCs w:val="24"/>
          <w:lang w:val="en-US" w:eastAsia="zh-CN"/>
        </w:rPr>
      </w:pPr>
      <w:r>
        <w:rPr>
          <w:rFonts w:hint="eastAsia" w:asciiTheme="minorEastAsia" w:hAnsiTheme="minorEastAsia" w:eastAsiaTheme="minorEastAsia" w:cstheme="minorEastAsia"/>
          <w:b/>
          <w:bCs/>
          <w:spacing w:val="-8"/>
          <w:sz w:val="24"/>
          <w:szCs w:val="24"/>
          <w:lang w:val="en-US" w:eastAsia="zh-CN"/>
        </w:rPr>
        <w:t>（七）2024年计划书</w:t>
      </w:r>
    </w:p>
    <w:p w14:paraId="1A74F88B">
      <w:pPr>
        <w:pStyle w:val="5"/>
        <w:keepNext w:val="0"/>
        <w:keepLines w:val="0"/>
        <w:pageBreakBefore w:val="0"/>
        <w:widowControl w:val="0"/>
        <w:kinsoku/>
        <w:wordWrap/>
        <w:overflowPunct/>
        <w:topLinePunct w:val="0"/>
        <w:autoSpaceDE/>
        <w:autoSpaceDN/>
        <w:bidi w:val="0"/>
        <w:adjustRightInd/>
        <w:snapToGrid/>
        <w:spacing w:before="0" w:after="0" w:line="360" w:lineRule="auto"/>
        <w:ind w:left="0" w:firstLine="476"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202</w:t>
      </w:r>
      <w:r>
        <w:rPr>
          <w:rFonts w:hint="eastAsia" w:asciiTheme="minorEastAsia" w:hAnsiTheme="minorEastAsia" w:eastAsiaTheme="minorEastAsia" w:cstheme="minorEastAsia"/>
          <w:spacing w:val="-1"/>
          <w:sz w:val="24"/>
          <w:szCs w:val="24"/>
          <w:lang w:val="en-US" w:eastAsia="zh-CN"/>
        </w:rPr>
        <w:t>4</w:t>
      </w:r>
      <w:r>
        <w:rPr>
          <w:rFonts w:hint="eastAsia" w:asciiTheme="minorEastAsia" w:hAnsiTheme="minorEastAsia" w:eastAsiaTheme="minorEastAsia" w:cstheme="minorEastAsia"/>
          <w:spacing w:val="-1"/>
          <w:sz w:val="24"/>
          <w:szCs w:val="24"/>
        </w:rPr>
        <w:t>年4月，内蒙古通达矿业技术服务有限公司编制了《内蒙古金陶股份</w:t>
      </w:r>
      <w:r>
        <w:rPr>
          <w:rFonts w:hint="eastAsia" w:asciiTheme="minorEastAsia" w:hAnsiTheme="minorEastAsia" w:eastAsiaTheme="minorEastAsia" w:cstheme="minorEastAsia"/>
          <w:spacing w:val="-7"/>
          <w:sz w:val="24"/>
          <w:szCs w:val="24"/>
        </w:rPr>
        <w:t>有限公司金厂沟梁金矿202</w:t>
      </w:r>
      <w:r>
        <w:rPr>
          <w:rFonts w:hint="eastAsia" w:asciiTheme="minorEastAsia" w:hAnsiTheme="minorEastAsia" w:eastAsiaTheme="minorEastAsia" w:cstheme="minorEastAsia"/>
          <w:spacing w:val="-7"/>
          <w:sz w:val="24"/>
          <w:szCs w:val="24"/>
          <w:lang w:val="en-US" w:eastAsia="zh-CN"/>
        </w:rPr>
        <w:t>4</w:t>
      </w:r>
      <w:r>
        <w:rPr>
          <w:rFonts w:hint="eastAsia" w:asciiTheme="minorEastAsia" w:hAnsiTheme="minorEastAsia" w:eastAsiaTheme="minorEastAsia" w:cstheme="minorEastAsia"/>
          <w:spacing w:val="-7"/>
          <w:sz w:val="24"/>
          <w:szCs w:val="24"/>
        </w:rPr>
        <w:t>年度矿山地质环境治理计</w:t>
      </w:r>
      <w:r>
        <w:rPr>
          <w:rFonts w:hint="eastAsia" w:asciiTheme="minorEastAsia" w:hAnsiTheme="minorEastAsia" w:eastAsiaTheme="minorEastAsia" w:cstheme="minorEastAsia"/>
          <w:spacing w:val="-8"/>
          <w:sz w:val="24"/>
          <w:szCs w:val="24"/>
        </w:rPr>
        <w:t>划书》</w:t>
      </w:r>
      <w:r>
        <w:rPr>
          <w:rFonts w:hint="eastAsia" w:asciiTheme="minorEastAsia" w:hAnsiTheme="minorEastAsia" w:eastAsiaTheme="minorEastAsia" w:cstheme="minorEastAsia"/>
          <w:spacing w:val="-8"/>
          <w:sz w:val="24"/>
          <w:szCs w:val="24"/>
          <w:lang w:eastAsia="zh-CN"/>
        </w:rPr>
        <w:t>，</w:t>
      </w:r>
      <w:r>
        <w:rPr>
          <w:rFonts w:hint="eastAsia" w:asciiTheme="minorEastAsia" w:hAnsiTheme="minorEastAsia" w:eastAsiaTheme="minorEastAsia" w:cstheme="minorEastAsia"/>
          <w:spacing w:val="-8"/>
          <w:sz w:val="24"/>
          <w:szCs w:val="24"/>
          <w:lang w:val="en-US" w:eastAsia="zh-CN"/>
        </w:rPr>
        <w:t>计划书确定的治理内容为</w:t>
      </w:r>
      <w:r>
        <w:rPr>
          <w:rFonts w:hint="eastAsia" w:asciiTheme="minorEastAsia" w:hAnsiTheme="minorEastAsia" w:eastAsiaTheme="minorEastAsia" w:cstheme="minorEastAsia"/>
          <w:sz w:val="24"/>
          <w:szCs w:val="24"/>
        </w:rPr>
        <w:t>补充完善前期治理工程，对取土场1、取土场2切坡进行治理，按照采矿生产的进展及时充填采空区</w:t>
      </w:r>
      <w:r>
        <w:rPr>
          <w:rFonts w:hint="eastAsia" w:asciiTheme="minorEastAsia" w:hAnsiTheme="minorEastAsia" w:eastAsiaTheme="minorEastAsia" w:cstheme="minorEastAsia"/>
          <w:sz w:val="24"/>
          <w:szCs w:val="24"/>
          <w:lang w:eastAsia="zh-CN"/>
        </w:rPr>
        <w:t>和</w:t>
      </w:r>
      <w:r>
        <w:rPr>
          <w:rFonts w:hint="eastAsia" w:asciiTheme="minorEastAsia" w:hAnsiTheme="minorEastAsia" w:eastAsiaTheme="minorEastAsia" w:cstheme="minorEastAsia"/>
          <w:sz w:val="24"/>
          <w:szCs w:val="24"/>
        </w:rPr>
        <w:t>对矿山进行地质环境监测、植被管护。</w:t>
      </w:r>
    </w:p>
    <w:p w14:paraId="5A126E94">
      <w:pPr>
        <w:pStyle w:val="5"/>
        <w:keepNext w:val="0"/>
        <w:keepLines w:val="0"/>
        <w:pageBreakBefore w:val="0"/>
        <w:widowControl w:val="0"/>
        <w:kinsoku/>
        <w:wordWrap/>
        <w:overflowPunct/>
        <w:topLinePunct w:val="0"/>
        <w:autoSpaceDE/>
        <w:autoSpaceDN/>
        <w:bidi w:val="0"/>
        <w:adjustRightInd/>
        <w:snapToGrid/>
        <w:spacing w:before="0" w:after="0" w:line="360" w:lineRule="auto"/>
        <w:ind w:left="0" w:firstLine="482"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八</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2025年计划书</w:t>
      </w:r>
    </w:p>
    <w:p w14:paraId="7F4D301C">
      <w:pPr>
        <w:pStyle w:val="5"/>
        <w:keepNext w:val="0"/>
        <w:keepLines w:val="0"/>
        <w:pageBreakBefore w:val="0"/>
        <w:widowControl w:val="0"/>
        <w:kinsoku/>
        <w:wordWrap/>
        <w:overflowPunct/>
        <w:topLinePunct w:val="0"/>
        <w:autoSpaceDE/>
        <w:autoSpaceDN/>
        <w:bidi w:val="0"/>
        <w:adjustRightInd/>
        <w:snapToGrid/>
        <w:spacing w:before="0" w:after="0" w:line="360" w:lineRule="auto"/>
        <w:ind w:left="0" w:firstLine="476"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pacing w:val="-1"/>
          <w:sz w:val="24"/>
          <w:szCs w:val="24"/>
        </w:rPr>
        <w:t>202</w:t>
      </w:r>
      <w:r>
        <w:rPr>
          <w:rFonts w:hint="eastAsia" w:asciiTheme="minorEastAsia" w:hAnsiTheme="minorEastAsia" w:eastAsiaTheme="minorEastAsia" w:cstheme="minorEastAsia"/>
          <w:spacing w:val="-1"/>
          <w:sz w:val="24"/>
          <w:szCs w:val="24"/>
          <w:lang w:val="en-US" w:eastAsia="zh-CN"/>
        </w:rPr>
        <w:t>5</w:t>
      </w:r>
      <w:r>
        <w:rPr>
          <w:rFonts w:hint="eastAsia" w:asciiTheme="minorEastAsia" w:hAnsiTheme="minorEastAsia" w:eastAsiaTheme="minorEastAsia" w:cstheme="minorEastAsia"/>
          <w:spacing w:val="-1"/>
          <w:sz w:val="24"/>
          <w:szCs w:val="24"/>
        </w:rPr>
        <w:t>年4月，内蒙古通达矿业技术服务有限公司编制了《内蒙古金陶股份</w:t>
      </w:r>
      <w:r>
        <w:rPr>
          <w:rFonts w:hint="eastAsia" w:asciiTheme="minorEastAsia" w:hAnsiTheme="minorEastAsia" w:eastAsiaTheme="minorEastAsia" w:cstheme="minorEastAsia"/>
          <w:spacing w:val="-7"/>
          <w:sz w:val="24"/>
          <w:szCs w:val="24"/>
        </w:rPr>
        <w:t>有限公司金厂沟梁金矿</w:t>
      </w:r>
      <w:r>
        <w:rPr>
          <w:rFonts w:hint="eastAsia" w:asciiTheme="minorEastAsia" w:hAnsiTheme="minorEastAsia" w:eastAsiaTheme="minorEastAsia" w:cstheme="minorEastAsia"/>
          <w:spacing w:val="-7"/>
          <w:sz w:val="24"/>
          <w:szCs w:val="24"/>
          <w:lang w:val="en-US" w:eastAsia="zh-CN"/>
        </w:rPr>
        <w:t>2024年绿色矿山建设情况和2025年建设计划</w:t>
      </w:r>
      <w:r>
        <w:rPr>
          <w:rFonts w:hint="eastAsia" w:asciiTheme="minorEastAsia" w:hAnsiTheme="minorEastAsia" w:eastAsiaTheme="minorEastAsia" w:cstheme="minorEastAsia"/>
          <w:spacing w:val="-8"/>
          <w:sz w:val="24"/>
          <w:szCs w:val="24"/>
        </w:rPr>
        <w:t>》</w:t>
      </w:r>
      <w:r>
        <w:rPr>
          <w:rFonts w:hint="eastAsia" w:asciiTheme="minorEastAsia" w:hAnsiTheme="minorEastAsia" w:eastAsiaTheme="minorEastAsia" w:cstheme="minorEastAsia"/>
          <w:spacing w:val="-8"/>
          <w:sz w:val="24"/>
          <w:szCs w:val="24"/>
          <w:lang w:eastAsia="zh-CN"/>
        </w:rPr>
        <w:t>，</w:t>
      </w:r>
      <w:r>
        <w:rPr>
          <w:rFonts w:hint="eastAsia" w:asciiTheme="minorEastAsia" w:hAnsiTheme="minorEastAsia" w:eastAsiaTheme="minorEastAsia" w:cstheme="minorEastAsia"/>
          <w:spacing w:val="-8"/>
          <w:sz w:val="24"/>
          <w:szCs w:val="24"/>
          <w:lang w:val="en-US" w:eastAsia="zh-CN"/>
        </w:rPr>
        <w:t>计划确定的治理内容为</w:t>
      </w:r>
      <w:r>
        <w:rPr>
          <w:rFonts w:hint="eastAsia" w:asciiTheme="minorEastAsia" w:hAnsiTheme="minorEastAsia" w:eastAsiaTheme="minorEastAsia" w:cstheme="minorEastAsia"/>
          <w:sz w:val="24"/>
          <w:szCs w:val="24"/>
          <w:lang w:val="en-US" w:eastAsia="zh-CN"/>
        </w:rPr>
        <w:t>对矿区道路（部分）进行治理、</w:t>
      </w:r>
      <w:r>
        <w:rPr>
          <w:rFonts w:hint="eastAsia" w:asciiTheme="minorEastAsia" w:hAnsiTheme="minorEastAsia" w:eastAsiaTheme="minorEastAsia" w:cstheme="minorEastAsia"/>
          <w:sz w:val="24"/>
          <w:szCs w:val="24"/>
          <w:lang w:val="zh-CN" w:eastAsia="zh-CN"/>
        </w:rPr>
        <w:t>按照采矿生产的进展及时充填采空区和进行矿山地质环境监测、植被管护</w:t>
      </w:r>
      <w:r>
        <w:rPr>
          <w:rFonts w:hint="eastAsia" w:asciiTheme="minorEastAsia" w:hAnsiTheme="minorEastAsia" w:eastAsiaTheme="minorEastAsia" w:cstheme="minorEastAsia"/>
          <w:sz w:val="24"/>
          <w:szCs w:val="24"/>
          <w:lang w:val="en-US" w:eastAsia="zh-CN"/>
        </w:rPr>
        <w:t>。</w:t>
      </w:r>
    </w:p>
    <w:p w14:paraId="18937FB5">
      <w:pPr>
        <w:pStyle w:val="3"/>
        <w:pageBreakBefore w:val="0"/>
        <w:widowControl w:val="0"/>
        <w:numPr>
          <w:ilvl w:val="0"/>
          <w:numId w:val="7"/>
        </w:numPr>
        <w:kinsoku/>
        <w:wordWrap/>
        <w:overflowPunct/>
        <w:topLinePunct w:val="0"/>
        <w:bidi w:val="0"/>
        <w:adjustRightInd w:val="0"/>
        <w:spacing w:before="0" w:line="360" w:lineRule="auto"/>
        <w:ind w:left="480" w:leftChars="0" w:firstLine="0" w:firstLineChars="0"/>
        <w:jc w:val="left"/>
        <w:textAlignment w:val="auto"/>
        <w:rPr>
          <w:rFonts w:hint="eastAsia" w:asciiTheme="minorEastAsia" w:hAnsiTheme="minorEastAsia" w:eastAsiaTheme="minorEastAsia" w:cstheme="minorEastAsia"/>
          <w:sz w:val="28"/>
          <w:szCs w:val="28"/>
          <w:lang w:val="en-US" w:eastAsia="zh-CN"/>
        </w:rPr>
      </w:pPr>
      <w:bookmarkStart w:id="11" w:name="_Toc6904"/>
      <w:r>
        <w:rPr>
          <w:rFonts w:hint="eastAsia" w:asciiTheme="minorEastAsia" w:hAnsiTheme="minorEastAsia" w:eastAsiaTheme="minorEastAsia" w:cstheme="minorEastAsia"/>
          <w:sz w:val="28"/>
          <w:szCs w:val="28"/>
          <w:lang w:val="en-US" w:eastAsia="zh-CN"/>
        </w:rPr>
        <w:t>矿山地质环境及土地复垦动态监测开展情况</w:t>
      </w:r>
      <w:bookmarkEnd w:id="11"/>
    </w:p>
    <w:p w14:paraId="558EB113">
      <w:pPr>
        <w:pStyle w:val="5"/>
        <w:keepNext w:val="0"/>
        <w:keepLines w:val="0"/>
        <w:pageBreakBefore w:val="0"/>
        <w:widowControl w:val="0"/>
        <w:kinsoku/>
        <w:wordWrap/>
        <w:overflowPunct/>
        <w:topLinePunct w:val="0"/>
        <w:autoSpaceDE/>
        <w:autoSpaceDN/>
        <w:bidi w:val="0"/>
        <w:adjustRightInd/>
        <w:snapToGrid/>
        <w:spacing w:before="0" w:after="0" w:line="360" w:lineRule="auto"/>
        <w:ind w:left="0" w:firstLine="476" w:firstLineChars="200"/>
        <w:jc w:val="both"/>
        <w:textAlignment w:val="auto"/>
        <w:rPr>
          <w:rFonts w:hint="eastAsia"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为了及时预防，避免地质灾害、含水层破坏、地形地貌景观破坏、水土环境污染等情况的发生，矿山对地质灾害、含水层、土地资源和地形地貌景观进行了监测。</w:t>
      </w:r>
    </w:p>
    <w:p w14:paraId="3845D32B">
      <w:pPr>
        <w:pStyle w:val="3"/>
        <w:numPr>
          <w:ilvl w:val="0"/>
          <w:numId w:val="0"/>
        </w:numPr>
        <w:bidi w:val="0"/>
        <w:ind w:firstLine="562" w:firstLineChars="200"/>
        <w:jc w:val="left"/>
        <w:rPr>
          <w:rFonts w:hint="eastAsia" w:asciiTheme="minorEastAsia" w:hAnsiTheme="minorEastAsia" w:eastAsiaTheme="minorEastAsia" w:cstheme="minorEastAsia"/>
          <w:b/>
          <w:sz w:val="28"/>
          <w:szCs w:val="28"/>
          <w:lang w:val="en-US" w:eastAsia="zh-CN"/>
        </w:rPr>
      </w:pPr>
      <w:bookmarkStart w:id="12" w:name="_Toc9544"/>
      <w:r>
        <w:rPr>
          <w:rFonts w:hint="eastAsia" w:asciiTheme="minorEastAsia" w:hAnsiTheme="minorEastAsia" w:eastAsiaTheme="minorEastAsia" w:cstheme="minorEastAsia"/>
          <w:b/>
          <w:color w:val="000000"/>
          <w:kern w:val="2"/>
          <w:sz w:val="28"/>
          <w:szCs w:val="28"/>
          <w:lang w:val="en-US" w:eastAsia="zh-CN" w:bidi="ar-SA"/>
        </w:rPr>
        <w:t>三、</w:t>
      </w:r>
      <w:r>
        <w:rPr>
          <w:rFonts w:hint="eastAsia" w:asciiTheme="minorEastAsia" w:hAnsiTheme="minorEastAsia" w:eastAsiaTheme="minorEastAsia" w:cstheme="minorEastAsia"/>
          <w:b/>
          <w:sz w:val="28"/>
          <w:szCs w:val="28"/>
          <w:lang w:val="en-US" w:eastAsia="zh-CN"/>
        </w:rPr>
        <w:t>以往矿山地质环境治理与土地复垦成效评述</w:t>
      </w:r>
      <w:bookmarkEnd w:id="12"/>
    </w:p>
    <w:p w14:paraId="6D30BAF6">
      <w:pPr>
        <w:pStyle w:val="5"/>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firstLine="472" w:firstLineChars="200"/>
        <w:jc w:val="both"/>
        <w:textAlignment w:val="auto"/>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spacing w:val="-2"/>
          <w:sz w:val="24"/>
          <w:szCs w:val="24"/>
          <w:lang w:val="en-US" w:eastAsia="zh-CN"/>
        </w:rPr>
        <w:t>1、</w:t>
      </w:r>
      <w:r>
        <w:rPr>
          <w:rFonts w:hint="eastAsia" w:asciiTheme="minorEastAsia" w:hAnsiTheme="minorEastAsia" w:eastAsiaTheme="minorEastAsia" w:cstheme="minorEastAsia"/>
          <w:kern w:val="2"/>
          <w:sz w:val="24"/>
          <w:szCs w:val="24"/>
          <w:lang w:val="en-US" w:eastAsia="zh-CN"/>
        </w:rPr>
        <w:t>现场核查发现个别检测桩存在认为破坏现象，废石场边坡存在降雨冲刷导致的冲沟建议矿山及时进行维修、管护。</w:t>
      </w:r>
    </w:p>
    <w:p w14:paraId="003E2DA4">
      <w:pPr>
        <w:pStyle w:val="5"/>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kern w:val="2"/>
          <w:sz w:val="24"/>
          <w:szCs w:val="24"/>
          <w:lang w:val="en-US" w:eastAsia="zh-CN"/>
        </w:rPr>
        <w:t>2、</w:t>
      </w:r>
      <w:r>
        <w:rPr>
          <w:rFonts w:hint="eastAsia" w:asciiTheme="minorEastAsia" w:hAnsiTheme="minorEastAsia" w:eastAsiaTheme="minorEastAsia" w:cstheme="minorEastAsia"/>
          <w:bCs/>
          <w:kern w:val="2"/>
          <w:sz w:val="24"/>
          <w:szCs w:val="24"/>
          <w:lang w:val="en-US" w:eastAsia="zh-CN" w:bidi="ar-SA"/>
        </w:rPr>
        <w:t>矿山道路不使用时应及时恢复环境治理，</w:t>
      </w:r>
      <w:r>
        <w:rPr>
          <w:rFonts w:hint="eastAsia" w:asciiTheme="minorEastAsia" w:hAnsiTheme="minorEastAsia" w:eastAsiaTheme="minorEastAsia" w:cstheme="minorEastAsia"/>
          <w:kern w:val="2"/>
          <w:sz w:val="24"/>
          <w:szCs w:val="24"/>
          <w:lang w:val="en-US" w:eastAsia="zh-CN"/>
        </w:rPr>
        <w:t>后期应继续做好已治理单元的植被补植和管护工作。同时继续按照要求对地质灾害、含水层、地形地貌景观及土地资源、土地复垦进行监测。</w:t>
      </w:r>
    </w:p>
    <w:p w14:paraId="1F0CD7F9">
      <w:pPr>
        <w:pStyle w:val="3"/>
        <w:bidi w:val="0"/>
        <w:ind w:firstLine="562" w:firstLineChars="200"/>
        <w:jc w:val="left"/>
        <w:rPr>
          <w:rFonts w:hint="eastAsia" w:asciiTheme="minorEastAsia" w:hAnsiTheme="minorEastAsia" w:eastAsiaTheme="minorEastAsia" w:cstheme="minorEastAsia"/>
          <w:b/>
          <w:sz w:val="28"/>
          <w:szCs w:val="28"/>
          <w:lang w:val="en-US" w:eastAsia="zh-CN"/>
        </w:rPr>
      </w:pPr>
      <w:bookmarkStart w:id="13" w:name="_Toc32560"/>
      <w:r>
        <w:rPr>
          <w:rFonts w:hint="eastAsia" w:asciiTheme="minorEastAsia" w:hAnsiTheme="minorEastAsia" w:eastAsiaTheme="minorEastAsia" w:cstheme="minorEastAsia"/>
          <w:b/>
          <w:sz w:val="28"/>
          <w:szCs w:val="28"/>
          <w:lang w:val="en-US" w:eastAsia="zh-CN"/>
        </w:rPr>
        <w:t>四、以往地质环境治理、土地复垦验收、还地情况</w:t>
      </w:r>
      <w:bookmarkEnd w:id="13"/>
    </w:p>
    <w:p w14:paraId="3B07C670">
      <w:pPr>
        <w:pStyle w:val="5"/>
        <w:numPr>
          <w:ilvl w:val="0"/>
          <w:numId w:val="9"/>
        </w:numPr>
        <w:spacing w:line="360" w:lineRule="auto"/>
        <w:ind w:left="0" w:leftChars="0" w:right="0" w:firstLine="420" w:firstLineChars="0"/>
        <w:rPr>
          <w:rFonts w:hint="eastAsia" w:asciiTheme="minorEastAsia" w:hAnsiTheme="minorEastAsia" w:eastAsiaTheme="minorEastAsia" w:cstheme="minorEastAsia"/>
          <w:b/>
          <w:bCs/>
          <w:spacing w:val="-1"/>
          <w:sz w:val="24"/>
          <w:szCs w:val="24"/>
          <w:lang w:val="en-US" w:eastAsia="zh-CN"/>
        </w:rPr>
      </w:pPr>
      <w:r>
        <w:rPr>
          <w:rFonts w:hint="eastAsia" w:asciiTheme="minorEastAsia" w:hAnsiTheme="minorEastAsia" w:eastAsiaTheme="minorEastAsia" w:cstheme="minorEastAsia"/>
          <w:b/>
          <w:bCs/>
          <w:spacing w:val="-1"/>
          <w:sz w:val="24"/>
          <w:szCs w:val="24"/>
          <w:lang w:val="en-US" w:eastAsia="zh-CN"/>
        </w:rPr>
        <w:t>《一分期方案》</w:t>
      </w:r>
    </w:p>
    <w:p w14:paraId="17FBD95F">
      <w:pPr>
        <w:pStyle w:val="5"/>
        <w:spacing w:line="360" w:lineRule="auto"/>
        <w:ind w:left="0" w:right="0" w:firstLine="476" w:firstLineChars="200"/>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1"/>
          <w:sz w:val="24"/>
          <w:szCs w:val="24"/>
          <w:lang w:val="en-US" w:eastAsia="zh-CN"/>
        </w:rPr>
        <w:t>矿山完成了一分期要求的治理内容，并于</w:t>
      </w:r>
      <w:r>
        <w:rPr>
          <w:rFonts w:hint="eastAsia" w:asciiTheme="minorEastAsia" w:hAnsiTheme="minorEastAsia" w:eastAsiaTheme="minorEastAsia" w:cstheme="minorEastAsia"/>
          <w:spacing w:val="-1"/>
          <w:sz w:val="24"/>
          <w:szCs w:val="24"/>
        </w:rPr>
        <w:t>2016年10月赤峰市国土资源局聘请有关专家组成验收组对治理内容进行验收。</w:t>
      </w:r>
      <w:r>
        <w:rPr>
          <w:rFonts w:hint="eastAsia" w:asciiTheme="minorEastAsia" w:hAnsiTheme="minorEastAsia" w:eastAsiaTheme="minorEastAsia" w:cstheme="minorEastAsia"/>
          <w:spacing w:val="-4"/>
          <w:sz w:val="24"/>
          <w:szCs w:val="24"/>
        </w:rPr>
        <w:t>2016年12月26日赤峰市国土资源局出具分期治理工程验收意见书编号:16214。</w:t>
      </w:r>
    </w:p>
    <w:p w14:paraId="6E9E34B8">
      <w:pPr>
        <w:pStyle w:val="5"/>
        <w:numPr>
          <w:ilvl w:val="0"/>
          <w:numId w:val="9"/>
        </w:numPr>
        <w:spacing w:line="360" w:lineRule="auto"/>
        <w:ind w:left="0" w:leftChars="0" w:right="0" w:rightChars="0" w:firstLine="420" w:firstLineChars="0"/>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《2014年治理方案》</w:t>
      </w:r>
    </w:p>
    <w:p w14:paraId="378996E6">
      <w:pPr>
        <w:pStyle w:val="5"/>
        <w:spacing w:line="360" w:lineRule="auto"/>
        <w:ind w:left="125" w:leftChars="0" w:right="0" w:firstLine="49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经现</w:t>
      </w:r>
      <w:r>
        <w:rPr>
          <w:rFonts w:hint="eastAsia" w:asciiTheme="minorEastAsia" w:hAnsiTheme="minorEastAsia" w:eastAsiaTheme="minorEastAsia" w:cstheme="minorEastAsia"/>
          <w:spacing w:val="2"/>
          <w:sz w:val="24"/>
          <w:szCs w:val="24"/>
        </w:rPr>
        <w:t>场调查本矿山未对</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2"/>
          <w:sz w:val="24"/>
          <w:szCs w:val="24"/>
        </w:rPr>
        <w:t>采石场 1</w:t>
      </w:r>
      <w:r>
        <w:rPr>
          <w:rFonts w:hint="eastAsia" w:asciiTheme="minorEastAsia" w:hAnsiTheme="minorEastAsia" w:eastAsiaTheme="minorEastAsia" w:cstheme="minorEastAsia"/>
          <w:spacing w:val="28"/>
          <w:w w:val="101"/>
          <w:sz w:val="24"/>
          <w:szCs w:val="24"/>
        </w:rPr>
        <w:t xml:space="preserve"> </w:t>
      </w:r>
      <w:r>
        <w:rPr>
          <w:rFonts w:hint="eastAsia" w:asciiTheme="minorEastAsia" w:hAnsiTheme="minorEastAsia" w:eastAsiaTheme="minorEastAsia" w:cstheme="minorEastAsia"/>
          <w:spacing w:val="-2"/>
          <w:sz w:val="24"/>
          <w:szCs w:val="24"/>
        </w:rPr>
        <w:t>和采石场 2</w:t>
      </w:r>
      <w:r>
        <w:rPr>
          <w:rFonts w:hint="eastAsia" w:asciiTheme="minorEastAsia" w:hAnsiTheme="minorEastAsia" w:eastAsiaTheme="minorEastAsia" w:cstheme="minorEastAsia"/>
          <w:spacing w:val="21"/>
          <w:w w:val="101"/>
          <w:sz w:val="24"/>
          <w:szCs w:val="24"/>
        </w:rPr>
        <w:t xml:space="preserve"> </w:t>
      </w:r>
      <w:r>
        <w:rPr>
          <w:rFonts w:hint="eastAsia" w:asciiTheme="minorEastAsia" w:hAnsiTheme="minorEastAsia" w:eastAsiaTheme="minorEastAsia" w:cstheme="minorEastAsia"/>
          <w:spacing w:val="-2"/>
          <w:sz w:val="24"/>
          <w:szCs w:val="24"/>
        </w:rPr>
        <w:t>进行相应治理，现状未发现地面塌陷地质灾害，矿山对采空</w:t>
      </w:r>
      <w:r>
        <w:rPr>
          <w:rFonts w:hint="eastAsia" w:asciiTheme="minorEastAsia" w:hAnsiTheme="minorEastAsia" w:eastAsiaTheme="minorEastAsia" w:cstheme="minorEastAsia"/>
          <w:sz w:val="24"/>
          <w:szCs w:val="24"/>
        </w:rPr>
        <w:t>区上部进行了监测；矿山企业未进行治理验收。矿山企业未进行治理验收。</w:t>
      </w:r>
    </w:p>
    <w:p w14:paraId="69FBDDE6">
      <w:pPr>
        <w:pStyle w:val="5"/>
        <w:numPr>
          <w:ilvl w:val="0"/>
          <w:numId w:val="9"/>
        </w:numPr>
        <w:spacing w:line="360" w:lineRule="auto"/>
        <w:ind w:left="0" w:leftChars="0" w:right="0" w:rightChars="0" w:firstLine="420" w:firstLineChars="0"/>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《二分期方案》</w:t>
      </w:r>
    </w:p>
    <w:p w14:paraId="0D3FB924">
      <w:pPr>
        <w:pStyle w:val="5"/>
        <w:numPr>
          <w:ilvl w:val="0"/>
          <w:numId w:val="0"/>
        </w:numPr>
        <w:spacing w:line="360" w:lineRule="auto"/>
        <w:ind w:left="0" w:leftChars="0" w:right="0" w:rightChars="0" w:firstLine="480" w:firstLineChars="200"/>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z w:val="24"/>
          <w:szCs w:val="24"/>
          <w:lang w:val="en-US" w:eastAsia="zh-CN"/>
        </w:rPr>
        <w:t>矿山完成了二分期要求的治理内容，并于2</w:t>
      </w:r>
      <w:r>
        <w:rPr>
          <w:rFonts w:hint="eastAsia" w:asciiTheme="minorEastAsia" w:hAnsiTheme="minorEastAsia" w:eastAsiaTheme="minorEastAsia" w:cstheme="minorEastAsia"/>
          <w:spacing w:val="-3"/>
          <w:sz w:val="24"/>
          <w:szCs w:val="24"/>
        </w:rPr>
        <w:t>018年12月24日，赤峰市国土资源局聘请有关专家组成验收组对内蒙古金</w:t>
      </w:r>
      <w:r>
        <w:rPr>
          <w:rFonts w:hint="eastAsia" w:asciiTheme="minorEastAsia" w:hAnsiTheme="minorEastAsia" w:eastAsiaTheme="minorEastAsia" w:cstheme="minorEastAsia"/>
          <w:sz w:val="24"/>
          <w:szCs w:val="24"/>
        </w:rPr>
        <w:t>陶股份有限公司金厂沟梁金矿矿山地质环境保护</w:t>
      </w:r>
      <w:r>
        <w:rPr>
          <w:rFonts w:hint="eastAsia" w:asciiTheme="minorEastAsia" w:hAnsiTheme="minorEastAsia" w:eastAsiaTheme="minorEastAsia" w:cstheme="minorEastAsia"/>
          <w:spacing w:val="-1"/>
          <w:sz w:val="24"/>
          <w:szCs w:val="24"/>
        </w:rPr>
        <w:t>与恢复治理及土地复垦方案近期</w:t>
      </w:r>
      <w:r>
        <w:rPr>
          <w:rFonts w:hint="eastAsia" w:asciiTheme="minorEastAsia" w:hAnsiTheme="minorEastAsia" w:eastAsiaTheme="minorEastAsia" w:cstheme="minorEastAsia"/>
          <w:spacing w:val="-3"/>
          <w:sz w:val="24"/>
          <w:szCs w:val="24"/>
        </w:rPr>
        <w:t>期治理内容进行现场验收。2018年12月28日，赤峰市国土资源局出具分期治理</w:t>
      </w:r>
      <w:r>
        <w:rPr>
          <w:rFonts w:hint="eastAsia" w:asciiTheme="minorEastAsia" w:hAnsiTheme="minorEastAsia" w:eastAsiaTheme="minorEastAsia" w:cstheme="minorEastAsia"/>
          <w:spacing w:val="-2"/>
          <w:sz w:val="24"/>
          <w:szCs w:val="24"/>
        </w:rPr>
        <w:t>工程验收意见书，编号:182058。</w:t>
      </w:r>
    </w:p>
    <w:p w14:paraId="2A32BDF8">
      <w:pPr>
        <w:pStyle w:val="5"/>
        <w:numPr>
          <w:ilvl w:val="0"/>
          <w:numId w:val="9"/>
        </w:numPr>
        <w:spacing w:line="360" w:lineRule="auto"/>
        <w:ind w:left="0" w:leftChars="0" w:right="0" w:rightChars="0" w:firstLine="420" w:firstLineChars="0"/>
        <w:rPr>
          <w:rFonts w:hint="eastAsia" w:asciiTheme="minorEastAsia" w:hAnsiTheme="minorEastAsia" w:eastAsiaTheme="minorEastAsia" w:cstheme="minorEastAsia"/>
          <w:b/>
          <w:bCs/>
          <w:spacing w:val="-2"/>
          <w:sz w:val="24"/>
          <w:szCs w:val="24"/>
          <w:lang w:val="en-US" w:eastAsia="zh-CN"/>
        </w:rPr>
      </w:pPr>
      <w:r>
        <w:rPr>
          <w:rFonts w:hint="eastAsia" w:asciiTheme="minorEastAsia" w:hAnsiTheme="minorEastAsia" w:eastAsiaTheme="minorEastAsia" w:cstheme="minorEastAsia"/>
          <w:b/>
          <w:bCs/>
          <w:spacing w:val="-2"/>
          <w:sz w:val="24"/>
          <w:szCs w:val="24"/>
          <w:lang w:val="en-US" w:eastAsia="zh-CN"/>
        </w:rPr>
        <w:t>《2021年计划书》</w:t>
      </w:r>
    </w:p>
    <w:p w14:paraId="3999BFFA">
      <w:pPr>
        <w:pStyle w:val="5"/>
        <w:spacing w:line="360" w:lineRule="auto"/>
        <w:ind w:left="0" w:firstLine="472" w:firstLineChars="200"/>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lang w:val="en-US" w:eastAsia="zh-CN"/>
        </w:rPr>
        <w:t>矿山已按时完成了2021年计划书要求的治理的全部内容。</w:t>
      </w:r>
      <w:r>
        <w:rPr>
          <w:rFonts w:hint="eastAsia" w:asciiTheme="minorEastAsia" w:hAnsiTheme="minorEastAsia" w:eastAsiaTheme="minorEastAsia" w:cstheme="minorEastAsia"/>
          <w:spacing w:val="-3"/>
          <w:sz w:val="24"/>
          <w:szCs w:val="24"/>
        </w:rPr>
        <w:t>2021年8</w:t>
      </w:r>
      <w:r>
        <w:rPr>
          <w:rFonts w:hint="eastAsia" w:asciiTheme="minorEastAsia" w:hAnsiTheme="minorEastAsia" w:eastAsiaTheme="minorEastAsia" w:cstheme="minorEastAsia"/>
          <w:spacing w:val="-4"/>
          <w:sz w:val="24"/>
          <w:szCs w:val="24"/>
        </w:rPr>
        <w:t>月10日，敖汉旗自然资</w:t>
      </w:r>
      <w:r>
        <w:rPr>
          <w:rFonts w:hint="eastAsia" w:asciiTheme="minorEastAsia" w:hAnsiTheme="minorEastAsia" w:eastAsiaTheme="minorEastAsia" w:cstheme="minorEastAsia"/>
          <w:sz w:val="24"/>
          <w:szCs w:val="24"/>
        </w:rPr>
        <w:t>源局聘请有关专家组成验收组对《内蒙古金陶股份</w:t>
      </w:r>
      <w:r>
        <w:rPr>
          <w:rFonts w:hint="eastAsia" w:asciiTheme="minorEastAsia" w:hAnsiTheme="minorEastAsia" w:eastAsiaTheme="minorEastAsia" w:cstheme="minorEastAsia"/>
          <w:spacing w:val="-1"/>
          <w:sz w:val="24"/>
          <w:szCs w:val="24"/>
        </w:rPr>
        <w:t>有限公司金厂沟梁金矿2020</w:t>
      </w:r>
      <w:r>
        <w:rPr>
          <w:rFonts w:hint="eastAsia" w:asciiTheme="minorEastAsia" w:hAnsiTheme="minorEastAsia" w:eastAsiaTheme="minorEastAsia" w:cstheme="minorEastAsia"/>
          <w:spacing w:val="-3"/>
          <w:sz w:val="24"/>
          <w:szCs w:val="24"/>
        </w:rPr>
        <w:t>年度矿山地质环境治理计划书》执行情况进行现场核查。2021年8月17日，敖</w:t>
      </w:r>
      <w:r>
        <w:rPr>
          <w:rFonts w:hint="eastAsia" w:asciiTheme="minorEastAsia" w:hAnsiTheme="minorEastAsia" w:eastAsiaTheme="minorEastAsia" w:cstheme="minorEastAsia"/>
          <w:sz w:val="24"/>
          <w:szCs w:val="24"/>
        </w:rPr>
        <w:t>汉旗自然资源局出具治理工程现场核查意见书，专家</w:t>
      </w:r>
      <w:r>
        <w:rPr>
          <w:rFonts w:hint="eastAsia" w:asciiTheme="minorEastAsia" w:hAnsiTheme="minorEastAsia" w:eastAsiaTheme="minorEastAsia" w:cstheme="minorEastAsia"/>
          <w:spacing w:val="-1"/>
          <w:sz w:val="24"/>
          <w:szCs w:val="24"/>
        </w:rPr>
        <w:t>认为矿山完成的治理工程量</w:t>
      </w:r>
      <w:r>
        <w:rPr>
          <w:rFonts w:hint="eastAsia" w:asciiTheme="minorEastAsia" w:hAnsiTheme="minorEastAsia" w:eastAsiaTheme="minorEastAsia" w:cstheme="minorEastAsia"/>
          <w:spacing w:val="2"/>
          <w:sz w:val="24"/>
          <w:szCs w:val="24"/>
        </w:rPr>
        <w:t>与治理工程效果基本符合年度治理计划书要求。</w:t>
      </w:r>
    </w:p>
    <w:p w14:paraId="7C1B25ED">
      <w:pPr>
        <w:pStyle w:val="5"/>
        <w:numPr>
          <w:ilvl w:val="0"/>
          <w:numId w:val="9"/>
        </w:numPr>
        <w:spacing w:line="360" w:lineRule="auto"/>
        <w:ind w:left="0" w:leftChars="0" w:firstLine="420" w:firstLineChars="0"/>
        <w:rPr>
          <w:rFonts w:hint="eastAsia" w:asciiTheme="minorEastAsia" w:hAnsiTheme="minorEastAsia" w:eastAsiaTheme="minorEastAsia" w:cstheme="minorEastAsia"/>
          <w:b/>
          <w:bCs/>
          <w:spacing w:val="2"/>
          <w:sz w:val="24"/>
          <w:szCs w:val="24"/>
          <w:lang w:val="en-US" w:eastAsia="zh-CN"/>
        </w:rPr>
      </w:pPr>
      <w:r>
        <w:rPr>
          <w:rFonts w:hint="eastAsia" w:asciiTheme="minorEastAsia" w:hAnsiTheme="minorEastAsia" w:eastAsiaTheme="minorEastAsia" w:cstheme="minorEastAsia"/>
          <w:b/>
          <w:bCs/>
          <w:spacing w:val="2"/>
          <w:sz w:val="24"/>
          <w:szCs w:val="24"/>
          <w:lang w:val="en-US" w:eastAsia="zh-CN"/>
        </w:rPr>
        <w:t>《2022年计划书》</w:t>
      </w:r>
    </w:p>
    <w:p w14:paraId="6E80115A">
      <w:pPr>
        <w:pStyle w:val="5"/>
        <w:numPr>
          <w:ilvl w:val="0"/>
          <w:numId w:val="0"/>
        </w:numPr>
        <w:spacing w:line="360" w:lineRule="auto"/>
        <w:ind w:left="0" w:leftChars="0" w:firstLine="472" w:firstLineChars="200"/>
        <w:rPr>
          <w:spacing w:val="-2"/>
          <w:sz w:val="24"/>
          <w:szCs w:val="24"/>
        </w:rPr>
      </w:pPr>
      <w:r>
        <w:rPr>
          <w:rFonts w:hint="eastAsia" w:asciiTheme="minorEastAsia" w:hAnsiTheme="minorEastAsia" w:eastAsiaTheme="minorEastAsia" w:cstheme="minorEastAsia"/>
          <w:spacing w:val="-2"/>
          <w:sz w:val="24"/>
          <w:szCs w:val="24"/>
          <w:lang w:val="en-US" w:eastAsia="zh-CN"/>
        </w:rPr>
        <w:t>矿山已按时完成了2021年计划书要求的治理的全部内容</w:t>
      </w:r>
      <w:r>
        <w:rPr>
          <w:rFonts w:hint="eastAsia" w:asciiTheme="minorEastAsia" w:hAnsiTheme="minorEastAsia" w:eastAsiaTheme="minorEastAsia" w:cstheme="minorEastAsia"/>
          <w:spacing w:val="-1"/>
          <w:sz w:val="24"/>
          <w:szCs w:val="24"/>
        </w:rPr>
        <w:t>因疫情原因，矿山治</w:t>
      </w:r>
      <w:r>
        <w:rPr>
          <w:spacing w:val="-1"/>
          <w:sz w:val="24"/>
          <w:szCs w:val="24"/>
        </w:rPr>
        <w:t>理完成情况并</w:t>
      </w:r>
      <w:r>
        <w:rPr>
          <w:spacing w:val="-2"/>
          <w:sz w:val="24"/>
          <w:szCs w:val="24"/>
        </w:rPr>
        <w:t>未进行实地核查验收。</w:t>
      </w:r>
    </w:p>
    <w:p w14:paraId="62BBC005">
      <w:pPr>
        <w:pStyle w:val="5"/>
        <w:numPr>
          <w:ilvl w:val="0"/>
          <w:numId w:val="9"/>
        </w:numPr>
        <w:spacing w:line="360" w:lineRule="auto"/>
        <w:ind w:left="0" w:leftChars="0" w:firstLine="420" w:firstLineChars="0"/>
        <w:rPr>
          <w:rFonts w:hint="eastAsia"/>
          <w:b/>
          <w:bCs/>
          <w:spacing w:val="-2"/>
          <w:sz w:val="24"/>
          <w:szCs w:val="24"/>
          <w:lang w:val="en-US" w:eastAsia="zh-CN"/>
        </w:rPr>
      </w:pPr>
      <w:r>
        <w:rPr>
          <w:rFonts w:hint="eastAsia"/>
          <w:b/>
          <w:bCs/>
          <w:spacing w:val="-2"/>
          <w:sz w:val="24"/>
          <w:szCs w:val="24"/>
          <w:lang w:val="en-US" w:eastAsia="zh-CN"/>
        </w:rPr>
        <w:t>《2023年计划书》</w:t>
      </w:r>
    </w:p>
    <w:p w14:paraId="5098D111">
      <w:pPr>
        <w:pStyle w:val="5"/>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firstLine="472" w:firstLineChars="200"/>
        <w:jc w:val="both"/>
        <w:textAlignment w:val="auto"/>
        <w:rPr>
          <w:rFonts w:hint="eastAsia"/>
          <w:spacing w:val="-2"/>
          <w:sz w:val="24"/>
          <w:szCs w:val="24"/>
          <w:lang w:val="en-US" w:eastAsia="zh-CN"/>
        </w:rPr>
      </w:pPr>
      <w:r>
        <w:rPr>
          <w:rFonts w:hint="eastAsia"/>
          <w:spacing w:val="-2"/>
          <w:sz w:val="24"/>
          <w:szCs w:val="24"/>
          <w:lang w:val="en-US" w:eastAsia="zh-CN"/>
        </w:rPr>
        <w:t>矿山已按时完成了2023年计划书要求的治理的全部内容。</w:t>
      </w:r>
      <w:r>
        <w:rPr>
          <w:rFonts w:hint="eastAsia" w:ascii="宋体" w:hAnsi="宋体" w:eastAsia="宋体" w:cs="宋体"/>
          <w:kern w:val="2"/>
          <w:sz w:val="24"/>
          <w:szCs w:val="24"/>
          <w:lang w:val="en-US" w:eastAsia="zh-CN"/>
        </w:rPr>
        <w:t>2023年7月25日，矿山通过了敖汉旗自然资源局组织的现场核查验收。专家组认为，矿山完成了治理工程量与治理工程效果基本符合年度治理计划书的要求。</w:t>
      </w:r>
    </w:p>
    <w:p w14:paraId="51573019">
      <w:pPr>
        <w:pStyle w:val="5"/>
        <w:numPr>
          <w:ilvl w:val="0"/>
          <w:numId w:val="9"/>
        </w:numPr>
        <w:spacing w:line="360" w:lineRule="auto"/>
        <w:ind w:left="0" w:leftChars="0" w:firstLine="420" w:firstLineChars="0"/>
        <w:rPr>
          <w:rFonts w:hint="eastAsia"/>
          <w:b/>
          <w:bCs/>
          <w:spacing w:val="-2"/>
          <w:sz w:val="24"/>
          <w:szCs w:val="24"/>
          <w:lang w:val="en-US" w:eastAsia="zh-CN"/>
        </w:rPr>
      </w:pPr>
      <w:r>
        <w:rPr>
          <w:rFonts w:hint="eastAsia"/>
          <w:b/>
          <w:bCs/>
          <w:spacing w:val="-2"/>
          <w:sz w:val="24"/>
          <w:szCs w:val="24"/>
          <w:lang w:val="en-US" w:eastAsia="zh-CN"/>
        </w:rPr>
        <w:t>《2024年计划书》</w:t>
      </w:r>
    </w:p>
    <w:p w14:paraId="0B8151A1">
      <w:pPr>
        <w:pStyle w:val="5"/>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firstLine="472" w:firstLineChars="200"/>
        <w:jc w:val="both"/>
        <w:textAlignment w:val="auto"/>
        <w:rPr>
          <w:rFonts w:hint="eastAsia" w:ascii="宋体" w:hAnsi="宋体" w:eastAsia="宋体" w:cs="宋体"/>
          <w:kern w:val="2"/>
          <w:sz w:val="24"/>
          <w:szCs w:val="24"/>
          <w:lang w:val="en-US" w:eastAsia="zh-CN"/>
        </w:rPr>
      </w:pPr>
      <w:r>
        <w:rPr>
          <w:rFonts w:hint="eastAsia"/>
          <w:spacing w:val="-2"/>
          <w:sz w:val="24"/>
          <w:szCs w:val="24"/>
          <w:lang w:val="en-US" w:eastAsia="zh-CN"/>
        </w:rPr>
        <w:t>矿山已按时完成了2024年计划书要求的治理的全部内容。</w:t>
      </w:r>
      <w:r>
        <w:rPr>
          <w:rFonts w:hint="eastAsia" w:ascii="宋体" w:hAnsi="宋体" w:eastAsia="宋体" w:cs="宋体"/>
          <w:kern w:val="2"/>
          <w:sz w:val="24"/>
          <w:szCs w:val="24"/>
          <w:lang w:val="en-US" w:eastAsia="zh-CN"/>
        </w:rPr>
        <w:t>2024年10月15日，矿山通过了敖汉旗自然资源局组织的现场核查验收。专家组认为，矿山完成了治理工程量与治理工程效果基本符合年度治理计划书的要求。</w:t>
      </w:r>
    </w:p>
    <w:p w14:paraId="05D4EAF1">
      <w:pPr>
        <w:pStyle w:val="5"/>
        <w:numPr>
          <w:ilvl w:val="0"/>
          <w:numId w:val="9"/>
        </w:numPr>
        <w:spacing w:line="360" w:lineRule="auto"/>
        <w:ind w:left="0" w:leftChars="0" w:firstLine="420" w:firstLineChars="0"/>
        <w:rPr>
          <w:rFonts w:hint="eastAsia"/>
          <w:b/>
          <w:bCs/>
          <w:spacing w:val="-2"/>
          <w:sz w:val="24"/>
          <w:szCs w:val="24"/>
          <w:lang w:val="en-US" w:eastAsia="zh-CN"/>
        </w:rPr>
      </w:pPr>
      <w:r>
        <w:rPr>
          <w:rFonts w:hint="eastAsia"/>
          <w:b/>
          <w:bCs/>
          <w:spacing w:val="-2"/>
          <w:sz w:val="24"/>
          <w:szCs w:val="24"/>
          <w:lang w:val="en-US" w:eastAsia="zh-CN"/>
        </w:rPr>
        <w:t>《2025年计划书》</w:t>
      </w:r>
    </w:p>
    <w:p w14:paraId="6ED7D500">
      <w:pPr>
        <w:pStyle w:val="5"/>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firstLine="472" w:firstLineChars="200"/>
        <w:jc w:val="both"/>
        <w:textAlignment w:val="auto"/>
        <w:rPr>
          <w:rFonts w:hint="eastAsia" w:ascii="宋体" w:hAnsi="宋体" w:eastAsia="宋体" w:cs="宋体"/>
          <w:bCs/>
          <w:kern w:val="2"/>
          <w:sz w:val="24"/>
          <w:szCs w:val="22"/>
          <w:lang w:val="en-US" w:eastAsia="zh-CN" w:bidi="ar-SA"/>
        </w:rPr>
      </w:pPr>
      <w:r>
        <w:rPr>
          <w:rFonts w:hint="eastAsia"/>
          <w:spacing w:val="-2"/>
          <w:sz w:val="24"/>
          <w:szCs w:val="24"/>
          <w:lang w:val="en-US" w:eastAsia="zh-CN"/>
        </w:rPr>
        <w:t>矿山已按时完成了2025年计划书要求的治理的全部内容。</w:t>
      </w:r>
      <w:r>
        <w:rPr>
          <w:rFonts w:hint="eastAsia" w:ascii="宋体" w:hAnsi="宋体" w:eastAsia="宋体" w:cs="宋体"/>
          <w:bCs/>
          <w:kern w:val="2"/>
          <w:sz w:val="24"/>
          <w:szCs w:val="22"/>
          <w:lang w:val="en-US" w:eastAsia="zh-CN" w:bidi="ar-SA"/>
        </w:rPr>
        <w:t>2025年9月17日敖汉旗自然资源局组织专家进行验收，专家组认为矿山企业完成2025年度工程治理任务</w:t>
      </w:r>
      <w:r>
        <w:rPr>
          <w:rFonts w:hint="eastAsia" w:cs="宋体"/>
          <w:bCs/>
          <w:kern w:val="2"/>
          <w:sz w:val="24"/>
          <w:szCs w:val="22"/>
          <w:lang w:val="en-US" w:eastAsia="zh-CN" w:bidi="ar-SA"/>
        </w:rPr>
        <w:t>。</w:t>
      </w:r>
    </w:p>
    <w:p w14:paraId="770663FF">
      <w:pPr>
        <w:pStyle w:val="5"/>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firstLine="480" w:firstLineChars="200"/>
        <w:jc w:val="both"/>
        <w:textAlignment w:val="auto"/>
        <w:rPr>
          <w:rFonts w:hint="eastAsia" w:ascii="宋体" w:hAnsi="宋体" w:eastAsia="宋体" w:cs="宋体"/>
          <w:bCs/>
          <w:kern w:val="2"/>
          <w:sz w:val="24"/>
          <w:szCs w:val="22"/>
          <w:lang w:val="en-US" w:eastAsia="zh-CN" w:bidi="ar-SA"/>
        </w:rPr>
      </w:pPr>
    </w:p>
    <w:p w14:paraId="62B21833">
      <w:pPr>
        <w:pStyle w:val="5"/>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firstLine="480" w:firstLineChars="200"/>
        <w:jc w:val="both"/>
        <w:textAlignment w:val="auto"/>
        <w:rPr>
          <w:rFonts w:hint="eastAsia" w:ascii="宋体" w:hAnsi="宋体" w:eastAsia="宋体" w:cs="宋体"/>
          <w:bCs/>
          <w:kern w:val="2"/>
          <w:sz w:val="24"/>
          <w:szCs w:val="22"/>
          <w:lang w:val="en-US" w:eastAsia="zh-CN" w:bidi="ar-SA"/>
        </w:rPr>
      </w:pPr>
    </w:p>
    <w:p w14:paraId="056BF62F">
      <w:pPr>
        <w:pStyle w:val="5"/>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firstLine="480" w:firstLineChars="200"/>
        <w:jc w:val="both"/>
        <w:textAlignment w:val="auto"/>
        <w:rPr>
          <w:rFonts w:hint="eastAsia" w:ascii="宋体" w:hAnsi="宋体" w:eastAsia="宋体" w:cs="宋体"/>
          <w:bCs/>
          <w:kern w:val="2"/>
          <w:sz w:val="24"/>
          <w:szCs w:val="22"/>
          <w:lang w:val="en-US" w:eastAsia="zh-CN" w:bidi="ar-SA"/>
        </w:rPr>
      </w:pPr>
    </w:p>
    <w:p w14:paraId="075199A6">
      <w:pPr>
        <w:pStyle w:val="5"/>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firstLine="480" w:firstLineChars="200"/>
        <w:jc w:val="both"/>
        <w:textAlignment w:val="auto"/>
        <w:rPr>
          <w:rFonts w:hint="eastAsia" w:ascii="宋体" w:hAnsi="宋体" w:eastAsia="宋体" w:cs="宋体"/>
          <w:bCs/>
          <w:kern w:val="2"/>
          <w:sz w:val="24"/>
          <w:szCs w:val="22"/>
          <w:lang w:val="en-US" w:eastAsia="zh-CN" w:bidi="ar-SA"/>
        </w:rPr>
      </w:pPr>
    </w:p>
    <w:p w14:paraId="60C7CF25">
      <w:pPr>
        <w:pStyle w:val="5"/>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firstLine="480" w:firstLineChars="200"/>
        <w:jc w:val="both"/>
        <w:textAlignment w:val="auto"/>
        <w:rPr>
          <w:rFonts w:hint="eastAsia" w:ascii="宋体" w:hAnsi="宋体" w:eastAsia="宋体" w:cs="宋体"/>
          <w:bCs/>
          <w:kern w:val="2"/>
          <w:sz w:val="24"/>
          <w:szCs w:val="22"/>
          <w:lang w:val="en-US" w:eastAsia="zh-CN" w:bidi="ar-SA"/>
        </w:rPr>
      </w:pPr>
    </w:p>
    <w:p w14:paraId="2B3E0524">
      <w:pPr>
        <w:pStyle w:val="5"/>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firstLine="480" w:firstLineChars="200"/>
        <w:jc w:val="both"/>
        <w:textAlignment w:val="auto"/>
        <w:rPr>
          <w:rFonts w:hint="eastAsia" w:ascii="宋体" w:hAnsi="宋体" w:eastAsia="宋体" w:cs="宋体"/>
          <w:bCs/>
          <w:kern w:val="2"/>
          <w:sz w:val="24"/>
          <w:szCs w:val="22"/>
          <w:lang w:val="en-US" w:eastAsia="zh-CN" w:bidi="ar-SA"/>
        </w:rPr>
      </w:pPr>
    </w:p>
    <w:p w14:paraId="35F51561">
      <w:pPr>
        <w:pStyle w:val="5"/>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firstLine="480" w:firstLineChars="200"/>
        <w:jc w:val="both"/>
        <w:textAlignment w:val="auto"/>
        <w:rPr>
          <w:rFonts w:hint="eastAsia" w:ascii="宋体" w:hAnsi="宋体" w:eastAsia="宋体" w:cs="宋体"/>
          <w:bCs/>
          <w:kern w:val="2"/>
          <w:sz w:val="24"/>
          <w:szCs w:val="22"/>
          <w:lang w:val="en-US" w:eastAsia="zh-CN" w:bidi="ar-SA"/>
        </w:rPr>
      </w:pPr>
    </w:p>
    <w:p w14:paraId="4FF70E32">
      <w:pPr>
        <w:pStyle w:val="5"/>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firstLine="480" w:firstLineChars="200"/>
        <w:jc w:val="both"/>
        <w:textAlignment w:val="auto"/>
        <w:rPr>
          <w:rFonts w:hint="eastAsia" w:ascii="宋体" w:hAnsi="宋体" w:eastAsia="宋体" w:cs="宋体"/>
          <w:bCs/>
          <w:kern w:val="2"/>
          <w:sz w:val="24"/>
          <w:szCs w:val="22"/>
          <w:lang w:val="en-US" w:eastAsia="zh-CN" w:bidi="ar-SA"/>
        </w:rPr>
      </w:pPr>
    </w:p>
    <w:p w14:paraId="2B889353">
      <w:pPr>
        <w:pStyle w:val="5"/>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firstLine="480" w:firstLineChars="200"/>
        <w:jc w:val="both"/>
        <w:textAlignment w:val="auto"/>
        <w:rPr>
          <w:rFonts w:hint="eastAsia" w:ascii="宋体" w:hAnsi="宋体" w:eastAsia="宋体" w:cs="宋体"/>
          <w:bCs/>
          <w:kern w:val="2"/>
          <w:sz w:val="24"/>
          <w:szCs w:val="22"/>
          <w:lang w:val="en-US" w:eastAsia="zh-CN" w:bidi="ar-SA"/>
        </w:rPr>
      </w:pPr>
    </w:p>
    <w:p w14:paraId="699CEAD0">
      <w:pPr>
        <w:pStyle w:val="5"/>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firstLine="480" w:firstLineChars="200"/>
        <w:jc w:val="both"/>
        <w:textAlignment w:val="auto"/>
        <w:rPr>
          <w:rFonts w:hint="eastAsia" w:ascii="宋体" w:hAnsi="宋体" w:eastAsia="宋体" w:cs="宋体"/>
          <w:bCs/>
          <w:kern w:val="2"/>
          <w:sz w:val="24"/>
          <w:szCs w:val="22"/>
          <w:lang w:val="en-US" w:eastAsia="zh-CN" w:bidi="ar-SA"/>
        </w:rPr>
      </w:pPr>
    </w:p>
    <w:p w14:paraId="1704BA6B">
      <w:pPr>
        <w:pStyle w:val="5"/>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firstLine="480" w:firstLineChars="200"/>
        <w:jc w:val="both"/>
        <w:textAlignment w:val="auto"/>
        <w:rPr>
          <w:rFonts w:hint="eastAsia" w:ascii="宋体" w:hAnsi="宋体" w:eastAsia="宋体" w:cs="宋体"/>
          <w:bCs/>
          <w:kern w:val="2"/>
          <w:sz w:val="24"/>
          <w:szCs w:val="22"/>
          <w:lang w:val="en-US" w:eastAsia="zh-CN" w:bidi="ar-SA"/>
        </w:rPr>
      </w:pPr>
    </w:p>
    <w:p w14:paraId="34CF6A7E">
      <w:pPr>
        <w:pStyle w:val="5"/>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firstLine="480" w:firstLineChars="200"/>
        <w:jc w:val="both"/>
        <w:textAlignment w:val="auto"/>
        <w:rPr>
          <w:rFonts w:hint="eastAsia" w:ascii="宋体" w:hAnsi="宋体" w:eastAsia="宋体" w:cs="宋体"/>
          <w:bCs/>
          <w:kern w:val="2"/>
          <w:sz w:val="24"/>
          <w:szCs w:val="22"/>
          <w:lang w:val="en-US" w:eastAsia="zh-CN" w:bidi="ar-SA"/>
        </w:rPr>
      </w:pPr>
    </w:p>
    <w:p w14:paraId="52AE9C5A">
      <w:pPr>
        <w:pStyle w:val="5"/>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firstLine="1807" w:firstLineChars="600"/>
        <w:jc w:val="both"/>
        <w:textAlignment w:val="auto"/>
        <w:rPr>
          <w:rFonts w:hint="eastAsia" w:ascii="宋体" w:hAnsi="宋体" w:eastAsia="宋体" w:cs="宋体"/>
          <w:b/>
          <w:sz w:val="30"/>
          <w:szCs w:val="30"/>
        </w:rPr>
      </w:pPr>
      <w:bookmarkStart w:id="14" w:name="_Toc26336"/>
    </w:p>
    <w:p w14:paraId="03ACF4F7">
      <w:pPr>
        <w:pStyle w:val="2"/>
        <w:bidi w:val="0"/>
        <w:rPr>
          <w:rFonts w:hint="eastAsia" w:ascii="宋体" w:hAnsi="宋体" w:eastAsia="宋体" w:cs="宋体"/>
          <w:b/>
          <w:sz w:val="30"/>
          <w:szCs w:val="30"/>
          <w:lang w:val="en-US" w:eastAsia="zh-CN"/>
        </w:rPr>
      </w:pPr>
      <w:r>
        <w:rPr>
          <w:rFonts w:hint="eastAsia" w:ascii="宋体" w:hAnsi="宋体" w:eastAsia="宋体" w:cs="宋体"/>
          <w:b/>
          <w:sz w:val="30"/>
          <w:szCs w:val="30"/>
        </w:rPr>
        <w:t>第</w:t>
      </w:r>
      <w:r>
        <w:rPr>
          <w:rFonts w:hint="eastAsia" w:ascii="宋体" w:hAnsi="宋体" w:eastAsia="宋体" w:cs="宋体"/>
          <w:b/>
          <w:sz w:val="30"/>
          <w:szCs w:val="30"/>
          <w:lang w:val="en-US" w:eastAsia="zh-CN"/>
        </w:rPr>
        <w:t>五</w:t>
      </w:r>
      <w:r>
        <w:rPr>
          <w:rFonts w:hint="eastAsia" w:ascii="宋体" w:hAnsi="宋体" w:eastAsia="宋体" w:cs="宋体"/>
          <w:b/>
          <w:sz w:val="30"/>
          <w:szCs w:val="30"/>
        </w:rPr>
        <w:t>章</w:t>
      </w:r>
      <w:r>
        <w:rPr>
          <w:rFonts w:hint="eastAsia" w:ascii="宋体" w:hAnsi="宋体" w:eastAsia="宋体" w:cs="宋体"/>
          <w:b/>
          <w:sz w:val="30"/>
          <w:szCs w:val="30"/>
          <w:lang w:eastAsia="zh-CN"/>
        </w:rPr>
        <w:t>《</w:t>
      </w:r>
      <w:r>
        <w:rPr>
          <w:rFonts w:hint="eastAsia" w:ascii="宋体" w:hAnsi="宋体" w:eastAsia="宋体" w:cs="宋体"/>
          <w:b/>
          <w:sz w:val="30"/>
          <w:szCs w:val="30"/>
          <w:lang w:val="en-US" w:eastAsia="zh-CN"/>
        </w:rPr>
        <w:t>方案</w:t>
      </w:r>
      <w:r>
        <w:rPr>
          <w:rFonts w:hint="eastAsia" w:ascii="宋体" w:hAnsi="宋体" w:eastAsia="宋体" w:cs="宋体"/>
          <w:b/>
          <w:sz w:val="30"/>
          <w:szCs w:val="30"/>
          <w:lang w:eastAsia="zh-CN"/>
        </w:rPr>
        <w:t>》</w:t>
      </w:r>
      <w:r>
        <w:rPr>
          <w:rFonts w:hint="eastAsia" w:ascii="宋体" w:hAnsi="宋体" w:eastAsia="宋体" w:cs="宋体"/>
          <w:b/>
          <w:sz w:val="30"/>
          <w:szCs w:val="30"/>
          <w:lang w:val="en-US" w:eastAsia="zh-CN"/>
        </w:rPr>
        <w:t>近期治理工作部署</w:t>
      </w:r>
      <w:bookmarkEnd w:id="14"/>
    </w:p>
    <w:p w14:paraId="36931D45">
      <w:pPr>
        <w:pStyle w:val="5"/>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firstLine="472" w:firstLineChars="200"/>
        <w:jc w:val="both"/>
        <w:textAlignment w:val="auto"/>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2023年4月由内蒙古第十地质矿产勘察开发有限责任公司编制了《内蒙古金陶股份有限公司金厂沟梁金矿矿山地质环境保护与土地复垦方案》治理方案使用年限5年，本方案适用年限5年，即2023年7月1日-2028年6月30日。本方案编制基准期为2023年7月。</w:t>
      </w:r>
    </w:p>
    <w:p w14:paraId="67B589BA">
      <w:pPr>
        <w:pStyle w:val="3"/>
        <w:numPr>
          <w:ilvl w:val="0"/>
          <w:numId w:val="10"/>
        </w:numPr>
        <w:adjustRightInd/>
        <w:snapToGrid/>
        <w:spacing w:before="0"/>
        <w:ind w:firstLine="562" w:firstLineChars="200"/>
        <w:jc w:val="left"/>
        <w:rPr>
          <w:rFonts w:hint="eastAsia" w:ascii="宋体" w:hAnsi="宋体" w:eastAsia="宋体" w:cs="宋体"/>
          <w:b/>
          <w:color w:val="auto"/>
          <w:sz w:val="28"/>
          <w:szCs w:val="28"/>
          <w:highlight w:val="none"/>
        </w:rPr>
      </w:pPr>
      <w:bookmarkStart w:id="15" w:name="_Toc28610"/>
      <w:bookmarkStart w:id="16" w:name="_Toc20921"/>
      <w:r>
        <w:rPr>
          <w:rFonts w:hint="eastAsia" w:ascii="宋体" w:hAnsi="宋体" w:eastAsia="宋体" w:cs="宋体"/>
          <w:b/>
          <w:color w:val="auto"/>
          <w:sz w:val="28"/>
          <w:szCs w:val="28"/>
          <w:highlight w:val="none"/>
          <w:lang w:val="en-US" w:eastAsia="zh-CN"/>
        </w:rPr>
        <w:t>近期</w:t>
      </w:r>
      <w:r>
        <w:rPr>
          <w:rFonts w:hint="eastAsia" w:ascii="宋体" w:hAnsi="宋体" w:eastAsia="宋体" w:cs="宋体"/>
          <w:b/>
          <w:color w:val="auto"/>
          <w:sz w:val="28"/>
          <w:szCs w:val="28"/>
          <w:highlight w:val="none"/>
        </w:rPr>
        <w:t>土地复垦区与复垦责任范围</w:t>
      </w:r>
      <w:bookmarkEnd w:id="15"/>
      <w:bookmarkEnd w:id="16"/>
    </w:p>
    <w:p w14:paraId="6388AEBE">
      <w:pPr>
        <w:pStyle w:val="5"/>
        <w:spacing w:line="360" w:lineRule="auto"/>
        <w:ind w:left="0" w:right="0" w:firstLine="488"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根据现场调查，现状及预测形成的对矿山地质环境造成</w:t>
      </w:r>
      <w:r>
        <w:rPr>
          <w:rFonts w:hint="eastAsia" w:asciiTheme="minorEastAsia" w:hAnsiTheme="minorEastAsia" w:eastAsiaTheme="minorEastAsia" w:cstheme="minorEastAsia"/>
          <w:spacing w:val="1"/>
          <w:sz w:val="24"/>
          <w:szCs w:val="24"/>
        </w:rPr>
        <w:t>影响的破坏单元有：</w:t>
      </w:r>
    </w:p>
    <w:p w14:paraId="2C762533">
      <w:pPr>
        <w:pStyle w:val="5"/>
        <w:spacing w:line="360" w:lineRule="auto"/>
        <w:ind w:left="0" w:right="0" w:firstLine="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预测地面塌陷区、SJ1工业场地、SJ15工业场地、SJ2工业场地、SJ3</w:t>
      </w:r>
      <w:r>
        <w:rPr>
          <w:rFonts w:hint="eastAsia" w:asciiTheme="minorEastAsia" w:hAnsiTheme="minorEastAsia" w:eastAsiaTheme="minorEastAsia" w:cstheme="minorEastAsia"/>
          <w:spacing w:val="-3"/>
          <w:sz w:val="24"/>
          <w:szCs w:val="24"/>
        </w:rPr>
        <w:t>5工业场地、</w:t>
      </w:r>
      <w:r>
        <w:rPr>
          <w:rFonts w:hint="eastAsia" w:asciiTheme="minorEastAsia" w:hAnsiTheme="minorEastAsia" w:eastAsiaTheme="minorEastAsia" w:cstheme="minorEastAsia"/>
          <w:spacing w:val="-1"/>
          <w:sz w:val="24"/>
          <w:szCs w:val="24"/>
        </w:rPr>
        <w:t>FJ56工业场地、FJ35工业场地、FJ26工业场地、FJ大黄线工业场地</w:t>
      </w:r>
      <w:r>
        <w:rPr>
          <w:rFonts w:hint="eastAsia" w:asciiTheme="minorEastAsia" w:hAnsiTheme="minorEastAsia" w:eastAsiaTheme="minorEastAsia" w:cstheme="minorEastAsia"/>
          <w:spacing w:val="-2"/>
          <w:sz w:val="24"/>
          <w:szCs w:val="24"/>
        </w:rPr>
        <w:t>、物资供应</w:t>
      </w:r>
      <w:r>
        <w:rPr>
          <w:rFonts w:hint="eastAsia" w:asciiTheme="minorEastAsia" w:hAnsiTheme="minorEastAsia" w:eastAsiaTheme="minorEastAsia" w:cstheme="minorEastAsia"/>
          <w:sz w:val="24"/>
          <w:szCs w:val="24"/>
        </w:rPr>
        <w:t>部、办公生活区、取土场1-取土场2、</w:t>
      </w:r>
      <w:r>
        <w:rPr>
          <w:rFonts w:hint="eastAsia" w:asciiTheme="minorEastAsia" w:hAnsiTheme="minorEastAsia" w:eastAsiaTheme="minorEastAsia" w:cstheme="minorEastAsia"/>
          <w:spacing w:val="-1"/>
          <w:sz w:val="24"/>
          <w:szCs w:val="24"/>
        </w:rPr>
        <w:t>一选厂、炸药库、矿区道路、截洪沟、综</w:t>
      </w:r>
      <w:r>
        <w:rPr>
          <w:rFonts w:hint="eastAsia" w:asciiTheme="minorEastAsia" w:hAnsiTheme="minorEastAsia" w:eastAsiaTheme="minorEastAsia" w:cstheme="minorEastAsia"/>
          <w:spacing w:val="3"/>
          <w:sz w:val="24"/>
          <w:szCs w:val="24"/>
        </w:rPr>
        <w:t>合废石场。矿山开采影响以上工程单元，因此，本期矿山地质环境问题</w:t>
      </w:r>
      <w:r>
        <w:rPr>
          <w:rFonts w:hint="eastAsia" w:asciiTheme="minorEastAsia" w:hAnsiTheme="minorEastAsia" w:eastAsiaTheme="minorEastAsia" w:cstheme="minorEastAsia"/>
          <w:spacing w:val="2"/>
          <w:sz w:val="24"/>
          <w:szCs w:val="24"/>
        </w:rPr>
        <w:t>应包括以</w:t>
      </w:r>
      <w:r>
        <w:rPr>
          <w:rFonts w:hint="eastAsia" w:asciiTheme="minorEastAsia" w:hAnsiTheme="minorEastAsia" w:eastAsiaTheme="minorEastAsia" w:cstheme="minorEastAsia"/>
          <w:spacing w:val="-6"/>
          <w:sz w:val="24"/>
          <w:szCs w:val="24"/>
        </w:rPr>
        <w:t>上所有区域。</w:t>
      </w:r>
    </w:p>
    <w:p w14:paraId="29596E63">
      <w:pPr>
        <w:pStyle w:val="5"/>
        <w:spacing w:line="360" w:lineRule="auto"/>
        <w:ind w:left="0" w:right="0" w:firstLine="476"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根据《开发利用方案》及近五年采掘计划SJ2工业场地及SJ15工业场地近期结束采矿任务，近期对其进行治理；</w:t>
      </w:r>
    </w:p>
    <w:p w14:paraId="143D7E38">
      <w:pPr>
        <w:pStyle w:val="5"/>
        <w:spacing w:line="360" w:lineRule="auto"/>
        <w:ind w:left="0" w:right="0" w:firstLine="492"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根据《开发利用方案》设计，矿区内主要矿体延伸</w:t>
      </w:r>
      <w:r>
        <w:rPr>
          <w:rFonts w:hint="eastAsia" w:asciiTheme="minorEastAsia" w:hAnsiTheme="minorEastAsia" w:eastAsiaTheme="minorEastAsia" w:cstheme="minorEastAsia"/>
          <w:spacing w:val="2"/>
          <w:sz w:val="24"/>
          <w:szCs w:val="24"/>
        </w:rPr>
        <w:t>方向未封闭，厚度、品位</w:t>
      </w:r>
      <w:r>
        <w:rPr>
          <w:rFonts w:hint="eastAsia" w:asciiTheme="minorEastAsia" w:hAnsiTheme="minorEastAsia" w:eastAsiaTheme="minorEastAsia" w:cstheme="minorEastAsia"/>
          <w:spacing w:val="3"/>
          <w:sz w:val="24"/>
          <w:szCs w:val="24"/>
        </w:rPr>
        <w:t>基本稳定，建议矿山进行深部探矿，扩大资源储量，延长矿</w:t>
      </w:r>
      <w:r>
        <w:rPr>
          <w:rFonts w:hint="eastAsia" w:asciiTheme="minorEastAsia" w:hAnsiTheme="minorEastAsia" w:eastAsiaTheme="minorEastAsia" w:cstheme="minorEastAsia"/>
          <w:spacing w:val="2"/>
          <w:sz w:val="24"/>
          <w:szCs w:val="24"/>
        </w:rPr>
        <w:t>山服务年限；目前矿</w:t>
      </w:r>
      <w:r>
        <w:rPr>
          <w:rFonts w:hint="eastAsia" w:asciiTheme="minorEastAsia" w:hAnsiTheme="minorEastAsia" w:eastAsiaTheme="minorEastAsia" w:cstheme="minorEastAsia"/>
          <w:spacing w:val="3"/>
          <w:sz w:val="24"/>
          <w:szCs w:val="24"/>
        </w:rPr>
        <w:t>山边采边探，根据储量年报探矿新增矿石量近百万吨，深部找</w:t>
      </w:r>
      <w:r>
        <w:rPr>
          <w:rFonts w:hint="eastAsia" w:asciiTheme="minorEastAsia" w:hAnsiTheme="minorEastAsia" w:eastAsiaTheme="minorEastAsia" w:cstheme="minorEastAsia"/>
          <w:spacing w:val="2"/>
          <w:sz w:val="24"/>
          <w:szCs w:val="24"/>
        </w:rPr>
        <w:t>矿潜力较大。根据</w:t>
      </w:r>
      <w:r>
        <w:rPr>
          <w:rFonts w:hint="eastAsia" w:asciiTheme="minorEastAsia" w:hAnsiTheme="minorEastAsia" w:eastAsiaTheme="minorEastAsia" w:cstheme="minorEastAsia"/>
          <w:spacing w:val="-1"/>
          <w:sz w:val="24"/>
          <w:szCs w:val="24"/>
        </w:rPr>
        <w:t>矿体分布及井巷开拓情况，SJ1工业场地、SJ35工业场地、FJ56工业场地</w:t>
      </w:r>
      <w:r>
        <w:rPr>
          <w:rFonts w:hint="eastAsia" w:asciiTheme="minorEastAsia" w:hAnsiTheme="minorEastAsia" w:eastAsiaTheme="minorEastAsia" w:cstheme="minorEastAsia"/>
          <w:spacing w:val="-2"/>
          <w:sz w:val="24"/>
          <w:szCs w:val="24"/>
        </w:rPr>
        <w:t>、FJ35</w:t>
      </w:r>
      <w:r>
        <w:rPr>
          <w:rFonts w:hint="eastAsia" w:asciiTheme="minorEastAsia" w:hAnsiTheme="minorEastAsia" w:eastAsiaTheme="minorEastAsia" w:cstheme="minorEastAsia"/>
          <w:spacing w:val="-1"/>
          <w:sz w:val="24"/>
          <w:szCs w:val="24"/>
        </w:rPr>
        <w:t>工业场地、FJ26工业场地、FJ大黄线工业场地、物资供应部、办公生活区、一选</w:t>
      </w:r>
      <w:r>
        <w:rPr>
          <w:rFonts w:hint="eastAsia" w:asciiTheme="minorEastAsia" w:hAnsiTheme="minorEastAsia" w:eastAsiaTheme="minorEastAsia" w:cstheme="minorEastAsia"/>
          <w:spacing w:val="3"/>
          <w:sz w:val="24"/>
          <w:szCs w:val="24"/>
        </w:rPr>
        <w:t>厂、炸药库、矿区道路、截洪沟、综合废石场在矿山后期深部</w:t>
      </w:r>
      <w:r>
        <w:rPr>
          <w:rFonts w:hint="eastAsia" w:asciiTheme="minorEastAsia" w:hAnsiTheme="minorEastAsia" w:eastAsiaTheme="minorEastAsia" w:cstheme="minorEastAsia"/>
          <w:spacing w:val="2"/>
          <w:sz w:val="24"/>
          <w:szCs w:val="24"/>
        </w:rPr>
        <w:t>探矿及生产中将继</w:t>
      </w:r>
      <w:r>
        <w:rPr>
          <w:rFonts w:hint="eastAsia" w:asciiTheme="minorEastAsia" w:hAnsiTheme="minorEastAsia" w:eastAsiaTheme="minorEastAsia" w:cstheme="minorEastAsia"/>
          <w:spacing w:val="-1"/>
          <w:sz w:val="24"/>
          <w:szCs w:val="24"/>
        </w:rPr>
        <w:t>续使用，故近期不对其进行治理；</w:t>
      </w:r>
    </w:p>
    <w:p w14:paraId="3ADC23C0">
      <w:pPr>
        <w:pStyle w:val="5"/>
        <w:spacing w:line="360" w:lineRule="auto"/>
        <w:ind w:left="0" w:right="0" w:firstLine="492"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矿山开采可能引发预测地面塌陷区。首期对可能出现的沉稳的塌陷坑进行治</w:t>
      </w:r>
      <w:r>
        <w:rPr>
          <w:rFonts w:hint="eastAsia" w:asciiTheme="minorEastAsia" w:hAnsiTheme="minorEastAsia" w:eastAsiaTheme="minorEastAsia" w:cstheme="minorEastAsia"/>
          <w:spacing w:val="-1"/>
          <w:sz w:val="24"/>
          <w:szCs w:val="24"/>
        </w:rPr>
        <w:t>理，治理面积为实际形成塌陷坑面积，按照塌陷区面积10%计取，面积相对减少。</w:t>
      </w:r>
    </w:p>
    <w:p w14:paraId="1F98F26C">
      <w:pPr>
        <w:pStyle w:val="5"/>
        <w:spacing w:line="360" w:lineRule="auto"/>
        <w:ind w:left="0" w:right="0" w:firstLine="472"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综上所述确定近期治理区为：预测地面塌陷区、取土场1-取土场1、SJ</w:t>
      </w:r>
      <w:r>
        <w:rPr>
          <w:rFonts w:hint="eastAsia" w:asciiTheme="minorEastAsia" w:hAnsiTheme="minorEastAsia" w:eastAsiaTheme="minorEastAsia" w:cstheme="minorEastAsia"/>
          <w:spacing w:val="-3"/>
          <w:sz w:val="24"/>
          <w:szCs w:val="24"/>
        </w:rPr>
        <w:t>2工业场地、SJ15工业场、部分矿区道路。</w:t>
      </w:r>
    </w:p>
    <w:p w14:paraId="7284C8E1">
      <w:pPr>
        <w:pStyle w:val="5"/>
        <w:spacing w:line="360" w:lineRule="auto"/>
        <w:ind w:left="0" w:right="0" w:firstLine="472" w:firstLineChars="200"/>
        <w:jc w:val="left"/>
        <w:rPr>
          <w:rFonts w:hint="eastAsia" w:asciiTheme="minorEastAsia" w:hAnsiTheme="minorEastAsia" w:eastAsiaTheme="minorEastAsia" w:cstheme="minorEastAsia"/>
          <w:spacing w:val="-3"/>
          <w:sz w:val="24"/>
          <w:szCs w:val="24"/>
        </w:rPr>
      </w:pPr>
      <w:r>
        <w:rPr>
          <w:rFonts w:hint="eastAsia" w:asciiTheme="minorEastAsia" w:hAnsiTheme="minorEastAsia" w:eastAsiaTheme="minorEastAsia" w:cstheme="minorEastAsia"/>
          <w:spacing w:val="-2"/>
          <w:sz w:val="24"/>
          <w:szCs w:val="24"/>
        </w:rPr>
        <w:t>近期治理总面积1659384m</w:t>
      </w:r>
      <w:r>
        <w:rPr>
          <w:rFonts w:hint="eastAsia" w:asciiTheme="minorEastAsia" w:hAnsiTheme="minorEastAsia" w:eastAsiaTheme="minorEastAsia" w:cstheme="minorEastAsia"/>
          <w:spacing w:val="-2"/>
          <w:sz w:val="24"/>
          <w:szCs w:val="24"/>
          <w:vertAlign w:val="superscript"/>
          <w:lang w:val="en-US" w:eastAsia="zh-CN"/>
        </w:rPr>
        <w:t>2</w:t>
      </w:r>
      <w:r>
        <w:rPr>
          <w:rFonts w:hint="eastAsia" w:asciiTheme="minorEastAsia" w:hAnsiTheme="minorEastAsia" w:eastAsiaTheme="minorEastAsia" w:cstheme="minorEastAsia"/>
          <w:spacing w:val="-2"/>
          <w:sz w:val="24"/>
          <w:szCs w:val="24"/>
        </w:rPr>
        <w:t>，复垦</w:t>
      </w:r>
      <w:r>
        <w:rPr>
          <w:rFonts w:hint="eastAsia" w:asciiTheme="minorEastAsia" w:hAnsiTheme="minorEastAsia" w:eastAsiaTheme="minorEastAsia" w:cstheme="minorEastAsia"/>
          <w:spacing w:val="-3"/>
          <w:sz w:val="24"/>
          <w:szCs w:val="24"/>
        </w:rPr>
        <w:t>面积50694m</w:t>
      </w:r>
      <w:r>
        <w:rPr>
          <w:rFonts w:hint="eastAsia" w:asciiTheme="minorEastAsia" w:hAnsiTheme="minorEastAsia" w:eastAsiaTheme="minorEastAsia" w:cstheme="minorEastAsia"/>
          <w:spacing w:val="-6"/>
          <w:sz w:val="24"/>
          <w:szCs w:val="24"/>
          <w:vertAlign w:val="superscript"/>
          <w:lang w:val="en-US" w:eastAsia="zh-CN"/>
        </w:rPr>
        <w:t>2</w:t>
      </w:r>
      <w:r>
        <w:rPr>
          <w:rFonts w:hint="eastAsia" w:asciiTheme="minorEastAsia" w:hAnsiTheme="minorEastAsia" w:eastAsiaTheme="minorEastAsia" w:cstheme="minorEastAsia"/>
          <w:spacing w:val="-3"/>
          <w:sz w:val="24"/>
          <w:szCs w:val="24"/>
        </w:rPr>
        <w:t>，复垦旱地12493m</w:t>
      </w:r>
      <w:r>
        <w:rPr>
          <w:rFonts w:hint="eastAsia" w:asciiTheme="minorEastAsia" w:hAnsiTheme="minorEastAsia" w:eastAsiaTheme="minorEastAsia" w:cstheme="minorEastAsia"/>
          <w:spacing w:val="-6"/>
          <w:sz w:val="24"/>
          <w:szCs w:val="24"/>
          <w:vertAlign w:val="superscript"/>
          <w:lang w:val="en-US" w:eastAsia="zh-CN"/>
        </w:rPr>
        <w:t>2</w:t>
      </w:r>
      <w:r>
        <w:rPr>
          <w:rFonts w:hint="eastAsia" w:asciiTheme="minorEastAsia" w:hAnsiTheme="minorEastAsia" w:eastAsiaTheme="minorEastAsia" w:cstheme="minorEastAsia"/>
          <w:spacing w:val="-3"/>
          <w:sz w:val="24"/>
          <w:szCs w:val="24"/>
        </w:rPr>
        <w:t>，复垦</w:t>
      </w:r>
      <w:r>
        <w:rPr>
          <w:rFonts w:hint="eastAsia" w:asciiTheme="minorEastAsia" w:hAnsiTheme="minorEastAsia" w:eastAsiaTheme="minorEastAsia" w:cstheme="minorEastAsia"/>
          <w:spacing w:val="2"/>
          <w:sz w:val="24"/>
          <w:szCs w:val="24"/>
        </w:rPr>
        <w:t>灌木林地38201m</w:t>
      </w:r>
      <w:r>
        <w:rPr>
          <w:rFonts w:hint="eastAsia" w:asciiTheme="minorEastAsia" w:hAnsiTheme="minorEastAsia" w:eastAsiaTheme="minorEastAsia" w:cstheme="minorEastAsia"/>
          <w:spacing w:val="2"/>
          <w:sz w:val="24"/>
          <w:szCs w:val="24"/>
          <w:vertAlign w:val="superscript"/>
          <w:lang w:val="en-US" w:eastAsia="zh-CN"/>
        </w:rPr>
        <w:t>2</w:t>
      </w:r>
      <w:r>
        <w:rPr>
          <w:rFonts w:hint="eastAsia" w:asciiTheme="minorEastAsia" w:hAnsiTheme="minorEastAsia" w:eastAsiaTheme="minorEastAsia" w:cstheme="minorEastAsia"/>
          <w:spacing w:val="2"/>
          <w:sz w:val="24"/>
          <w:szCs w:val="24"/>
        </w:rPr>
        <w:t>。本期治理及土地复垦责任区确定见表</w:t>
      </w:r>
      <w:r>
        <w:rPr>
          <w:rFonts w:hint="eastAsia" w:asciiTheme="minorEastAsia" w:hAnsiTheme="minorEastAsia" w:eastAsiaTheme="minorEastAsia" w:cstheme="minorEastAsia"/>
          <w:spacing w:val="1"/>
          <w:sz w:val="24"/>
          <w:szCs w:val="24"/>
        </w:rPr>
        <w:t>8-3，本期治理责任区</w:t>
      </w:r>
      <w:r>
        <w:rPr>
          <w:rFonts w:hint="eastAsia" w:asciiTheme="minorEastAsia" w:hAnsiTheme="minorEastAsia" w:eastAsiaTheme="minorEastAsia" w:cstheme="minorEastAsia"/>
          <w:spacing w:val="-3"/>
          <w:sz w:val="24"/>
          <w:szCs w:val="24"/>
        </w:rPr>
        <w:t>拐点坐标见表</w:t>
      </w:r>
      <w:r>
        <w:rPr>
          <w:rFonts w:hint="eastAsia" w:asciiTheme="minorEastAsia" w:hAnsiTheme="minorEastAsia" w:eastAsiaTheme="minorEastAsia" w:cstheme="minorEastAsia"/>
          <w:spacing w:val="-3"/>
          <w:sz w:val="24"/>
          <w:szCs w:val="24"/>
          <w:lang w:val="en-US" w:eastAsia="zh-CN"/>
        </w:rPr>
        <w:t>5-1</w:t>
      </w:r>
      <w:r>
        <w:rPr>
          <w:rFonts w:hint="eastAsia" w:asciiTheme="minorEastAsia" w:hAnsiTheme="minorEastAsia" w:eastAsiaTheme="minorEastAsia" w:cstheme="minorEastAsia"/>
          <w:spacing w:val="-3"/>
          <w:sz w:val="24"/>
          <w:szCs w:val="24"/>
        </w:rPr>
        <w:t>。</w:t>
      </w:r>
    </w:p>
    <w:p w14:paraId="0CBA612B">
      <w:pPr>
        <w:pStyle w:val="5"/>
        <w:spacing w:before="45" w:line="213" w:lineRule="auto"/>
        <w:ind w:left="0" w:leftChars="0" w:firstLine="2506" w:firstLineChars="1200"/>
        <w:jc w:val="left"/>
        <w:rPr>
          <w:b/>
          <w:bCs/>
          <w:sz w:val="21"/>
          <w:szCs w:val="21"/>
        </w:rPr>
      </w:pPr>
      <w:r>
        <w:rPr>
          <w:b/>
          <w:bCs/>
          <w:spacing w:val="-1"/>
          <w:sz w:val="21"/>
          <w:szCs w:val="21"/>
        </w:rPr>
        <w:t>表</w:t>
      </w:r>
      <w:r>
        <w:rPr>
          <w:rFonts w:hint="eastAsia"/>
          <w:b/>
          <w:bCs/>
          <w:spacing w:val="-1"/>
          <w:sz w:val="21"/>
          <w:szCs w:val="21"/>
          <w:lang w:val="en-US" w:eastAsia="zh-CN"/>
        </w:rPr>
        <w:t>5-1</w:t>
      </w:r>
      <w:r>
        <w:rPr>
          <w:rFonts w:hint="eastAsia"/>
          <w:b/>
          <w:bCs/>
          <w:spacing w:val="-44"/>
          <w:sz w:val="21"/>
          <w:szCs w:val="21"/>
          <w:lang w:val="en-US" w:eastAsia="zh-CN"/>
        </w:rPr>
        <w:t xml:space="preserve">       </w:t>
      </w:r>
      <w:r>
        <w:rPr>
          <w:b/>
          <w:bCs/>
          <w:spacing w:val="-1"/>
          <w:sz w:val="21"/>
          <w:szCs w:val="21"/>
        </w:rPr>
        <w:t>首期治理责任区确定一览表</w:t>
      </w:r>
    </w:p>
    <w:tbl>
      <w:tblPr>
        <w:tblStyle w:val="20"/>
        <w:tblW w:w="852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476"/>
        <w:gridCol w:w="1837"/>
        <w:gridCol w:w="1064"/>
        <w:gridCol w:w="4145"/>
      </w:tblGrid>
      <w:tr w14:paraId="24BDE6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0" w:hRule="atLeast"/>
          <w:tblHeader/>
          <w:jc w:val="center"/>
        </w:trPr>
        <w:tc>
          <w:tcPr>
            <w:tcW w:w="0" w:type="auto"/>
            <w:vAlign w:val="center"/>
          </w:tcPr>
          <w:p w14:paraId="25CC078D">
            <w:pPr>
              <w:pStyle w:val="19"/>
              <w:snapToGrid w:val="0"/>
              <w:spacing w:before="140" w:line="240" w:lineRule="auto"/>
              <w:ind w:left="0" w:leftChars="0" w:right="0" w:rightChars="0" w:firstLine="0" w:firstLineChars="0"/>
              <w:jc w:val="center"/>
              <w:rPr>
                <w:rFonts w:ascii="宋体" w:eastAsia="宋体"/>
                <w:b/>
                <w:sz w:val="21"/>
              </w:rPr>
            </w:pPr>
            <w:r>
              <w:rPr>
                <w:rFonts w:ascii="宋体" w:eastAsia="宋体"/>
                <w:b/>
                <w:spacing w:val="-3"/>
                <w:sz w:val="21"/>
              </w:rPr>
              <w:t>治理单元</w:t>
            </w:r>
          </w:p>
        </w:tc>
        <w:tc>
          <w:tcPr>
            <w:tcW w:w="1837" w:type="dxa"/>
            <w:vAlign w:val="center"/>
          </w:tcPr>
          <w:p w14:paraId="49A89BD1">
            <w:pPr>
              <w:pStyle w:val="19"/>
              <w:snapToGrid w:val="0"/>
              <w:spacing w:before="35" w:line="240" w:lineRule="auto"/>
              <w:ind w:left="0" w:leftChars="0" w:right="0" w:rightChars="0" w:firstLine="0" w:firstLineChars="0"/>
              <w:jc w:val="center"/>
              <w:rPr>
                <w:rFonts w:ascii="宋体" w:hAnsi="Times New Roman" w:eastAsia="宋体" w:cs="Times New Roman"/>
                <w:b/>
                <w:sz w:val="21"/>
                <w:szCs w:val="21"/>
              </w:rPr>
            </w:pPr>
            <w:r>
              <w:rPr>
                <w:rFonts w:ascii="宋体" w:eastAsia="宋体"/>
                <w:b/>
                <w:spacing w:val="-2"/>
                <w:sz w:val="21"/>
              </w:rPr>
              <w:t>首期治理面积</w:t>
            </w:r>
            <w:r>
              <w:rPr>
                <w:rFonts w:ascii="宋体" w:hAnsi="Times New Roman" w:eastAsia="宋体" w:cs="Times New Roman"/>
                <w:b/>
                <w:spacing w:val="-3"/>
                <w:sz w:val="21"/>
                <w:szCs w:val="21"/>
              </w:rPr>
              <w:t>(m</w:t>
            </w:r>
            <w:r>
              <w:rPr>
                <w:rFonts w:ascii="宋体" w:hAnsi="Times New Roman" w:eastAsia="宋体" w:cs="Times New Roman"/>
                <w:b/>
                <w:spacing w:val="-3"/>
                <w:position w:val="9"/>
                <w:sz w:val="21"/>
                <w:szCs w:val="14"/>
              </w:rPr>
              <w:t>2</w:t>
            </w:r>
            <w:r>
              <w:rPr>
                <w:rFonts w:ascii="宋体" w:hAnsi="Times New Roman" w:eastAsia="宋体" w:cs="Times New Roman"/>
                <w:b/>
                <w:spacing w:val="-3"/>
                <w:sz w:val="21"/>
                <w:szCs w:val="21"/>
              </w:rPr>
              <w:t>)</w:t>
            </w:r>
          </w:p>
        </w:tc>
        <w:tc>
          <w:tcPr>
            <w:tcW w:w="0" w:type="auto"/>
            <w:vAlign w:val="center"/>
          </w:tcPr>
          <w:p w14:paraId="255DD120">
            <w:pPr>
              <w:pStyle w:val="19"/>
              <w:snapToGrid w:val="0"/>
              <w:spacing w:before="140" w:line="240" w:lineRule="auto"/>
              <w:ind w:left="0" w:leftChars="0" w:right="0" w:rightChars="0" w:firstLine="0" w:firstLineChars="0"/>
              <w:jc w:val="center"/>
              <w:rPr>
                <w:rFonts w:ascii="宋体" w:eastAsia="宋体"/>
                <w:b/>
                <w:sz w:val="21"/>
              </w:rPr>
            </w:pPr>
            <w:r>
              <w:rPr>
                <w:rFonts w:ascii="宋体" w:eastAsia="宋体"/>
                <w:b/>
                <w:spacing w:val="-3"/>
                <w:sz w:val="21"/>
              </w:rPr>
              <w:t>治理区确定</w:t>
            </w:r>
          </w:p>
        </w:tc>
        <w:tc>
          <w:tcPr>
            <w:tcW w:w="4145" w:type="dxa"/>
            <w:vAlign w:val="center"/>
          </w:tcPr>
          <w:p w14:paraId="5BD2D05A">
            <w:pPr>
              <w:pStyle w:val="19"/>
              <w:snapToGrid w:val="0"/>
              <w:spacing w:before="140" w:line="240" w:lineRule="auto"/>
              <w:ind w:left="0" w:leftChars="0" w:right="0" w:rightChars="0" w:firstLine="0" w:firstLineChars="0"/>
              <w:jc w:val="center"/>
              <w:rPr>
                <w:rFonts w:ascii="宋体" w:eastAsia="宋体"/>
                <w:b/>
                <w:sz w:val="21"/>
              </w:rPr>
            </w:pPr>
            <w:r>
              <w:rPr>
                <w:rFonts w:ascii="宋体" w:eastAsia="宋体"/>
                <w:b/>
                <w:spacing w:val="-3"/>
                <w:sz w:val="21"/>
              </w:rPr>
              <w:t>治理措施</w:t>
            </w:r>
          </w:p>
        </w:tc>
      </w:tr>
      <w:tr w14:paraId="45FAD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0" w:type="auto"/>
            <w:vAlign w:val="center"/>
          </w:tcPr>
          <w:p w14:paraId="614D493C">
            <w:pPr>
              <w:pStyle w:val="19"/>
              <w:snapToGrid w:val="0"/>
              <w:spacing w:before="26" w:line="240" w:lineRule="auto"/>
              <w:ind w:left="0" w:leftChars="0" w:right="0" w:rightChars="0" w:firstLine="0" w:firstLineChars="0"/>
              <w:jc w:val="center"/>
              <w:rPr>
                <w:rFonts w:ascii="宋体" w:eastAsia="宋体"/>
                <w:sz w:val="21"/>
              </w:rPr>
            </w:pPr>
            <w:r>
              <w:rPr>
                <w:rFonts w:ascii="宋体" w:eastAsia="宋体"/>
                <w:spacing w:val="-2"/>
                <w:sz w:val="21"/>
              </w:rPr>
              <w:t>预测地面塌陷区</w:t>
            </w:r>
          </w:p>
        </w:tc>
        <w:tc>
          <w:tcPr>
            <w:tcW w:w="1837" w:type="dxa"/>
            <w:vAlign w:val="center"/>
          </w:tcPr>
          <w:p w14:paraId="2F9C2AE6">
            <w:pPr>
              <w:snapToGrid w:val="0"/>
              <w:spacing w:before="49" w:line="240" w:lineRule="auto"/>
              <w:ind w:left="0" w:leftChars="0" w:right="0" w:rightChars="0" w:firstLine="0" w:firstLineChars="0"/>
              <w:jc w:val="left"/>
              <w:rPr>
                <w:rFonts w:ascii="宋体" w:hAnsi="Times New Roman" w:eastAsia="宋体" w:cs="Times New Roman"/>
                <w:sz w:val="21"/>
                <w:szCs w:val="21"/>
              </w:rPr>
            </w:pPr>
            <w:r>
              <w:rPr>
                <w:rFonts w:ascii="宋体" w:hAnsi="Times New Roman" w:eastAsia="宋体" w:cs="Times New Roman"/>
                <w:spacing w:val="-4"/>
                <w:sz w:val="21"/>
                <w:szCs w:val="21"/>
              </w:rPr>
              <w:t>1651000</w:t>
            </w:r>
          </w:p>
        </w:tc>
        <w:tc>
          <w:tcPr>
            <w:tcW w:w="0" w:type="auto"/>
            <w:vAlign w:val="center"/>
          </w:tcPr>
          <w:p w14:paraId="653B7AD0">
            <w:pPr>
              <w:pStyle w:val="19"/>
              <w:snapToGrid w:val="0"/>
              <w:spacing w:before="26" w:line="240" w:lineRule="auto"/>
              <w:ind w:left="0" w:leftChars="0" w:right="0" w:rightChars="0" w:firstLine="0" w:firstLineChars="0"/>
              <w:jc w:val="center"/>
              <w:rPr>
                <w:rFonts w:ascii="宋体" w:eastAsia="宋体"/>
                <w:color w:val="auto"/>
                <w:sz w:val="21"/>
              </w:rPr>
            </w:pPr>
            <w:r>
              <w:rPr>
                <w:rFonts w:hint="eastAsia"/>
                <w:color w:val="auto"/>
                <w:spacing w:val="-3"/>
                <w:sz w:val="21"/>
                <w:lang w:val="en-US" w:eastAsia="zh-CN"/>
              </w:rPr>
              <w:t>全</w:t>
            </w:r>
            <w:r>
              <w:rPr>
                <w:rFonts w:ascii="宋体" w:eastAsia="宋体"/>
                <w:color w:val="auto"/>
                <w:spacing w:val="-3"/>
                <w:sz w:val="21"/>
              </w:rPr>
              <w:t>部治理</w:t>
            </w:r>
          </w:p>
        </w:tc>
        <w:tc>
          <w:tcPr>
            <w:tcW w:w="4145" w:type="dxa"/>
            <w:vAlign w:val="center"/>
          </w:tcPr>
          <w:p w14:paraId="5C122AA8">
            <w:pPr>
              <w:pStyle w:val="19"/>
              <w:snapToGrid w:val="0"/>
              <w:spacing w:before="26" w:line="240" w:lineRule="auto"/>
              <w:ind w:left="0" w:leftChars="0" w:right="0" w:rightChars="0" w:firstLine="0" w:firstLineChars="0"/>
              <w:jc w:val="center"/>
              <w:rPr>
                <w:rFonts w:ascii="宋体" w:eastAsia="宋体"/>
                <w:sz w:val="21"/>
              </w:rPr>
            </w:pPr>
            <w:r>
              <w:rPr>
                <w:rFonts w:ascii="宋体" w:eastAsia="宋体"/>
                <w:spacing w:val="-2"/>
                <w:sz w:val="21"/>
              </w:rPr>
              <w:t>设置地灾监测点</w:t>
            </w:r>
          </w:p>
        </w:tc>
      </w:tr>
      <w:tr w14:paraId="5986B8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0" w:type="auto"/>
            <w:vAlign w:val="center"/>
          </w:tcPr>
          <w:p w14:paraId="4F291ECF">
            <w:pPr>
              <w:pStyle w:val="19"/>
              <w:snapToGrid w:val="0"/>
              <w:spacing w:before="29" w:line="240" w:lineRule="auto"/>
              <w:ind w:left="0" w:leftChars="0" w:right="0" w:rightChars="0" w:firstLine="0" w:firstLineChars="0"/>
              <w:jc w:val="center"/>
              <w:rPr>
                <w:rFonts w:ascii="宋体" w:eastAsia="宋体"/>
                <w:sz w:val="21"/>
              </w:rPr>
            </w:pPr>
            <w:r>
              <w:rPr>
                <w:rFonts w:ascii="宋体" w:eastAsia="宋体"/>
                <w:spacing w:val="-3"/>
                <w:sz w:val="21"/>
              </w:rPr>
              <w:t>SJ2工业场地</w:t>
            </w:r>
          </w:p>
        </w:tc>
        <w:tc>
          <w:tcPr>
            <w:tcW w:w="1837" w:type="dxa"/>
            <w:vAlign w:val="center"/>
          </w:tcPr>
          <w:p w14:paraId="2E664988">
            <w:pPr>
              <w:snapToGrid w:val="0"/>
              <w:spacing w:before="52" w:line="240" w:lineRule="auto"/>
              <w:ind w:left="0" w:leftChars="0" w:right="0" w:rightChars="0" w:firstLine="0" w:firstLineChars="0"/>
              <w:jc w:val="left"/>
              <w:rPr>
                <w:rFonts w:ascii="宋体" w:hAnsi="Times New Roman" w:eastAsia="宋体" w:cs="Times New Roman"/>
                <w:sz w:val="21"/>
                <w:szCs w:val="21"/>
              </w:rPr>
            </w:pPr>
            <w:r>
              <w:rPr>
                <w:rFonts w:ascii="宋体" w:hAnsi="Times New Roman" w:eastAsia="宋体" w:cs="Times New Roman"/>
                <w:spacing w:val="-5"/>
                <w:sz w:val="21"/>
                <w:szCs w:val="21"/>
              </w:rPr>
              <w:t>12493</w:t>
            </w:r>
          </w:p>
        </w:tc>
        <w:tc>
          <w:tcPr>
            <w:tcW w:w="0" w:type="auto"/>
            <w:vAlign w:val="center"/>
          </w:tcPr>
          <w:p w14:paraId="54146196">
            <w:pPr>
              <w:pStyle w:val="19"/>
              <w:snapToGrid w:val="0"/>
              <w:spacing w:before="29" w:line="240" w:lineRule="auto"/>
              <w:ind w:left="0" w:leftChars="0" w:right="0" w:rightChars="0" w:firstLine="0" w:firstLineChars="0"/>
              <w:jc w:val="center"/>
              <w:rPr>
                <w:rFonts w:ascii="宋体" w:eastAsia="宋体"/>
                <w:sz w:val="21"/>
              </w:rPr>
            </w:pPr>
            <w:r>
              <w:rPr>
                <w:rFonts w:ascii="宋体" w:eastAsia="宋体"/>
                <w:spacing w:val="-2"/>
                <w:sz w:val="21"/>
              </w:rPr>
              <w:t>全部治理</w:t>
            </w:r>
          </w:p>
        </w:tc>
        <w:tc>
          <w:tcPr>
            <w:tcW w:w="4145" w:type="dxa"/>
            <w:vAlign w:val="center"/>
          </w:tcPr>
          <w:p w14:paraId="43A47566">
            <w:pPr>
              <w:pStyle w:val="19"/>
              <w:snapToGrid w:val="0"/>
              <w:spacing w:before="29" w:line="240" w:lineRule="auto"/>
              <w:ind w:left="0" w:leftChars="0" w:right="0" w:rightChars="0" w:firstLine="0" w:firstLineChars="0"/>
              <w:jc w:val="center"/>
              <w:rPr>
                <w:rFonts w:ascii="宋体" w:eastAsia="宋体"/>
                <w:sz w:val="21"/>
              </w:rPr>
            </w:pPr>
            <w:r>
              <w:rPr>
                <w:rFonts w:ascii="宋体" w:eastAsia="宋体"/>
                <w:spacing w:val="-1"/>
                <w:sz w:val="21"/>
              </w:rPr>
              <w:t>拆除清运、封堵、覆土整平、恢复植被、管护</w:t>
            </w:r>
          </w:p>
        </w:tc>
      </w:tr>
      <w:tr w14:paraId="7729BB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0" w:type="auto"/>
            <w:vAlign w:val="center"/>
          </w:tcPr>
          <w:p w14:paraId="7352F78B">
            <w:pPr>
              <w:pStyle w:val="19"/>
              <w:snapToGrid w:val="0"/>
              <w:spacing w:before="30" w:line="240" w:lineRule="auto"/>
              <w:ind w:left="0" w:leftChars="0" w:right="0" w:rightChars="0" w:firstLine="0" w:firstLineChars="0"/>
              <w:jc w:val="center"/>
              <w:rPr>
                <w:rFonts w:ascii="宋体" w:eastAsia="宋体"/>
                <w:sz w:val="21"/>
              </w:rPr>
            </w:pPr>
            <w:r>
              <w:rPr>
                <w:rFonts w:ascii="宋体" w:eastAsia="宋体"/>
                <w:spacing w:val="-3"/>
                <w:sz w:val="21"/>
              </w:rPr>
              <w:t>SJ15工业场地</w:t>
            </w:r>
          </w:p>
        </w:tc>
        <w:tc>
          <w:tcPr>
            <w:tcW w:w="1837" w:type="dxa"/>
            <w:vAlign w:val="center"/>
          </w:tcPr>
          <w:p w14:paraId="2F979112">
            <w:pPr>
              <w:snapToGrid w:val="0"/>
              <w:spacing w:before="52" w:line="240" w:lineRule="auto"/>
              <w:ind w:left="0" w:leftChars="0" w:right="0" w:rightChars="0" w:firstLine="0" w:firstLineChars="0"/>
              <w:jc w:val="left"/>
              <w:rPr>
                <w:rFonts w:ascii="宋体" w:hAnsi="Times New Roman" w:eastAsia="宋体" w:cs="Times New Roman"/>
                <w:sz w:val="21"/>
                <w:szCs w:val="21"/>
              </w:rPr>
            </w:pPr>
            <w:r>
              <w:rPr>
                <w:rFonts w:ascii="宋体" w:hAnsi="Times New Roman" w:eastAsia="宋体" w:cs="Times New Roman"/>
                <w:spacing w:val="-1"/>
                <w:sz w:val="21"/>
                <w:szCs w:val="21"/>
              </w:rPr>
              <w:t>29817</w:t>
            </w:r>
          </w:p>
        </w:tc>
        <w:tc>
          <w:tcPr>
            <w:tcW w:w="0" w:type="auto"/>
            <w:vAlign w:val="center"/>
          </w:tcPr>
          <w:p w14:paraId="62D4BF69">
            <w:pPr>
              <w:pStyle w:val="19"/>
              <w:snapToGrid w:val="0"/>
              <w:spacing w:before="30" w:line="240" w:lineRule="auto"/>
              <w:ind w:left="0" w:leftChars="0" w:right="0" w:rightChars="0" w:firstLine="0" w:firstLineChars="0"/>
              <w:jc w:val="center"/>
              <w:rPr>
                <w:rFonts w:ascii="宋体" w:eastAsia="宋体"/>
                <w:sz w:val="21"/>
              </w:rPr>
            </w:pPr>
            <w:r>
              <w:rPr>
                <w:rFonts w:ascii="宋体" w:eastAsia="宋体"/>
                <w:spacing w:val="-2"/>
                <w:sz w:val="21"/>
              </w:rPr>
              <w:t>全部治理</w:t>
            </w:r>
          </w:p>
        </w:tc>
        <w:tc>
          <w:tcPr>
            <w:tcW w:w="4145" w:type="dxa"/>
            <w:vAlign w:val="center"/>
          </w:tcPr>
          <w:p w14:paraId="3573F532">
            <w:pPr>
              <w:pStyle w:val="19"/>
              <w:snapToGrid w:val="0"/>
              <w:spacing w:before="30" w:line="240" w:lineRule="auto"/>
              <w:ind w:left="0" w:leftChars="0" w:right="0" w:rightChars="0" w:firstLine="0" w:firstLineChars="0"/>
              <w:jc w:val="center"/>
              <w:rPr>
                <w:rFonts w:ascii="宋体" w:eastAsia="宋体"/>
                <w:sz w:val="21"/>
              </w:rPr>
            </w:pPr>
            <w:r>
              <w:rPr>
                <w:rFonts w:ascii="宋体" w:eastAsia="宋体"/>
                <w:spacing w:val="-1"/>
                <w:sz w:val="21"/>
              </w:rPr>
              <w:t>拆除清运、封堵、覆土整平、恢复植被、管护</w:t>
            </w:r>
          </w:p>
        </w:tc>
      </w:tr>
      <w:tr w14:paraId="2EBCF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0" w:type="auto"/>
            <w:vAlign w:val="center"/>
          </w:tcPr>
          <w:p w14:paraId="11B5C57A">
            <w:pPr>
              <w:pStyle w:val="19"/>
              <w:snapToGrid w:val="0"/>
              <w:spacing w:before="33" w:line="240" w:lineRule="auto"/>
              <w:ind w:left="0" w:leftChars="0" w:right="0" w:rightChars="0" w:firstLine="0" w:firstLineChars="0"/>
              <w:jc w:val="center"/>
              <w:rPr>
                <w:rFonts w:ascii="宋体" w:hAnsi="Times New Roman" w:eastAsia="宋体" w:cs="Times New Roman"/>
                <w:sz w:val="21"/>
              </w:rPr>
            </w:pPr>
            <w:r>
              <w:rPr>
                <w:rFonts w:ascii="宋体" w:eastAsia="宋体"/>
                <w:spacing w:val="-3"/>
                <w:sz w:val="21"/>
              </w:rPr>
              <w:t>取土场</w:t>
            </w:r>
            <w:r>
              <w:rPr>
                <w:rFonts w:ascii="宋体" w:hAnsi="Times New Roman" w:eastAsia="宋体" w:cs="Times New Roman"/>
                <w:spacing w:val="-3"/>
                <w:sz w:val="21"/>
              </w:rPr>
              <w:t>1</w:t>
            </w:r>
          </w:p>
        </w:tc>
        <w:tc>
          <w:tcPr>
            <w:tcW w:w="1837" w:type="dxa"/>
            <w:vAlign w:val="center"/>
          </w:tcPr>
          <w:p w14:paraId="2C6EFB64">
            <w:pPr>
              <w:snapToGrid w:val="0"/>
              <w:spacing w:before="55" w:line="240" w:lineRule="auto"/>
              <w:ind w:left="0" w:leftChars="0" w:right="0" w:rightChars="0" w:firstLine="0" w:firstLineChars="0"/>
              <w:jc w:val="left"/>
              <w:rPr>
                <w:rFonts w:ascii="宋体" w:hAnsi="Times New Roman" w:eastAsia="宋体" w:cs="Times New Roman"/>
                <w:sz w:val="21"/>
                <w:szCs w:val="21"/>
              </w:rPr>
            </w:pPr>
            <w:r>
              <w:rPr>
                <w:rFonts w:ascii="宋体" w:hAnsi="Times New Roman" w:eastAsia="宋体" w:cs="Times New Roman"/>
                <w:spacing w:val="-2"/>
                <w:sz w:val="21"/>
                <w:szCs w:val="21"/>
              </w:rPr>
              <w:t>3084</w:t>
            </w:r>
          </w:p>
        </w:tc>
        <w:tc>
          <w:tcPr>
            <w:tcW w:w="0" w:type="auto"/>
            <w:vAlign w:val="center"/>
          </w:tcPr>
          <w:p w14:paraId="7D3BC1F3">
            <w:pPr>
              <w:pStyle w:val="19"/>
              <w:snapToGrid w:val="0"/>
              <w:spacing w:before="33" w:line="240" w:lineRule="auto"/>
              <w:ind w:left="0" w:leftChars="0" w:right="0" w:rightChars="0" w:firstLine="0" w:firstLineChars="0"/>
              <w:jc w:val="center"/>
              <w:rPr>
                <w:rFonts w:ascii="宋体" w:eastAsia="宋体"/>
                <w:sz w:val="21"/>
              </w:rPr>
            </w:pPr>
            <w:r>
              <w:rPr>
                <w:rFonts w:ascii="宋体" w:eastAsia="宋体"/>
                <w:spacing w:val="-2"/>
                <w:sz w:val="21"/>
              </w:rPr>
              <w:t>全部治理</w:t>
            </w:r>
          </w:p>
        </w:tc>
        <w:tc>
          <w:tcPr>
            <w:tcW w:w="4145" w:type="dxa"/>
            <w:vAlign w:val="center"/>
          </w:tcPr>
          <w:p w14:paraId="0A663F22">
            <w:pPr>
              <w:pStyle w:val="19"/>
              <w:snapToGrid w:val="0"/>
              <w:spacing w:before="33" w:line="240" w:lineRule="auto"/>
              <w:ind w:left="0" w:leftChars="0" w:right="0" w:rightChars="0" w:firstLine="0" w:firstLineChars="0"/>
              <w:jc w:val="center"/>
              <w:rPr>
                <w:rFonts w:ascii="宋体" w:eastAsia="宋体"/>
                <w:sz w:val="21"/>
              </w:rPr>
            </w:pPr>
            <w:r>
              <w:rPr>
                <w:rFonts w:ascii="宋体" w:eastAsia="宋体"/>
                <w:spacing w:val="-1"/>
                <w:sz w:val="21"/>
              </w:rPr>
              <w:t>垫坡、覆土整平、恢复植被、管护</w:t>
            </w:r>
          </w:p>
        </w:tc>
      </w:tr>
      <w:tr w14:paraId="78DF0D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0" w:type="auto"/>
            <w:vAlign w:val="center"/>
          </w:tcPr>
          <w:p w14:paraId="4327420B">
            <w:pPr>
              <w:pStyle w:val="19"/>
              <w:snapToGrid w:val="0"/>
              <w:spacing w:before="33" w:line="240" w:lineRule="auto"/>
              <w:ind w:left="0" w:leftChars="0" w:right="0" w:rightChars="0" w:firstLine="0" w:firstLineChars="0"/>
              <w:jc w:val="center"/>
              <w:rPr>
                <w:rFonts w:ascii="宋体" w:hAnsi="Times New Roman" w:eastAsia="宋体" w:cs="Times New Roman"/>
                <w:sz w:val="21"/>
              </w:rPr>
            </w:pPr>
            <w:r>
              <w:rPr>
                <w:rFonts w:ascii="宋体" w:eastAsia="宋体"/>
                <w:spacing w:val="-3"/>
                <w:sz w:val="21"/>
              </w:rPr>
              <w:t>取土场</w:t>
            </w:r>
            <w:r>
              <w:rPr>
                <w:rFonts w:ascii="宋体" w:hAnsi="Times New Roman" w:eastAsia="宋体" w:cs="Times New Roman"/>
                <w:spacing w:val="-3"/>
                <w:sz w:val="21"/>
              </w:rPr>
              <w:t>2</w:t>
            </w:r>
          </w:p>
        </w:tc>
        <w:tc>
          <w:tcPr>
            <w:tcW w:w="1837" w:type="dxa"/>
            <w:vAlign w:val="center"/>
          </w:tcPr>
          <w:p w14:paraId="5810994B">
            <w:pPr>
              <w:snapToGrid w:val="0"/>
              <w:spacing w:before="56" w:line="240" w:lineRule="auto"/>
              <w:ind w:left="0" w:leftChars="0" w:right="0" w:rightChars="0" w:firstLine="0" w:firstLineChars="0"/>
              <w:jc w:val="left"/>
              <w:rPr>
                <w:rFonts w:ascii="宋体" w:hAnsi="Times New Roman" w:eastAsia="宋体" w:cs="Times New Roman"/>
                <w:sz w:val="21"/>
                <w:szCs w:val="21"/>
              </w:rPr>
            </w:pPr>
            <w:r>
              <w:rPr>
                <w:rFonts w:ascii="宋体" w:hAnsi="Times New Roman" w:eastAsia="宋体" w:cs="Times New Roman"/>
                <w:spacing w:val="-2"/>
                <w:sz w:val="21"/>
                <w:szCs w:val="21"/>
              </w:rPr>
              <w:t>3700</w:t>
            </w:r>
          </w:p>
        </w:tc>
        <w:tc>
          <w:tcPr>
            <w:tcW w:w="0" w:type="auto"/>
            <w:vAlign w:val="center"/>
          </w:tcPr>
          <w:p w14:paraId="33501F21">
            <w:pPr>
              <w:pStyle w:val="19"/>
              <w:snapToGrid w:val="0"/>
              <w:spacing w:before="33" w:line="240" w:lineRule="auto"/>
              <w:ind w:left="0" w:leftChars="0" w:right="0" w:rightChars="0" w:firstLine="0" w:firstLineChars="0"/>
              <w:jc w:val="center"/>
              <w:rPr>
                <w:rFonts w:ascii="宋体" w:eastAsia="宋体"/>
                <w:sz w:val="21"/>
              </w:rPr>
            </w:pPr>
            <w:r>
              <w:rPr>
                <w:rFonts w:ascii="宋体" w:eastAsia="宋体"/>
                <w:spacing w:val="-2"/>
                <w:sz w:val="21"/>
              </w:rPr>
              <w:t>全部治理</w:t>
            </w:r>
          </w:p>
        </w:tc>
        <w:tc>
          <w:tcPr>
            <w:tcW w:w="4145" w:type="dxa"/>
            <w:vAlign w:val="center"/>
          </w:tcPr>
          <w:p w14:paraId="17072B15">
            <w:pPr>
              <w:pStyle w:val="19"/>
              <w:snapToGrid w:val="0"/>
              <w:spacing w:before="33" w:line="240" w:lineRule="auto"/>
              <w:ind w:left="0" w:leftChars="0" w:right="0" w:rightChars="0" w:firstLine="0" w:firstLineChars="0"/>
              <w:jc w:val="center"/>
              <w:rPr>
                <w:rFonts w:ascii="宋体" w:eastAsia="宋体"/>
                <w:sz w:val="21"/>
              </w:rPr>
            </w:pPr>
            <w:r>
              <w:rPr>
                <w:rFonts w:ascii="宋体" w:eastAsia="宋体"/>
                <w:spacing w:val="-1"/>
                <w:sz w:val="21"/>
              </w:rPr>
              <w:t>垫坡、覆土整平、恢复植被、管护</w:t>
            </w:r>
          </w:p>
        </w:tc>
      </w:tr>
      <w:tr w14:paraId="3462E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0" w:type="auto"/>
            <w:vAlign w:val="center"/>
          </w:tcPr>
          <w:p w14:paraId="43656177">
            <w:pPr>
              <w:pStyle w:val="19"/>
              <w:snapToGrid w:val="0"/>
              <w:spacing w:before="37" w:line="240" w:lineRule="auto"/>
              <w:ind w:left="0" w:leftChars="0" w:right="0" w:rightChars="0" w:firstLine="0" w:firstLineChars="0"/>
              <w:jc w:val="center"/>
              <w:rPr>
                <w:rFonts w:ascii="宋体" w:eastAsia="宋体"/>
                <w:sz w:val="21"/>
              </w:rPr>
            </w:pPr>
            <w:r>
              <w:rPr>
                <w:rFonts w:ascii="宋体" w:eastAsia="宋体"/>
                <w:spacing w:val="-2"/>
                <w:sz w:val="21"/>
              </w:rPr>
              <w:t>部分矿区道路</w:t>
            </w:r>
          </w:p>
        </w:tc>
        <w:tc>
          <w:tcPr>
            <w:tcW w:w="1837" w:type="dxa"/>
            <w:vAlign w:val="center"/>
          </w:tcPr>
          <w:p w14:paraId="7EF8655D">
            <w:pPr>
              <w:pStyle w:val="19"/>
              <w:snapToGrid w:val="0"/>
              <w:spacing w:before="72" w:line="240" w:lineRule="auto"/>
              <w:ind w:left="0" w:leftChars="0" w:right="0" w:rightChars="0" w:firstLine="0" w:firstLineChars="0"/>
              <w:jc w:val="left"/>
              <w:rPr>
                <w:rFonts w:ascii="宋体" w:eastAsia="宋体"/>
                <w:sz w:val="21"/>
              </w:rPr>
            </w:pPr>
            <w:r>
              <w:rPr>
                <w:rFonts w:ascii="宋体" w:eastAsia="宋体"/>
                <w:spacing w:val="-6"/>
                <w:position w:val="-3"/>
                <w:sz w:val="21"/>
              </w:rPr>
              <w:t>1600</w:t>
            </w:r>
          </w:p>
        </w:tc>
        <w:tc>
          <w:tcPr>
            <w:tcW w:w="0" w:type="auto"/>
            <w:vAlign w:val="center"/>
          </w:tcPr>
          <w:p w14:paraId="25210BE0">
            <w:pPr>
              <w:pStyle w:val="19"/>
              <w:snapToGrid w:val="0"/>
              <w:spacing w:before="37" w:line="240" w:lineRule="auto"/>
              <w:ind w:left="0" w:leftChars="0" w:right="0" w:rightChars="0" w:firstLine="0" w:firstLineChars="0"/>
              <w:jc w:val="center"/>
              <w:rPr>
                <w:rFonts w:ascii="宋体" w:eastAsia="宋体"/>
                <w:sz w:val="21"/>
              </w:rPr>
            </w:pPr>
            <w:r>
              <w:rPr>
                <w:rFonts w:ascii="宋体" w:eastAsia="宋体"/>
                <w:spacing w:val="-2"/>
                <w:sz w:val="21"/>
              </w:rPr>
              <w:t>全部治理</w:t>
            </w:r>
          </w:p>
        </w:tc>
        <w:tc>
          <w:tcPr>
            <w:tcW w:w="4145" w:type="dxa"/>
            <w:vAlign w:val="center"/>
          </w:tcPr>
          <w:p w14:paraId="740B4E63">
            <w:pPr>
              <w:pStyle w:val="19"/>
              <w:snapToGrid w:val="0"/>
              <w:spacing w:before="37" w:line="240" w:lineRule="auto"/>
              <w:ind w:left="0" w:leftChars="0" w:right="0" w:rightChars="0" w:firstLine="0" w:firstLineChars="0"/>
              <w:jc w:val="center"/>
              <w:rPr>
                <w:rFonts w:ascii="宋体" w:eastAsia="宋体"/>
                <w:sz w:val="21"/>
              </w:rPr>
            </w:pPr>
            <w:r>
              <w:rPr>
                <w:rFonts w:ascii="宋体" w:eastAsia="宋体"/>
                <w:spacing w:val="-1"/>
                <w:sz w:val="21"/>
              </w:rPr>
              <w:t>垫坡、覆土整平、恢复植被、管护</w:t>
            </w:r>
          </w:p>
        </w:tc>
      </w:tr>
      <w:tr w14:paraId="1A2D59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1476" w:type="dxa"/>
            <w:vAlign w:val="center"/>
          </w:tcPr>
          <w:p w14:paraId="231DD5E3">
            <w:pPr>
              <w:pStyle w:val="19"/>
              <w:snapToGrid w:val="0"/>
              <w:spacing w:before="37" w:line="240" w:lineRule="auto"/>
              <w:ind w:left="0" w:leftChars="0" w:right="0" w:rightChars="0" w:firstLine="0" w:firstLineChars="0"/>
              <w:jc w:val="center"/>
              <w:rPr>
                <w:rFonts w:ascii="宋体" w:eastAsia="宋体"/>
                <w:b/>
                <w:sz w:val="21"/>
              </w:rPr>
            </w:pPr>
            <w:r>
              <w:rPr>
                <w:rFonts w:ascii="宋体" w:eastAsia="宋体"/>
                <w:b/>
                <w:spacing w:val="-3"/>
                <w:sz w:val="21"/>
              </w:rPr>
              <w:t>合计</w:t>
            </w:r>
          </w:p>
        </w:tc>
        <w:tc>
          <w:tcPr>
            <w:tcW w:w="1837" w:type="dxa"/>
            <w:vAlign w:val="center"/>
          </w:tcPr>
          <w:p w14:paraId="7E806CC7">
            <w:pPr>
              <w:snapToGrid w:val="0"/>
              <w:spacing w:before="60" w:line="240" w:lineRule="auto"/>
              <w:ind w:left="0" w:leftChars="0" w:right="0" w:rightChars="0" w:firstLine="0" w:firstLineChars="0"/>
              <w:jc w:val="left"/>
              <w:rPr>
                <w:rFonts w:ascii="宋体" w:hAnsi="Times New Roman" w:eastAsia="宋体" w:cs="Times New Roman"/>
                <w:b/>
                <w:sz w:val="21"/>
                <w:szCs w:val="21"/>
              </w:rPr>
            </w:pPr>
            <w:r>
              <w:rPr>
                <w:rFonts w:ascii="宋体" w:hAnsi="Times New Roman" w:eastAsia="宋体" w:cs="Times New Roman"/>
                <w:b/>
                <w:spacing w:val="-4"/>
                <w:sz w:val="21"/>
                <w:szCs w:val="21"/>
              </w:rPr>
              <w:t>1659384</w:t>
            </w:r>
          </w:p>
        </w:tc>
        <w:tc>
          <w:tcPr>
            <w:tcW w:w="1064" w:type="dxa"/>
            <w:vAlign w:val="center"/>
          </w:tcPr>
          <w:p w14:paraId="15BA3CF2">
            <w:pPr>
              <w:snapToGrid w:val="0"/>
              <w:spacing w:line="240" w:lineRule="auto"/>
              <w:ind w:left="0" w:leftChars="0" w:right="0" w:rightChars="0" w:firstLine="0" w:firstLineChars="0"/>
              <w:jc w:val="right"/>
              <w:rPr>
                <w:rFonts w:ascii="宋体" w:hAnsi="Times New Roman" w:eastAsia="宋体" w:cs="Times New Roman"/>
                <w:b/>
                <w:sz w:val="21"/>
                <w:szCs w:val="21"/>
              </w:rPr>
            </w:pPr>
            <w:r>
              <w:rPr>
                <w:rFonts w:ascii="宋体" w:hAnsi="Times New Roman" w:eastAsia="宋体" w:cs="Times New Roman"/>
                <w:b/>
                <w:sz w:val="21"/>
                <w:szCs w:val="21"/>
              </w:rPr>
              <w:t>/</w:t>
            </w:r>
          </w:p>
        </w:tc>
        <w:tc>
          <w:tcPr>
            <w:tcW w:w="4145" w:type="dxa"/>
            <w:vAlign w:val="center"/>
          </w:tcPr>
          <w:p w14:paraId="10BA1516">
            <w:pPr>
              <w:snapToGrid w:val="0"/>
              <w:spacing w:line="240" w:lineRule="auto"/>
              <w:ind w:left="0" w:leftChars="0" w:right="0" w:rightChars="0" w:firstLine="0" w:firstLineChars="0"/>
              <w:jc w:val="center"/>
              <w:rPr>
                <w:rFonts w:ascii="宋体" w:hAnsi="Times New Roman" w:eastAsia="宋体" w:cs="Times New Roman"/>
                <w:b/>
                <w:sz w:val="21"/>
                <w:szCs w:val="21"/>
              </w:rPr>
            </w:pPr>
            <w:r>
              <w:rPr>
                <w:rFonts w:ascii="宋体" w:hAnsi="Times New Roman" w:eastAsia="宋体" w:cs="Times New Roman"/>
                <w:b/>
                <w:sz w:val="21"/>
                <w:szCs w:val="21"/>
              </w:rPr>
              <w:t>/</w:t>
            </w:r>
          </w:p>
        </w:tc>
      </w:tr>
    </w:tbl>
    <w:p w14:paraId="74F22B90">
      <w:pPr>
        <w:pStyle w:val="3"/>
        <w:keepNext/>
        <w:keepLines/>
        <w:pageBreakBefore w:val="0"/>
        <w:widowControl w:val="0"/>
        <w:kinsoku/>
        <w:wordWrap/>
        <w:overflowPunct/>
        <w:topLinePunct w:val="0"/>
        <w:autoSpaceDE/>
        <w:autoSpaceDN/>
        <w:bidi w:val="0"/>
        <w:adjustRightInd/>
        <w:snapToGrid/>
        <w:spacing w:before="327" w:beforeLines="100"/>
        <w:jc w:val="left"/>
        <w:textAlignment w:val="auto"/>
        <w:rPr>
          <w:rFonts w:hint="eastAsia" w:ascii="宋体" w:hAnsi="宋体" w:eastAsia="宋体" w:cs="宋体"/>
          <w:b/>
          <w:color w:val="auto"/>
          <w:sz w:val="28"/>
          <w:szCs w:val="28"/>
          <w:highlight w:val="none"/>
          <w:lang w:val="en-US" w:eastAsia="zh-CN"/>
        </w:rPr>
      </w:pPr>
      <w:bookmarkStart w:id="17" w:name="_Toc29881"/>
      <w:r>
        <w:rPr>
          <w:rFonts w:hint="eastAsia" w:ascii="宋体" w:hAnsi="宋体" w:eastAsia="宋体" w:cs="宋体"/>
          <w:b/>
          <w:color w:val="auto"/>
          <w:sz w:val="28"/>
          <w:szCs w:val="28"/>
          <w:highlight w:val="none"/>
          <w:lang w:val="en-US" w:eastAsia="zh-CN"/>
        </w:rPr>
        <w:t>二、</w:t>
      </w:r>
      <w:r>
        <w:rPr>
          <w:rFonts w:hint="eastAsia" w:ascii="宋体" w:hAnsi="宋体" w:eastAsia="宋体" w:cs="宋体"/>
          <w:b/>
          <w:color w:val="auto"/>
          <w:sz w:val="28"/>
          <w:szCs w:val="28"/>
          <w:highlight w:val="none"/>
        </w:rPr>
        <w:t>矿山地质环境治理</w:t>
      </w:r>
      <w:r>
        <w:rPr>
          <w:rFonts w:hint="eastAsia" w:ascii="宋体" w:hAnsi="宋体" w:eastAsia="宋体" w:cs="宋体"/>
          <w:b/>
          <w:color w:val="auto"/>
          <w:sz w:val="28"/>
          <w:szCs w:val="28"/>
          <w:highlight w:val="none"/>
          <w:lang w:val="en-US" w:eastAsia="zh-CN"/>
        </w:rPr>
        <w:t>与土地复垦</w:t>
      </w:r>
      <w:r>
        <w:rPr>
          <w:rFonts w:hint="eastAsia" w:ascii="宋体" w:hAnsi="宋体" w:eastAsia="宋体" w:cs="宋体"/>
          <w:b/>
          <w:color w:val="auto"/>
          <w:sz w:val="28"/>
          <w:szCs w:val="28"/>
          <w:highlight w:val="none"/>
        </w:rPr>
        <w:t>近期工作安排</w:t>
      </w:r>
      <w:bookmarkEnd w:id="17"/>
    </w:p>
    <w:p w14:paraId="712A7A79">
      <w:pPr>
        <w:bidi w:val="0"/>
        <w:rPr>
          <w:rFonts w:hint="eastAsia"/>
          <w:b/>
          <w:bCs/>
        </w:rPr>
      </w:pPr>
      <w:r>
        <w:rPr>
          <w:rFonts w:hint="eastAsia"/>
          <w:b/>
          <w:bCs/>
          <w:lang w:eastAsia="zh-CN"/>
        </w:rPr>
        <w:t>（</w:t>
      </w:r>
      <w:r>
        <w:rPr>
          <w:rFonts w:hint="eastAsia"/>
          <w:b/>
          <w:bCs/>
          <w:lang w:val="en-US" w:eastAsia="zh-CN"/>
        </w:rPr>
        <w:t>一</w:t>
      </w:r>
      <w:r>
        <w:rPr>
          <w:rFonts w:hint="eastAsia"/>
          <w:b/>
          <w:bCs/>
          <w:lang w:eastAsia="zh-CN"/>
        </w:rPr>
        <w:t>）</w:t>
      </w:r>
      <w:r>
        <w:rPr>
          <w:rFonts w:hint="eastAsia"/>
          <w:b/>
          <w:bCs/>
        </w:rPr>
        <w:t>矿山地质环境治理近期工作安排</w:t>
      </w:r>
    </w:p>
    <w:p w14:paraId="73666CA1">
      <w:pPr>
        <w:bidi w:val="0"/>
        <w:rPr>
          <w:rFonts w:hint="eastAsia"/>
        </w:rPr>
      </w:pPr>
      <w:r>
        <w:rPr>
          <w:rFonts w:hint="eastAsia"/>
        </w:rPr>
        <w:t>近期（适用期5年）矿山地质环境治理工作，即矿山地质环境治理第一阶段（202</w:t>
      </w:r>
      <w:r>
        <w:rPr>
          <w:rFonts w:hint="eastAsia"/>
          <w:lang w:val="en-US" w:eastAsia="zh-CN"/>
        </w:rPr>
        <w:t>4</w:t>
      </w:r>
      <w:r>
        <w:rPr>
          <w:rFonts w:hint="eastAsia"/>
        </w:rPr>
        <w:t>年</w:t>
      </w:r>
      <w:r>
        <w:rPr>
          <w:rFonts w:hint="eastAsia"/>
          <w:lang w:val="en-US" w:eastAsia="zh-CN"/>
        </w:rPr>
        <w:t>7</w:t>
      </w:r>
      <w:r>
        <w:rPr>
          <w:rFonts w:hint="eastAsia"/>
        </w:rPr>
        <w:t>月</w:t>
      </w:r>
      <w:r>
        <w:rPr>
          <w:rFonts w:hint="eastAsia"/>
          <w:lang w:val="en-US" w:eastAsia="zh-CN"/>
        </w:rPr>
        <w:t>1日</w:t>
      </w:r>
      <w:r>
        <w:rPr>
          <w:rFonts w:hint="eastAsia"/>
        </w:rPr>
        <w:t>-202</w:t>
      </w:r>
      <w:r>
        <w:rPr>
          <w:rFonts w:hint="eastAsia"/>
          <w:lang w:val="en-US" w:eastAsia="zh-CN"/>
        </w:rPr>
        <w:t>9</w:t>
      </w:r>
      <w:r>
        <w:rPr>
          <w:rFonts w:hint="eastAsia"/>
        </w:rPr>
        <w:t>年</w:t>
      </w:r>
      <w:r>
        <w:rPr>
          <w:rFonts w:hint="eastAsia"/>
          <w:lang w:val="en-US" w:eastAsia="zh-CN"/>
        </w:rPr>
        <w:t>6</w:t>
      </w:r>
      <w:r>
        <w:rPr>
          <w:rFonts w:hint="eastAsia"/>
        </w:rPr>
        <w:t>月</w:t>
      </w:r>
      <w:r>
        <w:rPr>
          <w:rFonts w:hint="eastAsia"/>
          <w:lang w:val="en-US" w:eastAsia="zh-CN"/>
        </w:rPr>
        <w:t>30日</w:t>
      </w:r>
      <w:r>
        <w:rPr>
          <w:rFonts w:hint="eastAsia"/>
        </w:rPr>
        <w:t>），年度实施计划具体如下：</w:t>
      </w:r>
    </w:p>
    <w:p w14:paraId="735CB5D1">
      <w:pPr>
        <w:pStyle w:val="5"/>
        <w:spacing w:line="360" w:lineRule="auto"/>
        <w:ind w:left="0" w:right="0" w:firstLine="464" w:firstLineChars="200"/>
        <w:rPr>
          <w:sz w:val="24"/>
          <w:szCs w:val="24"/>
        </w:rPr>
      </w:pPr>
      <w:r>
        <w:rPr>
          <w:spacing w:val="-4"/>
          <w:sz w:val="24"/>
          <w:szCs w:val="24"/>
        </w:rPr>
        <w:t>①完善前期治理工程。</w:t>
      </w:r>
    </w:p>
    <w:p w14:paraId="364C289E">
      <w:pPr>
        <w:pStyle w:val="5"/>
        <w:spacing w:line="360" w:lineRule="auto"/>
        <w:ind w:left="0" w:right="0" w:firstLine="496" w:firstLineChars="200"/>
        <w:rPr>
          <w:sz w:val="24"/>
          <w:szCs w:val="24"/>
        </w:rPr>
      </w:pPr>
      <w:r>
        <w:rPr>
          <w:spacing w:val="4"/>
          <w:sz w:val="24"/>
          <w:szCs w:val="24"/>
        </w:rPr>
        <w:t>②矿山生产要严格按《开发利用方案》和有关设计施工，在生产过程中应及时</w:t>
      </w:r>
      <w:r>
        <w:rPr>
          <w:spacing w:val="-2"/>
          <w:sz w:val="24"/>
          <w:szCs w:val="24"/>
        </w:rPr>
        <w:t>充填采空区，留好保安矿柱，并加强对地表变形的监测。</w:t>
      </w:r>
    </w:p>
    <w:p w14:paraId="5582834B">
      <w:pPr>
        <w:pStyle w:val="5"/>
        <w:spacing w:line="360" w:lineRule="auto"/>
        <w:ind w:left="0" w:right="0" w:firstLine="496" w:firstLineChars="200"/>
        <w:rPr>
          <w:sz w:val="24"/>
          <w:szCs w:val="24"/>
        </w:rPr>
      </w:pPr>
      <w:r>
        <w:rPr>
          <w:spacing w:val="4"/>
          <w:sz w:val="24"/>
          <w:szCs w:val="24"/>
        </w:rPr>
        <w:t>③对近期不用矿区道路进行覆土整平、复垦植被并管护，切坡部分路段进行垫</w:t>
      </w:r>
      <w:r>
        <w:rPr>
          <w:spacing w:val="-9"/>
          <w:sz w:val="24"/>
          <w:szCs w:val="24"/>
        </w:rPr>
        <w:t>坡整形。</w:t>
      </w:r>
    </w:p>
    <w:p w14:paraId="10056AE3">
      <w:pPr>
        <w:pStyle w:val="5"/>
        <w:spacing w:line="360" w:lineRule="auto"/>
        <w:ind w:left="0" w:right="0" w:firstLine="476" w:firstLineChars="200"/>
        <w:rPr>
          <w:sz w:val="24"/>
          <w:szCs w:val="24"/>
        </w:rPr>
      </w:pPr>
      <w:r>
        <w:rPr>
          <w:spacing w:val="-1"/>
          <w:sz w:val="24"/>
          <w:szCs w:val="24"/>
        </w:rPr>
        <w:t>④对近期结束采矿任务的SJ2工业场地及S</w:t>
      </w:r>
      <w:r>
        <w:rPr>
          <w:spacing w:val="-2"/>
          <w:sz w:val="24"/>
          <w:szCs w:val="24"/>
        </w:rPr>
        <w:t>J15工业场地场地内建筑进行拆除清</w:t>
      </w:r>
      <w:r>
        <w:rPr>
          <w:sz w:val="24"/>
          <w:szCs w:val="24"/>
        </w:rPr>
        <w:t>运、井筒回填、井口封堵，然后对场地全面进行覆土</w:t>
      </w:r>
      <w:r>
        <w:rPr>
          <w:spacing w:val="-1"/>
          <w:sz w:val="24"/>
          <w:szCs w:val="24"/>
        </w:rPr>
        <w:t>整平、恢复植被并管护。</w:t>
      </w:r>
    </w:p>
    <w:p w14:paraId="4A1FE298">
      <w:pPr>
        <w:pStyle w:val="5"/>
        <w:spacing w:line="360" w:lineRule="auto"/>
        <w:ind w:left="0" w:right="0" w:firstLine="496" w:firstLineChars="200"/>
        <w:rPr>
          <w:rFonts w:hint="eastAsia" w:ascii="宋体" w:hAnsi="宋体" w:eastAsia="宋体" w:cs="宋体"/>
          <w:b/>
          <w:bCs/>
          <w:color w:val="auto"/>
          <w:sz w:val="28"/>
          <w:szCs w:val="28"/>
          <w:highlight w:val="none"/>
        </w:rPr>
      </w:pPr>
      <w:r>
        <w:rPr>
          <w:spacing w:val="4"/>
          <w:sz w:val="24"/>
          <w:szCs w:val="24"/>
        </w:rPr>
        <w:t>⑤对整个矿区地下水进行监测，对植被进行管护，对地形地貌及土地复垦进行</w:t>
      </w:r>
      <w:r>
        <w:rPr>
          <w:spacing w:val="-10"/>
          <w:sz w:val="24"/>
          <w:szCs w:val="24"/>
        </w:rPr>
        <w:t>监测。</w:t>
      </w:r>
    </w:p>
    <w:p w14:paraId="0335DD33">
      <w:pPr>
        <w:numPr>
          <w:ilvl w:val="0"/>
          <w:numId w:val="8"/>
        </w:numPr>
        <w:bidi w:val="0"/>
        <w:ind w:left="0" w:leftChars="0" w:firstLine="482" w:firstLineChars="200"/>
        <w:rPr>
          <w:rFonts w:hint="eastAsia"/>
          <w:b/>
          <w:bCs/>
        </w:rPr>
      </w:pPr>
      <w:r>
        <w:rPr>
          <w:rFonts w:hint="eastAsia"/>
          <w:b/>
          <w:bCs/>
        </w:rPr>
        <w:t>土地复垦近期工作安排</w:t>
      </w:r>
    </w:p>
    <w:p w14:paraId="6E79E9F9">
      <w:pPr>
        <w:numPr>
          <w:ilvl w:val="0"/>
          <w:numId w:val="0"/>
        </w:numPr>
        <w:bidi w:val="0"/>
        <w:ind w:firstLine="49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根据现场调查及实际情况，首期（近期）治理的场地主要为：预测地面</w:t>
      </w:r>
      <w:r>
        <w:rPr>
          <w:rFonts w:hint="eastAsia" w:asciiTheme="minorEastAsia" w:hAnsiTheme="minorEastAsia" w:eastAsiaTheme="minorEastAsia" w:cstheme="minorEastAsia"/>
          <w:spacing w:val="2"/>
          <w:sz w:val="24"/>
          <w:szCs w:val="24"/>
        </w:rPr>
        <w:t>塌陷</w:t>
      </w:r>
      <w:r>
        <w:rPr>
          <w:rFonts w:hint="eastAsia" w:asciiTheme="minorEastAsia" w:hAnsiTheme="minorEastAsia" w:eastAsiaTheme="minorEastAsia" w:cstheme="minorEastAsia"/>
          <w:sz w:val="24"/>
          <w:szCs w:val="24"/>
        </w:rPr>
        <w:t>区、取土场1-取土场2、部分矿区道路及综合废石场西南部。各个治理单元矿山</w:t>
      </w:r>
      <w:r>
        <w:rPr>
          <w:rFonts w:hint="eastAsia" w:asciiTheme="minorEastAsia" w:hAnsiTheme="minorEastAsia" w:eastAsiaTheme="minorEastAsia" w:cstheme="minorEastAsia"/>
          <w:spacing w:val="-5"/>
          <w:sz w:val="24"/>
          <w:szCs w:val="24"/>
        </w:rPr>
        <w:t>地质环境治理工程详细叙述如下：</w:t>
      </w:r>
    </w:p>
    <w:p w14:paraId="5D9E8D6A">
      <w:pPr>
        <w:pStyle w:val="5"/>
        <w:spacing w:line="360" w:lineRule="auto"/>
        <w:ind w:left="0" w:right="0" w:firstLine="472" w:firstLineChars="200"/>
        <w:jc w:val="left"/>
        <w:rPr>
          <w:rFonts w:hint="eastAsia" w:asciiTheme="minorEastAsia" w:hAnsiTheme="minorEastAsia" w:eastAsiaTheme="minorEastAsia" w:cstheme="minorEastAsia"/>
          <w:b/>
          <w:bCs/>
          <w:spacing w:val="-3"/>
          <w:sz w:val="24"/>
          <w:szCs w:val="24"/>
        </w:rPr>
      </w:pPr>
      <w:r>
        <w:rPr>
          <w:rFonts w:hint="eastAsia" w:asciiTheme="minorEastAsia" w:hAnsiTheme="minorEastAsia" w:eastAsiaTheme="minorEastAsia" w:cstheme="minorEastAsia"/>
          <w:spacing w:val="-2"/>
          <w:sz w:val="24"/>
          <w:szCs w:val="24"/>
          <w:lang w:val="en-US" w:eastAsia="zh-CN"/>
        </w:rPr>
        <w:t>1、</w:t>
      </w:r>
      <w:r>
        <w:rPr>
          <w:rFonts w:hint="eastAsia" w:asciiTheme="minorEastAsia" w:hAnsiTheme="minorEastAsia" w:eastAsiaTheme="minorEastAsia" w:cstheme="minorEastAsia"/>
          <w:spacing w:val="-2"/>
          <w:sz w:val="24"/>
          <w:szCs w:val="24"/>
        </w:rPr>
        <w:t>完善前期治理工程</w:t>
      </w:r>
    </w:p>
    <w:p w14:paraId="1B93732A">
      <w:pPr>
        <w:pStyle w:val="5"/>
        <w:spacing w:before="48" w:line="360" w:lineRule="auto"/>
        <w:ind w:left="2" w:firstLine="476"/>
        <w:jc w:val="both"/>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1"/>
          <w:sz w:val="24"/>
          <w:szCs w:val="24"/>
        </w:rPr>
        <w:t>对1号采石场、2号采石场进行补植灌木，取土场补植种草，工程量为二分</w:t>
      </w:r>
      <w:r>
        <w:rPr>
          <w:rFonts w:hint="eastAsia" w:asciiTheme="minorEastAsia" w:hAnsiTheme="minorEastAsia" w:eastAsiaTheme="minorEastAsia" w:cstheme="minorEastAsia"/>
          <w:spacing w:val="-6"/>
          <w:sz w:val="24"/>
          <w:szCs w:val="24"/>
        </w:rPr>
        <w:t>期设计工程量的10%，即1号采石场补植灌木173棵、</w:t>
      </w:r>
      <w:r>
        <w:rPr>
          <w:rFonts w:hint="eastAsia" w:asciiTheme="minorEastAsia" w:hAnsiTheme="minorEastAsia" w:eastAsiaTheme="minorEastAsia" w:cstheme="minorEastAsia"/>
          <w:spacing w:val="-7"/>
          <w:sz w:val="24"/>
          <w:szCs w:val="24"/>
        </w:rPr>
        <w:t>2号采石场补植灌木45棵，</w:t>
      </w:r>
      <w:r>
        <w:rPr>
          <w:rFonts w:hint="eastAsia" w:asciiTheme="minorEastAsia" w:hAnsiTheme="minorEastAsia" w:eastAsiaTheme="minorEastAsia" w:cstheme="minorEastAsia"/>
          <w:spacing w:val="-2"/>
          <w:sz w:val="24"/>
          <w:szCs w:val="24"/>
        </w:rPr>
        <w:t>取土场补植种草2000m</w:t>
      </w:r>
      <w:r>
        <w:rPr>
          <w:rFonts w:hint="eastAsia" w:asciiTheme="minorEastAsia" w:hAnsiTheme="minorEastAsia" w:eastAsiaTheme="minorEastAsia" w:cstheme="minorEastAsia"/>
          <w:spacing w:val="-2"/>
          <w:sz w:val="24"/>
          <w:szCs w:val="24"/>
          <w:vertAlign w:val="superscript"/>
          <w:lang w:val="en-US" w:eastAsia="zh-CN"/>
        </w:rPr>
        <w:t>2</w:t>
      </w:r>
      <w:r>
        <w:rPr>
          <w:rFonts w:hint="eastAsia" w:asciiTheme="minorEastAsia" w:hAnsiTheme="minorEastAsia" w:eastAsiaTheme="minorEastAsia" w:cstheme="minorEastAsia"/>
          <w:spacing w:val="-2"/>
          <w:sz w:val="24"/>
          <w:szCs w:val="24"/>
        </w:rPr>
        <w:t>；</w:t>
      </w:r>
      <w:r>
        <w:rPr>
          <w:rFonts w:hint="eastAsia" w:asciiTheme="minorEastAsia" w:hAnsiTheme="minorEastAsia" w:eastAsiaTheme="minorEastAsia" w:cstheme="minorEastAsia"/>
          <w:spacing w:val="3"/>
          <w:sz w:val="24"/>
          <w:szCs w:val="24"/>
        </w:rPr>
        <w:t>对尾矿库北侧截水沟扰动区域西侧坡面平整整形、</w:t>
      </w:r>
      <w:r>
        <w:rPr>
          <w:rFonts w:hint="eastAsia" w:asciiTheme="minorEastAsia" w:hAnsiTheme="minorEastAsia" w:eastAsiaTheme="minorEastAsia" w:cstheme="minorEastAsia"/>
          <w:spacing w:val="2"/>
          <w:sz w:val="24"/>
          <w:szCs w:val="24"/>
        </w:rPr>
        <w:t>补植种草，工程量为二分</w:t>
      </w:r>
      <w:r>
        <w:rPr>
          <w:rFonts w:hint="eastAsia" w:asciiTheme="minorEastAsia" w:hAnsiTheme="minorEastAsia" w:eastAsiaTheme="minorEastAsia" w:cstheme="minorEastAsia"/>
          <w:spacing w:val="-4"/>
          <w:sz w:val="24"/>
          <w:szCs w:val="24"/>
        </w:rPr>
        <w:t>期设计工程量的10%，即平整整形132m</w:t>
      </w:r>
      <w:r>
        <w:rPr>
          <w:rFonts w:hint="eastAsia" w:asciiTheme="minorEastAsia" w:hAnsiTheme="minorEastAsia" w:eastAsiaTheme="minorEastAsia" w:cstheme="minorEastAsia"/>
          <w:spacing w:val="-6"/>
          <w:sz w:val="24"/>
          <w:szCs w:val="24"/>
          <w:vertAlign w:val="superscript"/>
          <w:lang w:val="en-US" w:eastAsia="zh-CN"/>
        </w:rPr>
        <w:t>3</w:t>
      </w:r>
      <w:r>
        <w:rPr>
          <w:rFonts w:hint="eastAsia" w:asciiTheme="minorEastAsia" w:hAnsiTheme="minorEastAsia" w:eastAsiaTheme="minorEastAsia" w:cstheme="minorEastAsia"/>
          <w:spacing w:val="-4"/>
          <w:sz w:val="24"/>
          <w:szCs w:val="24"/>
        </w:rPr>
        <w:t>、撒播草籽180</w:t>
      </w:r>
      <w:r>
        <w:rPr>
          <w:rFonts w:hint="eastAsia" w:asciiTheme="minorEastAsia" w:hAnsiTheme="minorEastAsia" w:eastAsiaTheme="minorEastAsia" w:cstheme="minorEastAsia"/>
          <w:spacing w:val="-5"/>
          <w:sz w:val="24"/>
          <w:szCs w:val="24"/>
        </w:rPr>
        <w:t>m</w:t>
      </w:r>
      <w:r>
        <w:rPr>
          <w:rFonts w:hint="eastAsia" w:asciiTheme="minorEastAsia" w:hAnsiTheme="minorEastAsia" w:eastAsiaTheme="minorEastAsia" w:cstheme="minorEastAsia"/>
          <w:spacing w:val="-6"/>
          <w:sz w:val="24"/>
          <w:szCs w:val="24"/>
          <w:vertAlign w:val="superscript"/>
          <w:lang w:val="en-US" w:eastAsia="zh-CN"/>
        </w:rPr>
        <w:t>2</w:t>
      </w:r>
      <w:r>
        <w:rPr>
          <w:rFonts w:hint="eastAsia" w:asciiTheme="minorEastAsia" w:hAnsiTheme="minorEastAsia" w:eastAsiaTheme="minorEastAsia" w:cstheme="minorEastAsia"/>
          <w:spacing w:val="-5"/>
          <w:sz w:val="24"/>
          <w:szCs w:val="24"/>
        </w:rPr>
        <w:t>。</w:t>
      </w:r>
      <w:r>
        <w:rPr>
          <w:rFonts w:hint="eastAsia" w:asciiTheme="minorEastAsia" w:hAnsiTheme="minorEastAsia" w:eastAsiaTheme="minorEastAsia" w:cstheme="minorEastAsia"/>
          <w:spacing w:val="-2"/>
          <w:sz w:val="24"/>
          <w:szCs w:val="24"/>
        </w:rPr>
        <w:t>对尾矿库南侧破损网围栏及警示牌进行修葺完善。</w:t>
      </w:r>
    </w:p>
    <w:p w14:paraId="464582FF">
      <w:pPr>
        <w:pStyle w:val="5"/>
        <w:keepNext w:val="0"/>
        <w:keepLines w:val="0"/>
        <w:pageBreakBefore w:val="0"/>
        <w:widowControl w:val="0"/>
        <w:kinsoku/>
        <w:wordWrap/>
        <w:overflowPunct/>
        <w:topLinePunct w:val="0"/>
        <w:autoSpaceDE/>
        <w:autoSpaceDN/>
        <w:bidi w:val="0"/>
        <w:adjustRightInd w:val="0"/>
        <w:snapToGrid w:val="0"/>
        <w:spacing w:line="360" w:lineRule="auto"/>
        <w:ind w:right="0" w:firstLine="47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lang w:val="en-US" w:eastAsia="zh-CN"/>
        </w:rPr>
        <w:t>2、</w:t>
      </w:r>
      <w:r>
        <w:rPr>
          <w:rFonts w:hint="eastAsia" w:asciiTheme="minorEastAsia" w:hAnsiTheme="minorEastAsia" w:eastAsiaTheme="minorEastAsia" w:cstheme="minorEastAsia"/>
          <w:spacing w:val="-2"/>
          <w:sz w:val="24"/>
          <w:szCs w:val="24"/>
        </w:rPr>
        <w:t>预测地面塌陷区</w:t>
      </w:r>
    </w:p>
    <w:p w14:paraId="3A91CB18">
      <w:pPr>
        <w:pStyle w:val="5"/>
        <w:keepNext w:val="0"/>
        <w:keepLines w:val="0"/>
        <w:pageBreakBefore w:val="0"/>
        <w:widowControl w:val="0"/>
        <w:kinsoku/>
        <w:wordWrap/>
        <w:overflowPunct/>
        <w:topLinePunct w:val="0"/>
        <w:autoSpaceDE/>
        <w:autoSpaceDN/>
        <w:bidi w:val="0"/>
        <w:adjustRightInd w:val="0"/>
        <w:snapToGrid w:val="0"/>
        <w:spacing w:line="360" w:lineRule="auto"/>
        <w:ind w:right="0" w:firstLine="492" w:firstLineChars="200"/>
        <w:textAlignment w:val="auto"/>
        <w:rPr>
          <w:rFonts w:hint="eastAsia" w:asciiTheme="minorEastAsia" w:hAnsiTheme="minorEastAsia" w:eastAsiaTheme="minorEastAsia" w:cstheme="minorEastAsia"/>
          <w:spacing w:val="-9"/>
          <w:sz w:val="24"/>
          <w:szCs w:val="24"/>
        </w:rPr>
      </w:pPr>
      <w:r>
        <w:rPr>
          <w:rFonts w:hint="eastAsia" w:asciiTheme="minorEastAsia" w:hAnsiTheme="minorEastAsia" w:eastAsiaTheme="minorEastAsia" w:cstheme="minorEastAsia"/>
          <w:spacing w:val="3"/>
          <w:sz w:val="24"/>
          <w:szCs w:val="24"/>
        </w:rPr>
        <w:t>矿山生产要严格按《开发利用方案》和有关设计施工，在生产</w:t>
      </w:r>
      <w:r>
        <w:rPr>
          <w:rFonts w:hint="eastAsia" w:asciiTheme="minorEastAsia" w:hAnsiTheme="minorEastAsia" w:eastAsiaTheme="minorEastAsia" w:cstheme="minorEastAsia"/>
          <w:spacing w:val="2"/>
          <w:sz w:val="24"/>
          <w:szCs w:val="24"/>
        </w:rPr>
        <w:t>过程中应及时</w:t>
      </w:r>
      <w:r>
        <w:rPr>
          <w:rFonts w:hint="eastAsia" w:asciiTheme="minorEastAsia" w:hAnsiTheme="minorEastAsia" w:eastAsiaTheme="minorEastAsia" w:cstheme="minorEastAsia"/>
          <w:spacing w:val="3"/>
          <w:sz w:val="24"/>
          <w:szCs w:val="24"/>
        </w:rPr>
        <w:t>充填采空区，并加强对地表变形的监测，对预测地面塌陷</w:t>
      </w:r>
      <w:r>
        <w:rPr>
          <w:rFonts w:hint="eastAsia" w:asciiTheme="minorEastAsia" w:hAnsiTheme="minorEastAsia" w:eastAsiaTheme="minorEastAsia" w:cstheme="minorEastAsia"/>
          <w:spacing w:val="2"/>
          <w:sz w:val="24"/>
          <w:szCs w:val="24"/>
        </w:rPr>
        <w:t>范围设置监测点进行监</w:t>
      </w:r>
      <w:r>
        <w:rPr>
          <w:rFonts w:hint="eastAsia" w:asciiTheme="minorEastAsia" w:hAnsiTheme="minorEastAsia" w:eastAsiaTheme="minorEastAsia" w:cstheme="minorEastAsia"/>
          <w:spacing w:val="-9"/>
          <w:sz w:val="24"/>
          <w:szCs w:val="24"/>
        </w:rPr>
        <w:t>测预警。</w:t>
      </w:r>
    </w:p>
    <w:p w14:paraId="3A0FD8BE">
      <w:pPr>
        <w:pStyle w:val="5"/>
        <w:spacing w:before="34"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lang w:val="en-US" w:eastAsia="zh-CN"/>
        </w:rPr>
        <w:t>3、</w:t>
      </w:r>
      <w:r>
        <w:rPr>
          <w:rFonts w:hint="eastAsia" w:asciiTheme="minorEastAsia" w:hAnsiTheme="minorEastAsia" w:eastAsiaTheme="minorEastAsia" w:cstheme="minorEastAsia"/>
          <w:spacing w:val="-2"/>
          <w:sz w:val="24"/>
          <w:szCs w:val="24"/>
        </w:rPr>
        <w:t>取土场1</w:t>
      </w:r>
    </w:p>
    <w:p w14:paraId="07DF112C">
      <w:pPr>
        <w:pStyle w:val="5"/>
        <w:numPr>
          <w:ilvl w:val="0"/>
          <w:numId w:val="11"/>
        </w:numPr>
        <w:spacing w:line="360" w:lineRule="auto"/>
        <w:ind w:left="480" w:leftChars="0" w:right="0"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9"/>
          <w:sz w:val="24"/>
          <w:szCs w:val="24"/>
        </w:rPr>
        <w:t>垫坡</w:t>
      </w:r>
    </w:p>
    <w:p w14:paraId="499C4950">
      <w:pPr>
        <w:pStyle w:val="5"/>
        <w:spacing w:line="360" w:lineRule="auto"/>
        <w:ind w:left="0" w:right="0" w:firstLine="504" w:firstLineChars="20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对场地边坡进行垫坡整形，使之与周围地形地貌景观最大限度的协调，垫坡</w:t>
      </w:r>
      <w:r>
        <w:rPr>
          <w:rFonts w:hint="eastAsia" w:asciiTheme="minorEastAsia" w:hAnsiTheme="minorEastAsia" w:eastAsiaTheme="minorEastAsia" w:cstheme="minorEastAsia"/>
          <w:sz w:val="24"/>
          <w:szCs w:val="24"/>
        </w:rPr>
        <w:t>后坡度约为30°。根据Qx=n×L×v（下同</w:t>
      </w:r>
      <w:r>
        <w:rPr>
          <w:rFonts w:hint="eastAsia" w:asciiTheme="minorEastAsia" w:hAnsiTheme="minorEastAsia" w:eastAsiaTheme="minorEastAsia" w:cstheme="minorEastAsia"/>
          <w:spacing w:val="-57"/>
          <w:sz w:val="24"/>
          <w:szCs w:val="24"/>
        </w:rPr>
        <w:t>），</w:t>
      </w:r>
      <w:r>
        <w:rPr>
          <w:rFonts w:hint="eastAsia" w:asciiTheme="minorEastAsia" w:hAnsiTheme="minorEastAsia" w:eastAsiaTheme="minorEastAsia" w:cstheme="minorEastAsia"/>
          <w:sz w:val="24"/>
          <w:szCs w:val="24"/>
        </w:rPr>
        <w:t>式中：</w:t>
      </w:r>
      <w:r>
        <w:rPr>
          <w:rFonts w:hint="eastAsia" w:asciiTheme="minorEastAsia" w:hAnsiTheme="minorEastAsia" w:eastAsiaTheme="minorEastAsia" w:cstheme="minorEastAsia"/>
          <w:spacing w:val="-1"/>
          <w:sz w:val="24"/>
          <w:szCs w:val="24"/>
        </w:rPr>
        <w:t>n为垫坡系数，根据周围矿山</w:t>
      </w:r>
      <w:r>
        <w:rPr>
          <w:rFonts w:hint="eastAsia" w:asciiTheme="minorEastAsia" w:hAnsiTheme="minorEastAsia" w:eastAsiaTheme="minorEastAsia" w:cstheme="minorEastAsia"/>
          <w:spacing w:val="-3"/>
          <w:sz w:val="24"/>
          <w:szCs w:val="24"/>
        </w:rPr>
        <w:t>治理经验，系数取100%，Qx为垫坡方量(m³)；L为边坡长度70m；v为单位坡长</w:t>
      </w:r>
      <w:r>
        <w:rPr>
          <w:rFonts w:hint="eastAsia" w:asciiTheme="minorEastAsia" w:hAnsiTheme="minorEastAsia" w:eastAsiaTheme="minorEastAsia" w:cstheme="minorEastAsia"/>
          <w:spacing w:val="-1"/>
          <w:sz w:val="24"/>
          <w:szCs w:val="24"/>
        </w:rPr>
        <w:t>垫坡方量(经过计算单位方量为取值37.46m³/m)。工程量为2622m³。</w:t>
      </w:r>
    </w:p>
    <w:p w14:paraId="0433B3C2">
      <w:pPr>
        <w:pStyle w:val="5"/>
        <w:numPr>
          <w:ilvl w:val="0"/>
          <w:numId w:val="11"/>
        </w:numPr>
        <w:spacing w:line="360" w:lineRule="auto"/>
        <w:ind w:left="480" w:leftChars="0" w:right="0"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覆土整平</w:t>
      </w:r>
    </w:p>
    <w:p w14:paraId="40E9211D">
      <w:pPr>
        <w:pStyle w:val="5"/>
        <w:spacing w:line="360" w:lineRule="auto"/>
        <w:ind w:left="0" w:right="0" w:firstLine="484"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对治理后场地进行覆土整平，复垦面积为3084m</w:t>
      </w:r>
      <w:r>
        <w:rPr>
          <w:rFonts w:hint="eastAsia" w:asciiTheme="minorEastAsia" w:hAnsiTheme="minorEastAsia" w:eastAsiaTheme="minorEastAsia" w:cstheme="minorEastAsia"/>
          <w:spacing w:val="1"/>
          <w:sz w:val="24"/>
          <w:szCs w:val="24"/>
          <w:vertAlign w:val="superscript"/>
          <w:lang w:val="en-US" w:eastAsia="zh-CN"/>
        </w:rPr>
        <w:t>2</w:t>
      </w:r>
      <w:r>
        <w:rPr>
          <w:rFonts w:hint="eastAsia" w:asciiTheme="minorEastAsia" w:hAnsiTheme="minorEastAsia" w:eastAsiaTheme="minorEastAsia" w:cstheme="minorEastAsia"/>
          <w:sz w:val="24"/>
          <w:szCs w:val="24"/>
        </w:rPr>
        <w:t>，覆土整平厚度0.5m，覆</w:t>
      </w:r>
      <w:r>
        <w:rPr>
          <w:rFonts w:hint="eastAsia" w:asciiTheme="minorEastAsia" w:hAnsiTheme="minorEastAsia" w:eastAsiaTheme="minorEastAsia" w:cstheme="minorEastAsia"/>
          <w:spacing w:val="-3"/>
          <w:sz w:val="24"/>
          <w:szCs w:val="24"/>
        </w:rPr>
        <w:t>土整平工程量1542m</w:t>
      </w:r>
      <w:r>
        <w:rPr>
          <w:rFonts w:hint="eastAsia" w:asciiTheme="minorEastAsia" w:hAnsiTheme="minorEastAsia" w:eastAsiaTheme="minorEastAsia" w:cstheme="minorEastAsia"/>
          <w:spacing w:val="-6"/>
          <w:sz w:val="24"/>
          <w:szCs w:val="24"/>
          <w:vertAlign w:val="superscript"/>
          <w:lang w:val="en-US" w:eastAsia="zh-CN"/>
        </w:rPr>
        <w:t>3</w:t>
      </w:r>
      <w:r>
        <w:rPr>
          <w:rFonts w:hint="eastAsia" w:asciiTheme="minorEastAsia" w:hAnsiTheme="minorEastAsia" w:eastAsiaTheme="minorEastAsia" w:cstheme="minorEastAsia"/>
          <w:spacing w:val="-3"/>
          <w:sz w:val="24"/>
          <w:szCs w:val="24"/>
        </w:rPr>
        <w:t>。</w:t>
      </w:r>
    </w:p>
    <w:p w14:paraId="43CF8C52">
      <w:pPr>
        <w:pStyle w:val="5"/>
        <w:numPr>
          <w:ilvl w:val="0"/>
          <w:numId w:val="11"/>
        </w:numPr>
        <w:spacing w:line="360" w:lineRule="auto"/>
        <w:ind w:left="480" w:leftChars="0" w:right="0"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恢复植被</w:t>
      </w:r>
    </w:p>
    <w:p w14:paraId="1976D9D1">
      <w:pPr>
        <w:pStyle w:val="5"/>
        <w:spacing w:line="360" w:lineRule="auto"/>
        <w:ind w:left="0" w:right="0" w:firstLine="484"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对场地恢复植被，考虑周围植被、周围场地复垦方向等因素，复垦为灌木，</w:t>
      </w:r>
      <w:r>
        <w:rPr>
          <w:rFonts w:hint="eastAsia" w:asciiTheme="minorEastAsia" w:hAnsiTheme="minorEastAsia" w:eastAsiaTheme="minorEastAsia" w:cstheme="minorEastAsia"/>
          <w:spacing w:val="-2"/>
          <w:sz w:val="24"/>
          <w:szCs w:val="24"/>
        </w:rPr>
        <w:t>树种选择山杏，栽植山杏株行距2m×2m,每</w:t>
      </w:r>
      <w:r>
        <w:rPr>
          <w:rFonts w:hint="eastAsia" w:asciiTheme="minorEastAsia" w:hAnsiTheme="minorEastAsia" w:eastAsiaTheme="minorEastAsia" w:cstheme="minorEastAsia"/>
          <w:spacing w:val="-3"/>
          <w:sz w:val="24"/>
          <w:szCs w:val="24"/>
        </w:rPr>
        <w:t>坑1株，种植山杏771株。</w:t>
      </w:r>
    </w:p>
    <w:p w14:paraId="70693856">
      <w:pPr>
        <w:pStyle w:val="5"/>
        <w:spacing w:line="360" w:lineRule="auto"/>
        <w:ind w:left="0" w:right="0" w:firstLine="456"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lang w:val="en-US" w:eastAsia="zh-CN"/>
        </w:rPr>
        <w:t>4、</w:t>
      </w:r>
      <w:r>
        <w:rPr>
          <w:rFonts w:hint="eastAsia" w:asciiTheme="minorEastAsia" w:hAnsiTheme="minorEastAsia" w:eastAsiaTheme="minorEastAsia" w:cstheme="minorEastAsia"/>
          <w:spacing w:val="-6"/>
          <w:sz w:val="24"/>
          <w:szCs w:val="24"/>
        </w:rPr>
        <w:t>取土场2</w:t>
      </w:r>
    </w:p>
    <w:p w14:paraId="6EADE092">
      <w:pPr>
        <w:pStyle w:val="5"/>
        <w:numPr>
          <w:ilvl w:val="0"/>
          <w:numId w:val="12"/>
        </w:numPr>
        <w:spacing w:line="360" w:lineRule="auto"/>
        <w:ind w:left="480" w:leftChars="0" w:right="0"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9"/>
          <w:sz w:val="24"/>
          <w:szCs w:val="24"/>
        </w:rPr>
        <w:t>垫坡</w:t>
      </w:r>
    </w:p>
    <w:p w14:paraId="0A102929">
      <w:pPr>
        <w:pStyle w:val="5"/>
        <w:spacing w:line="360" w:lineRule="auto"/>
        <w:ind w:left="0" w:right="0" w:firstLine="504" w:firstLineChars="20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对场地边坡进行垫坡整形，使之与周围地形地貌景观最大限度的协调，垫坡</w:t>
      </w:r>
      <w:r>
        <w:rPr>
          <w:rFonts w:hint="eastAsia" w:asciiTheme="minorEastAsia" w:hAnsiTheme="minorEastAsia" w:eastAsiaTheme="minorEastAsia" w:cstheme="minorEastAsia"/>
          <w:sz w:val="24"/>
          <w:szCs w:val="24"/>
        </w:rPr>
        <w:t>后坡度约为30°。根据Qx=n×L×v（下同</w:t>
      </w:r>
      <w:r>
        <w:rPr>
          <w:rFonts w:hint="eastAsia" w:asciiTheme="minorEastAsia" w:hAnsiTheme="minorEastAsia" w:eastAsiaTheme="minorEastAsia" w:cstheme="minorEastAsia"/>
          <w:spacing w:val="-57"/>
          <w:sz w:val="24"/>
          <w:szCs w:val="24"/>
        </w:rPr>
        <w:t>），</w:t>
      </w:r>
      <w:r>
        <w:rPr>
          <w:rFonts w:hint="eastAsia" w:asciiTheme="minorEastAsia" w:hAnsiTheme="minorEastAsia" w:eastAsiaTheme="minorEastAsia" w:cstheme="minorEastAsia"/>
          <w:sz w:val="24"/>
          <w:szCs w:val="24"/>
        </w:rPr>
        <w:t>式中：</w:t>
      </w:r>
      <w:r>
        <w:rPr>
          <w:rFonts w:hint="eastAsia" w:asciiTheme="minorEastAsia" w:hAnsiTheme="minorEastAsia" w:eastAsiaTheme="minorEastAsia" w:cstheme="minorEastAsia"/>
          <w:spacing w:val="-1"/>
          <w:sz w:val="24"/>
          <w:szCs w:val="24"/>
        </w:rPr>
        <w:t>n为垫坡系数，根据周围矿山</w:t>
      </w:r>
      <w:r>
        <w:rPr>
          <w:rFonts w:hint="eastAsia" w:asciiTheme="minorEastAsia" w:hAnsiTheme="minorEastAsia" w:eastAsiaTheme="minorEastAsia" w:cstheme="minorEastAsia"/>
          <w:spacing w:val="-3"/>
          <w:sz w:val="24"/>
          <w:szCs w:val="24"/>
        </w:rPr>
        <w:t>治理经验，系数取100%，Qx为垫坡方量(m³)；L为边坡长度70m；v为单位坡长</w:t>
      </w:r>
      <w:r>
        <w:rPr>
          <w:rFonts w:hint="eastAsia" w:asciiTheme="minorEastAsia" w:hAnsiTheme="minorEastAsia" w:eastAsiaTheme="minorEastAsia" w:cstheme="minorEastAsia"/>
          <w:spacing w:val="-2"/>
          <w:sz w:val="24"/>
          <w:szCs w:val="24"/>
        </w:rPr>
        <w:t>垫坡方量(经过计算单位方量为取值15.27m³/m)。工程量为1069m³。</w:t>
      </w:r>
    </w:p>
    <w:p w14:paraId="0A37BE51">
      <w:pPr>
        <w:pStyle w:val="5"/>
        <w:numPr>
          <w:ilvl w:val="0"/>
          <w:numId w:val="12"/>
        </w:numPr>
        <w:spacing w:line="360" w:lineRule="auto"/>
        <w:ind w:left="480" w:leftChars="0" w:right="0"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覆土整平</w:t>
      </w:r>
    </w:p>
    <w:p w14:paraId="0791945A">
      <w:pPr>
        <w:pStyle w:val="5"/>
        <w:spacing w:line="360" w:lineRule="auto"/>
        <w:ind w:left="0" w:right="0" w:firstLine="484" w:firstLineChars="200"/>
        <w:rPr>
          <w:rFonts w:hint="eastAsia" w:asciiTheme="minorEastAsia" w:hAnsiTheme="minorEastAsia" w:eastAsiaTheme="minorEastAsia" w:cstheme="minorEastAsia"/>
          <w:spacing w:val="-9"/>
          <w:sz w:val="24"/>
          <w:szCs w:val="24"/>
        </w:rPr>
      </w:pPr>
      <w:r>
        <w:rPr>
          <w:rFonts w:hint="eastAsia" w:asciiTheme="minorEastAsia" w:hAnsiTheme="minorEastAsia" w:eastAsiaTheme="minorEastAsia" w:cstheme="minorEastAsia"/>
          <w:spacing w:val="1"/>
          <w:sz w:val="24"/>
          <w:szCs w:val="24"/>
        </w:rPr>
        <w:t>对治理后场地进行覆土整平，复垦面积为3700m</w:t>
      </w:r>
      <w:r>
        <w:rPr>
          <w:rFonts w:hint="eastAsia" w:asciiTheme="minorEastAsia" w:hAnsiTheme="minorEastAsia" w:eastAsiaTheme="minorEastAsia" w:cstheme="minorEastAsia"/>
          <w:spacing w:val="1"/>
          <w:sz w:val="24"/>
          <w:szCs w:val="24"/>
          <w:vertAlign w:val="superscript"/>
          <w:lang w:val="en-US" w:eastAsia="zh-CN"/>
        </w:rPr>
        <w:t>2</w:t>
      </w:r>
      <w:r>
        <w:rPr>
          <w:rFonts w:hint="eastAsia" w:asciiTheme="minorEastAsia" w:hAnsiTheme="minorEastAsia" w:eastAsiaTheme="minorEastAsia" w:cstheme="minorEastAsia"/>
          <w:sz w:val="24"/>
          <w:szCs w:val="24"/>
        </w:rPr>
        <w:t>，覆土整平厚度0.5m，覆</w:t>
      </w:r>
      <w:r>
        <w:rPr>
          <w:rFonts w:hint="eastAsia" w:asciiTheme="minorEastAsia" w:hAnsiTheme="minorEastAsia" w:eastAsiaTheme="minorEastAsia" w:cstheme="minorEastAsia"/>
          <w:spacing w:val="-3"/>
          <w:sz w:val="24"/>
          <w:szCs w:val="24"/>
        </w:rPr>
        <w:t>土整平工程量1850m</w:t>
      </w:r>
      <w:r>
        <w:rPr>
          <w:rFonts w:hint="eastAsia" w:asciiTheme="minorEastAsia" w:hAnsiTheme="minorEastAsia" w:eastAsiaTheme="minorEastAsia" w:cstheme="minorEastAsia"/>
          <w:spacing w:val="-6"/>
          <w:sz w:val="24"/>
          <w:szCs w:val="24"/>
          <w:vertAlign w:val="superscript"/>
          <w:lang w:val="en-US" w:eastAsia="zh-CN"/>
        </w:rPr>
        <w:t>3</w:t>
      </w:r>
      <w:r>
        <w:rPr>
          <w:rFonts w:hint="eastAsia" w:asciiTheme="minorEastAsia" w:hAnsiTheme="minorEastAsia" w:eastAsiaTheme="minorEastAsia" w:cstheme="minorEastAsia"/>
          <w:spacing w:val="-3"/>
          <w:sz w:val="24"/>
          <w:szCs w:val="24"/>
        </w:rPr>
        <w:t>。</w:t>
      </w:r>
    </w:p>
    <w:p w14:paraId="59D3CAC6">
      <w:pPr>
        <w:pStyle w:val="5"/>
        <w:numPr>
          <w:ilvl w:val="0"/>
          <w:numId w:val="12"/>
        </w:numPr>
        <w:spacing w:line="360" w:lineRule="auto"/>
        <w:ind w:left="480" w:leftChars="0" w:right="0"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恢复植被</w:t>
      </w:r>
    </w:p>
    <w:p w14:paraId="21995674">
      <w:pPr>
        <w:pStyle w:val="5"/>
        <w:numPr>
          <w:ilvl w:val="0"/>
          <w:numId w:val="0"/>
        </w:numPr>
        <w:spacing w:line="360" w:lineRule="auto"/>
        <w:ind w:left="0" w:leftChars="0" w:right="0" w:firstLine="484"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对场地恢复植被，考虑周围植被、周围场地复垦方向等因素，复垦为灌木，</w:t>
      </w:r>
      <w:r>
        <w:rPr>
          <w:rFonts w:hint="eastAsia" w:asciiTheme="minorEastAsia" w:hAnsiTheme="minorEastAsia" w:eastAsiaTheme="minorEastAsia" w:cstheme="minorEastAsia"/>
          <w:spacing w:val="-2"/>
          <w:sz w:val="24"/>
          <w:szCs w:val="24"/>
        </w:rPr>
        <w:t>树种选择山杏，栽植山杏株行距2m×2m,</w:t>
      </w:r>
      <w:r>
        <w:rPr>
          <w:rFonts w:hint="eastAsia" w:asciiTheme="minorEastAsia" w:hAnsiTheme="minorEastAsia" w:eastAsiaTheme="minorEastAsia" w:cstheme="minorEastAsia"/>
          <w:spacing w:val="-3"/>
          <w:sz w:val="24"/>
          <w:szCs w:val="24"/>
        </w:rPr>
        <w:t>每坑1株，种植山杏925株。</w:t>
      </w:r>
    </w:p>
    <w:p w14:paraId="64084F48">
      <w:pPr>
        <w:pStyle w:val="5"/>
        <w:spacing w:line="360" w:lineRule="auto"/>
        <w:ind w:left="0" w:right="0" w:firstLine="0" w:firstLineChars="0"/>
        <w:jc w:val="both"/>
        <w:rPr>
          <w:spacing w:val="-2"/>
          <w:sz w:val="24"/>
          <w:szCs w:val="24"/>
        </w:rPr>
      </w:pPr>
    </w:p>
    <w:p w14:paraId="55AA1DD5">
      <w:pPr>
        <w:pStyle w:val="5"/>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firstLine="400" w:firstLineChars="200"/>
        <w:jc w:val="both"/>
        <w:textAlignment w:val="auto"/>
        <w:rPr>
          <w:position w:val="-51"/>
        </w:rPr>
      </w:pPr>
      <w:r>
        <w:rPr>
          <w:position w:val="-51"/>
        </w:rPr>
        <w:drawing>
          <wp:inline distT="0" distB="0" distL="0" distR="0">
            <wp:extent cx="4493895" cy="1645285"/>
            <wp:effectExtent l="0" t="0" r="1905" b="12065"/>
            <wp:docPr id="264" name="IM 264"/>
            <wp:cNvGraphicFramePr/>
            <a:graphic xmlns:a="http://schemas.openxmlformats.org/drawingml/2006/main">
              <a:graphicData uri="http://schemas.openxmlformats.org/drawingml/2006/picture">
                <pic:pic xmlns:pic="http://schemas.openxmlformats.org/drawingml/2006/picture">
                  <pic:nvPicPr>
                    <pic:cNvPr id="264" name="IM 264"/>
                    <pic:cNvPicPr/>
                  </pic:nvPicPr>
                  <pic:blipFill>
                    <a:blip r:embed="rId27"/>
                    <a:stretch>
                      <a:fillRect/>
                    </a:stretch>
                  </pic:blipFill>
                  <pic:spPr>
                    <a:xfrm>
                      <a:off x="0" y="0"/>
                      <a:ext cx="4494414" cy="1645310"/>
                    </a:xfrm>
                    <a:prstGeom prst="rect">
                      <a:avLst/>
                    </a:prstGeom>
                  </pic:spPr>
                </pic:pic>
              </a:graphicData>
            </a:graphic>
          </wp:inline>
        </w:drawing>
      </w:r>
    </w:p>
    <w:p w14:paraId="00AEF75E">
      <w:pPr>
        <w:pStyle w:val="5"/>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firstLine="2458" w:firstLineChars="1200"/>
        <w:jc w:val="both"/>
        <w:textAlignment w:val="auto"/>
        <w:rPr>
          <w:rFonts w:hint="eastAsia" w:asciiTheme="minorEastAsia" w:hAnsiTheme="minorEastAsia" w:eastAsiaTheme="minorEastAsia" w:cstheme="minorEastAsia"/>
          <w:b/>
          <w:bCs/>
          <w:position w:val="-51"/>
          <w:sz w:val="21"/>
          <w:szCs w:val="21"/>
          <w:lang w:val="en-US" w:eastAsia="zh-CN"/>
        </w:rPr>
      </w:pPr>
      <w:r>
        <w:rPr>
          <w:rFonts w:hint="eastAsia" w:asciiTheme="minorEastAsia" w:hAnsiTheme="minorEastAsia" w:eastAsiaTheme="minorEastAsia" w:cstheme="minorEastAsia"/>
          <w:b/>
          <w:bCs/>
          <w:spacing w:val="-3"/>
          <w:sz w:val="21"/>
          <w:szCs w:val="21"/>
        </w:rPr>
        <w:t>图</w:t>
      </w:r>
      <w:r>
        <w:rPr>
          <w:rFonts w:hint="eastAsia" w:asciiTheme="minorEastAsia" w:hAnsiTheme="minorEastAsia" w:eastAsiaTheme="minorEastAsia" w:cstheme="minorEastAsia"/>
          <w:b/>
          <w:bCs/>
          <w:spacing w:val="-32"/>
          <w:sz w:val="21"/>
          <w:szCs w:val="21"/>
          <w:lang w:val="en-US" w:eastAsia="zh-CN"/>
        </w:rPr>
        <w:t>5</w:t>
      </w:r>
      <w:r>
        <w:rPr>
          <w:rFonts w:hint="eastAsia" w:asciiTheme="minorEastAsia" w:hAnsiTheme="minorEastAsia" w:eastAsiaTheme="minorEastAsia" w:cstheme="minorEastAsia"/>
          <w:b/>
          <w:bCs/>
          <w:spacing w:val="-3"/>
          <w:sz w:val="21"/>
          <w:szCs w:val="21"/>
        </w:rPr>
        <w:t>-1取土场综合治理效果剖面图</w:t>
      </w:r>
    </w:p>
    <w:p w14:paraId="75127FE2">
      <w:pPr>
        <w:pStyle w:val="5"/>
        <w:spacing w:line="360" w:lineRule="auto"/>
        <w:ind w:right="0" w:firstLine="47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lang w:val="en-US" w:eastAsia="zh-CN"/>
        </w:rPr>
        <w:t>5、</w:t>
      </w:r>
      <w:r>
        <w:rPr>
          <w:rFonts w:hint="eastAsia" w:asciiTheme="minorEastAsia" w:hAnsiTheme="minorEastAsia" w:eastAsiaTheme="minorEastAsia" w:cstheme="minorEastAsia"/>
          <w:spacing w:val="-2"/>
          <w:sz w:val="24"/>
          <w:szCs w:val="24"/>
        </w:rPr>
        <w:t>矿区道路</w:t>
      </w:r>
    </w:p>
    <w:p w14:paraId="14F07C05">
      <w:pPr>
        <w:pStyle w:val="5"/>
        <w:numPr>
          <w:ilvl w:val="0"/>
          <w:numId w:val="13"/>
        </w:numPr>
        <w:spacing w:line="360" w:lineRule="auto"/>
        <w:ind w:left="905" w:leftChars="0" w:right="0" w:rightChars="0" w:hanging="425"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rPr>
        <w:t>垫坡</w:t>
      </w:r>
    </w:p>
    <w:p w14:paraId="09E62D86">
      <w:pPr>
        <w:pStyle w:val="5"/>
        <w:spacing w:line="360" w:lineRule="auto"/>
        <w:ind w:right="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对道路的土质切坡进行垫坡，垫坡量为切坡道路长（400m）×单位坡长垫坡方</w:t>
      </w:r>
      <w:r>
        <w:rPr>
          <w:rFonts w:hint="eastAsia" w:asciiTheme="minorEastAsia" w:hAnsiTheme="minorEastAsia" w:eastAsiaTheme="minorEastAsia" w:cstheme="minorEastAsia"/>
          <w:spacing w:val="-1"/>
          <w:sz w:val="24"/>
          <w:szCs w:val="24"/>
        </w:rPr>
        <w:t>量（16.38m</w:t>
      </w:r>
      <w:r>
        <w:rPr>
          <w:rFonts w:hint="eastAsia" w:asciiTheme="minorEastAsia" w:hAnsiTheme="minorEastAsia" w:eastAsiaTheme="minorEastAsia" w:cstheme="minorEastAsia"/>
          <w:spacing w:val="-1"/>
          <w:sz w:val="24"/>
          <w:szCs w:val="24"/>
          <w:vertAlign w:val="superscript"/>
          <w:lang w:val="en-US" w:eastAsia="zh-CN"/>
        </w:rPr>
        <w:t>2</w:t>
      </w:r>
      <w:r>
        <w:rPr>
          <w:rFonts w:hint="eastAsia" w:asciiTheme="minorEastAsia" w:hAnsiTheme="minorEastAsia" w:eastAsiaTheme="minorEastAsia" w:cstheme="minorEastAsia"/>
          <w:spacing w:val="-1"/>
          <w:sz w:val="24"/>
          <w:szCs w:val="24"/>
        </w:rPr>
        <w:t>/m）=6552m</w:t>
      </w:r>
      <w:r>
        <w:rPr>
          <w:rFonts w:hint="eastAsia" w:asciiTheme="minorEastAsia" w:hAnsiTheme="minorEastAsia" w:eastAsiaTheme="minorEastAsia" w:cstheme="minorEastAsia"/>
          <w:spacing w:val="-1"/>
          <w:sz w:val="24"/>
          <w:szCs w:val="24"/>
          <w:vertAlign w:val="superscript"/>
          <w:lang w:val="en-US" w:eastAsia="zh-CN"/>
        </w:rPr>
        <w:t>3</w:t>
      </w:r>
      <w:r>
        <w:rPr>
          <w:rFonts w:hint="eastAsia" w:asciiTheme="minorEastAsia" w:hAnsiTheme="minorEastAsia" w:eastAsiaTheme="minorEastAsia" w:cstheme="minorEastAsia"/>
          <w:spacing w:val="-1"/>
          <w:sz w:val="24"/>
          <w:szCs w:val="24"/>
        </w:rPr>
        <w:t>。</w:t>
      </w:r>
    </w:p>
    <w:p w14:paraId="3FBCD853">
      <w:pPr>
        <w:pStyle w:val="5"/>
        <w:numPr>
          <w:ilvl w:val="0"/>
          <w:numId w:val="13"/>
        </w:numPr>
        <w:spacing w:line="360" w:lineRule="auto"/>
        <w:ind w:left="905" w:leftChars="0" w:right="0" w:rightChars="0" w:hanging="425"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覆土整平</w:t>
      </w:r>
    </w:p>
    <w:p w14:paraId="68F6429A">
      <w:pPr>
        <w:pStyle w:val="5"/>
        <w:spacing w:line="360" w:lineRule="auto"/>
        <w:ind w:right="0" w:firstLine="476"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对不再使用路段地进行覆土整平，复垦面积为1600m</w:t>
      </w:r>
      <w:r>
        <w:rPr>
          <w:rFonts w:hint="eastAsia" w:asciiTheme="minorEastAsia" w:hAnsiTheme="minorEastAsia" w:eastAsiaTheme="minorEastAsia" w:cstheme="minorEastAsia"/>
          <w:spacing w:val="-1"/>
          <w:sz w:val="24"/>
          <w:szCs w:val="24"/>
          <w:vertAlign w:val="superscript"/>
          <w:lang w:val="en-US" w:eastAsia="zh-CN"/>
        </w:rPr>
        <w:t>2</w:t>
      </w:r>
      <w:r>
        <w:rPr>
          <w:rFonts w:hint="eastAsia" w:asciiTheme="minorEastAsia" w:hAnsiTheme="minorEastAsia" w:eastAsiaTheme="minorEastAsia" w:cstheme="minorEastAsia"/>
          <w:spacing w:val="-1"/>
          <w:sz w:val="24"/>
          <w:szCs w:val="24"/>
        </w:rPr>
        <w:t>，覆土整平厚度</w:t>
      </w:r>
      <w:r>
        <w:rPr>
          <w:rFonts w:hint="eastAsia" w:asciiTheme="minorEastAsia" w:hAnsiTheme="minorEastAsia" w:eastAsiaTheme="minorEastAsia" w:cstheme="minorEastAsia"/>
          <w:spacing w:val="-2"/>
          <w:sz w:val="24"/>
          <w:szCs w:val="24"/>
        </w:rPr>
        <w:t>0.5m，覆土整平工程量800m</w:t>
      </w:r>
      <w:r>
        <w:rPr>
          <w:rFonts w:hint="eastAsia" w:asciiTheme="minorEastAsia" w:hAnsiTheme="minorEastAsia" w:eastAsiaTheme="minorEastAsia" w:cstheme="minorEastAsia"/>
          <w:spacing w:val="-2"/>
          <w:sz w:val="24"/>
          <w:szCs w:val="24"/>
          <w:vertAlign w:val="superscript"/>
          <w:lang w:val="en-US" w:eastAsia="zh-CN"/>
        </w:rPr>
        <w:t>3</w:t>
      </w:r>
      <w:r>
        <w:rPr>
          <w:rFonts w:hint="eastAsia" w:asciiTheme="minorEastAsia" w:hAnsiTheme="minorEastAsia" w:eastAsiaTheme="minorEastAsia" w:cstheme="minorEastAsia"/>
          <w:spacing w:val="-2"/>
          <w:sz w:val="24"/>
          <w:szCs w:val="24"/>
        </w:rPr>
        <w:t>。</w:t>
      </w:r>
    </w:p>
    <w:p w14:paraId="5A1496CF">
      <w:pPr>
        <w:pStyle w:val="5"/>
        <w:numPr>
          <w:ilvl w:val="0"/>
          <w:numId w:val="13"/>
        </w:numPr>
        <w:spacing w:line="360" w:lineRule="auto"/>
        <w:ind w:left="905" w:leftChars="0" w:right="0" w:rightChars="0" w:hanging="425"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恢复植被</w:t>
      </w:r>
    </w:p>
    <w:p w14:paraId="2FD1A73D">
      <w:pPr>
        <w:pStyle w:val="5"/>
        <w:spacing w:line="360" w:lineRule="auto"/>
        <w:ind w:right="0" w:firstLine="484" w:firstLineChars="200"/>
        <w:rPr>
          <w:rFonts w:hint="eastAsia" w:asciiTheme="minorEastAsia" w:hAnsiTheme="minorEastAsia" w:eastAsiaTheme="minorEastAsia" w:cstheme="minorEastAsia"/>
          <w:spacing w:val="-3"/>
          <w:sz w:val="24"/>
          <w:szCs w:val="24"/>
        </w:rPr>
      </w:pPr>
      <w:r>
        <w:rPr>
          <w:rFonts w:hint="eastAsia" w:asciiTheme="minorEastAsia" w:hAnsiTheme="minorEastAsia" w:eastAsiaTheme="minorEastAsia" w:cstheme="minorEastAsia"/>
          <w:spacing w:val="1"/>
          <w:sz w:val="24"/>
          <w:szCs w:val="24"/>
        </w:rPr>
        <w:t>对场地恢复植被，考虑周围植被、周围场地复垦方向等因素，复垦为灌木，</w:t>
      </w:r>
      <w:r>
        <w:rPr>
          <w:rFonts w:hint="eastAsia" w:asciiTheme="minorEastAsia" w:hAnsiTheme="minorEastAsia" w:eastAsiaTheme="minorEastAsia" w:cstheme="minorEastAsia"/>
          <w:spacing w:val="-2"/>
          <w:sz w:val="24"/>
          <w:szCs w:val="24"/>
        </w:rPr>
        <w:t>树种选择山杏，栽植山杏株行距2m×2m,每坑1株，</w:t>
      </w:r>
      <w:r>
        <w:rPr>
          <w:rFonts w:hint="eastAsia" w:asciiTheme="minorEastAsia" w:hAnsiTheme="minorEastAsia" w:eastAsiaTheme="minorEastAsia" w:cstheme="minorEastAsia"/>
          <w:spacing w:val="-3"/>
          <w:sz w:val="24"/>
          <w:szCs w:val="24"/>
        </w:rPr>
        <w:t>种植山杏400株。</w:t>
      </w:r>
    </w:p>
    <w:p w14:paraId="6B78A507">
      <w:pPr>
        <w:pStyle w:val="5"/>
        <w:spacing w:before="166" w:line="220" w:lineRule="auto"/>
        <w:ind w:firstLine="1400" w:firstLineChars="700"/>
        <w:rPr>
          <w:position w:val="-50"/>
        </w:rPr>
      </w:pPr>
      <w:r>
        <w:rPr>
          <w:position w:val="-50"/>
        </w:rPr>
        <w:drawing>
          <wp:inline distT="0" distB="0" distL="0" distR="0">
            <wp:extent cx="3520440" cy="1609090"/>
            <wp:effectExtent l="0" t="0" r="3810" b="10160"/>
            <wp:docPr id="266" name="IM 266"/>
            <wp:cNvGraphicFramePr/>
            <a:graphic xmlns:a="http://schemas.openxmlformats.org/drawingml/2006/main">
              <a:graphicData uri="http://schemas.openxmlformats.org/drawingml/2006/picture">
                <pic:pic xmlns:pic="http://schemas.openxmlformats.org/drawingml/2006/picture">
                  <pic:nvPicPr>
                    <pic:cNvPr id="266" name="IM 266"/>
                    <pic:cNvPicPr/>
                  </pic:nvPicPr>
                  <pic:blipFill>
                    <a:blip r:embed="rId28"/>
                    <a:stretch>
                      <a:fillRect/>
                    </a:stretch>
                  </pic:blipFill>
                  <pic:spPr>
                    <a:xfrm>
                      <a:off x="0" y="0"/>
                      <a:ext cx="3520804" cy="1609238"/>
                    </a:xfrm>
                    <a:prstGeom prst="rect">
                      <a:avLst/>
                    </a:prstGeom>
                  </pic:spPr>
                </pic:pic>
              </a:graphicData>
            </a:graphic>
          </wp:inline>
        </w:drawing>
      </w:r>
    </w:p>
    <w:p w14:paraId="6856FF21">
      <w:pPr>
        <w:pStyle w:val="5"/>
        <w:spacing w:before="166" w:line="220" w:lineRule="auto"/>
        <w:ind w:firstLine="2458" w:firstLineChars="1200"/>
        <w:rPr>
          <w:b/>
          <w:bCs/>
          <w:sz w:val="21"/>
          <w:szCs w:val="21"/>
        </w:rPr>
      </w:pPr>
      <w:r>
        <w:rPr>
          <w:b/>
          <w:bCs/>
          <w:spacing w:val="-3"/>
          <w:sz w:val="21"/>
          <w:szCs w:val="21"/>
        </w:rPr>
        <w:t>图</w:t>
      </w:r>
      <w:r>
        <w:rPr>
          <w:rFonts w:hint="eastAsia"/>
          <w:b/>
          <w:bCs/>
          <w:spacing w:val="-28"/>
          <w:sz w:val="21"/>
          <w:szCs w:val="21"/>
          <w:lang w:val="en-US" w:eastAsia="zh-CN"/>
        </w:rPr>
        <w:t>5</w:t>
      </w:r>
      <w:r>
        <w:rPr>
          <w:b/>
          <w:bCs/>
          <w:spacing w:val="-3"/>
          <w:sz w:val="21"/>
          <w:szCs w:val="21"/>
        </w:rPr>
        <w:t>-2矿区道路综合治理效果剖面图</w:t>
      </w:r>
    </w:p>
    <w:p w14:paraId="767490F2">
      <w:pPr>
        <w:pStyle w:val="5"/>
        <w:spacing w:line="360" w:lineRule="auto"/>
        <w:ind w:left="0" w:right="0" w:firstLine="472" w:firstLineChars="200"/>
        <w:rPr>
          <w:sz w:val="24"/>
          <w:szCs w:val="24"/>
        </w:rPr>
      </w:pPr>
      <w:r>
        <w:rPr>
          <w:rFonts w:hint="eastAsia" w:ascii="Times New Roman" w:hAnsi="Times New Roman" w:eastAsia="宋体" w:cs="Times New Roman"/>
          <w:spacing w:val="-2"/>
          <w:sz w:val="24"/>
          <w:szCs w:val="24"/>
          <w:lang w:val="en-US" w:eastAsia="zh-CN"/>
        </w:rPr>
        <w:t>6、</w:t>
      </w:r>
      <w:r>
        <w:rPr>
          <w:rFonts w:ascii="Times New Roman" w:hAnsi="Times New Roman" w:eastAsia="Times New Roman" w:cs="Times New Roman"/>
          <w:spacing w:val="-2"/>
          <w:sz w:val="24"/>
          <w:szCs w:val="24"/>
        </w:rPr>
        <w:t>SJ15</w:t>
      </w:r>
      <w:r>
        <w:rPr>
          <w:spacing w:val="-2"/>
          <w:sz w:val="24"/>
          <w:szCs w:val="24"/>
        </w:rPr>
        <w:t>工业场地</w:t>
      </w:r>
    </w:p>
    <w:p w14:paraId="03E7BA7A">
      <w:pPr>
        <w:pStyle w:val="5"/>
        <w:numPr>
          <w:ilvl w:val="0"/>
          <w:numId w:val="14"/>
        </w:numPr>
        <w:spacing w:line="360" w:lineRule="auto"/>
        <w:ind w:left="905" w:leftChars="0" w:right="0" w:rightChars="0" w:hanging="425" w:firstLineChars="0"/>
        <w:rPr>
          <w:sz w:val="24"/>
          <w:szCs w:val="24"/>
        </w:rPr>
      </w:pPr>
      <w:r>
        <w:rPr>
          <w:spacing w:val="-10"/>
          <w:sz w:val="24"/>
          <w:szCs w:val="24"/>
        </w:rPr>
        <w:t>拆除</w:t>
      </w:r>
    </w:p>
    <w:p w14:paraId="09557A9D">
      <w:pPr>
        <w:pStyle w:val="5"/>
        <w:spacing w:line="360" w:lineRule="auto"/>
        <w:ind w:left="0" w:right="0" w:firstLine="472" w:firstLineChars="200"/>
        <w:rPr>
          <w:sz w:val="24"/>
          <w:szCs w:val="24"/>
        </w:rPr>
      </w:pPr>
      <w:r>
        <w:rPr>
          <w:spacing w:val="-2"/>
          <w:sz w:val="24"/>
          <w:szCs w:val="24"/>
        </w:rPr>
        <w:t>拆除场地内建筑物，高度为</w:t>
      </w:r>
      <w:r>
        <w:rPr>
          <w:rFonts w:ascii="Times New Roman" w:hAnsi="Times New Roman" w:eastAsia="Times New Roman" w:cs="Times New Roman"/>
          <w:spacing w:val="-2"/>
          <w:sz w:val="24"/>
          <w:szCs w:val="24"/>
        </w:rPr>
        <w:t>5m</w:t>
      </w:r>
      <w:r>
        <w:rPr>
          <w:spacing w:val="-2"/>
          <w:sz w:val="24"/>
          <w:szCs w:val="24"/>
        </w:rPr>
        <w:t>，面积为6382</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3"/>
          <w:position w:val="10"/>
          <w:sz w:val="15"/>
          <w:szCs w:val="15"/>
        </w:rPr>
        <w:t>2</w:t>
      </w:r>
      <w:r>
        <w:rPr>
          <w:spacing w:val="-3"/>
          <w:sz w:val="24"/>
          <w:szCs w:val="24"/>
        </w:rPr>
        <w:t>，拆除量按容积的</w:t>
      </w:r>
      <w:r>
        <w:rPr>
          <w:rFonts w:ascii="Times New Roman" w:hAnsi="Times New Roman" w:eastAsia="Times New Roman" w:cs="Times New Roman"/>
          <w:spacing w:val="-3"/>
          <w:sz w:val="24"/>
          <w:szCs w:val="24"/>
        </w:rPr>
        <w:t>20%</w:t>
      </w:r>
      <w:r>
        <w:rPr>
          <w:spacing w:val="-3"/>
          <w:sz w:val="24"/>
          <w:szCs w:val="24"/>
        </w:rPr>
        <w:t>计，</w:t>
      </w:r>
      <w:r>
        <w:rPr>
          <w:spacing w:val="4"/>
          <w:sz w:val="24"/>
          <w:szCs w:val="24"/>
        </w:rPr>
        <w:t>则工程量为6382</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10"/>
          <w:sz w:val="15"/>
          <w:szCs w:val="15"/>
        </w:rPr>
        <w:t>2</w:t>
      </w:r>
      <w:r>
        <w:rPr>
          <w:spacing w:val="4"/>
          <w:sz w:val="24"/>
          <w:szCs w:val="24"/>
        </w:rPr>
        <w:t>×</w:t>
      </w:r>
      <w:r>
        <w:rPr>
          <w:rFonts w:ascii="Times New Roman" w:hAnsi="Times New Roman" w:eastAsia="Times New Roman" w:cs="Times New Roman"/>
          <w:spacing w:val="4"/>
          <w:sz w:val="24"/>
          <w:szCs w:val="24"/>
        </w:rPr>
        <w:t>5m</w:t>
      </w:r>
      <w:r>
        <w:rPr>
          <w:spacing w:val="4"/>
          <w:sz w:val="24"/>
          <w:szCs w:val="24"/>
        </w:rPr>
        <w:t>×</w:t>
      </w:r>
      <w:r>
        <w:rPr>
          <w:rFonts w:ascii="Times New Roman" w:hAnsi="Times New Roman" w:eastAsia="Times New Roman" w:cs="Times New Roman"/>
          <w:spacing w:val="4"/>
          <w:sz w:val="24"/>
          <w:szCs w:val="24"/>
        </w:rPr>
        <w:t>20%=</w:t>
      </w:r>
      <w:r>
        <w:rPr>
          <w:spacing w:val="4"/>
          <w:sz w:val="24"/>
          <w:szCs w:val="24"/>
        </w:rPr>
        <w:t>63</w:t>
      </w:r>
      <w:r>
        <w:rPr>
          <w:spacing w:val="3"/>
          <w:sz w:val="24"/>
          <w:szCs w:val="24"/>
        </w:rPr>
        <w:t>82</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10"/>
          <w:sz w:val="15"/>
          <w:szCs w:val="15"/>
        </w:rPr>
        <w:t>3</w:t>
      </w:r>
      <w:r>
        <w:rPr>
          <w:spacing w:val="3"/>
          <w:sz w:val="24"/>
          <w:szCs w:val="24"/>
        </w:rPr>
        <w:t>；场地硬化厚度约</w:t>
      </w:r>
      <w:r>
        <w:rPr>
          <w:rFonts w:ascii="Times New Roman" w:hAnsi="Times New Roman" w:eastAsia="Times New Roman" w:cs="Times New Roman"/>
          <w:spacing w:val="3"/>
          <w:sz w:val="24"/>
          <w:szCs w:val="24"/>
        </w:rPr>
        <w:t>30</w:t>
      </w:r>
      <w:r>
        <w:rPr>
          <w:rFonts w:ascii="Times New Roman" w:hAnsi="Times New Roman" w:eastAsia="Times New Roman" w:cs="Times New Roman"/>
          <w:sz w:val="24"/>
          <w:szCs w:val="24"/>
        </w:rPr>
        <w:t>cm</w:t>
      </w:r>
      <w:r>
        <w:rPr>
          <w:spacing w:val="3"/>
          <w:sz w:val="24"/>
          <w:szCs w:val="24"/>
        </w:rPr>
        <w:t>，硬化面积约</w:t>
      </w:r>
      <w:r>
        <w:rPr>
          <w:rFonts w:ascii="Times New Roman" w:hAnsi="Times New Roman" w:eastAsia="Times New Roman" w:cs="Times New Roman"/>
          <w:spacing w:val="-1"/>
          <w:sz w:val="24"/>
          <w:szCs w:val="24"/>
        </w:rPr>
        <w:t>12000m</w:t>
      </w:r>
      <w:r>
        <w:rPr>
          <w:rFonts w:ascii="Times New Roman" w:hAnsi="Times New Roman" w:eastAsia="Times New Roman" w:cs="Times New Roman"/>
          <w:spacing w:val="-1"/>
          <w:position w:val="10"/>
          <w:sz w:val="15"/>
          <w:szCs w:val="15"/>
        </w:rPr>
        <w:t>2</w:t>
      </w:r>
      <w:r>
        <w:rPr>
          <w:spacing w:val="-1"/>
          <w:sz w:val="24"/>
          <w:szCs w:val="24"/>
        </w:rPr>
        <w:t>，硬化拆除量为</w:t>
      </w:r>
      <w:r>
        <w:rPr>
          <w:rFonts w:ascii="Times New Roman" w:hAnsi="Times New Roman" w:eastAsia="Times New Roman" w:cs="Times New Roman"/>
          <w:spacing w:val="-1"/>
          <w:sz w:val="24"/>
          <w:szCs w:val="24"/>
        </w:rPr>
        <w:t>3600m</w:t>
      </w:r>
      <w:r>
        <w:rPr>
          <w:rFonts w:ascii="Times New Roman" w:hAnsi="Times New Roman" w:eastAsia="Times New Roman" w:cs="Times New Roman"/>
          <w:spacing w:val="-1"/>
          <w:position w:val="10"/>
          <w:sz w:val="15"/>
          <w:szCs w:val="15"/>
        </w:rPr>
        <w:t>3</w:t>
      </w:r>
      <w:r>
        <w:rPr>
          <w:spacing w:val="-1"/>
          <w:sz w:val="24"/>
          <w:szCs w:val="24"/>
        </w:rPr>
        <w:t>；合计</w:t>
      </w:r>
      <w:r>
        <w:rPr>
          <w:spacing w:val="-2"/>
          <w:sz w:val="24"/>
          <w:szCs w:val="24"/>
        </w:rPr>
        <w:t>拆除量为</w:t>
      </w:r>
      <w:r>
        <w:rPr>
          <w:rFonts w:ascii="Times New Roman" w:hAnsi="Times New Roman" w:eastAsia="Times New Roman" w:cs="Times New Roman"/>
          <w:spacing w:val="-2"/>
          <w:sz w:val="24"/>
          <w:szCs w:val="24"/>
        </w:rPr>
        <w:t>9982m</w:t>
      </w:r>
      <w:r>
        <w:rPr>
          <w:rFonts w:ascii="Times New Roman" w:hAnsi="Times New Roman" w:eastAsia="Times New Roman" w:cs="Times New Roman"/>
          <w:spacing w:val="-2"/>
          <w:position w:val="10"/>
          <w:sz w:val="15"/>
          <w:szCs w:val="15"/>
        </w:rPr>
        <w:t>3</w:t>
      </w:r>
      <w:r>
        <w:rPr>
          <w:spacing w:val="-2"/>
          <w:sz w:val="24"/>
          <w:szCs w:val="24"/>
        </w:rPr>
        <w:t>。</w:t>
      </w:r>
    </w:p>
    <w:p w14:paraId="354EA84B">
      <w:pPr>
        <w:pStyle w:val="5"/>
        <w:numPr>
          <w:ilvl w:val="0"/>
          <w:numId w:val="0"/>
        </w:numPr>
        <w:spacing w:line="360" w:lineRule="auto"/>
        <w:ind w:right="0" w:rightChars="0"/>
        <w:rPr>
          <w:sz w:val="24"/>
          <w:szCs w:val="24"/>
        </w:rPr>
      </w:pPr>
      <w:r>
        <w:rPr>
          <w:spacing w:val="-4"/>
          <w:sz w:val="24"/>
          <w:szCs w:val="24"/>
        </w:rPr>
        <w:t>回填</w:t>
      </w:r>
    </w:p>
    <w:p w14:paraId="7ED9817A">
      <w:pPr>
        <w:pStyle w:val="5"/>
        <w:spacing w:line="360" w:lineRule="auto"/>
        <w:ind w:left="0" w:right="0" w:firstLine="476" w:firstLineChars="200"/>
        <w:rPr>
          <w:sz w:val="24"/>
          <w:szCs w:val="24"/>
        </w:rPr>
      </w:pPr>
      <w:r>
        <w:rPr>
          <w:spacing w:val="-1"/>
          <w:sz w:val="24"/>
          <w:szCs w:val="24"/>
        </w:rPr>
        <w:t>利用拆除建筑固废对井筒回填，回填深度</w:t>
      </w:r>
      <w:r>
        <w:rPr>
          <w:rFonts w:ascii="Times New Roman" w:hAnsi="Times New Roman" w:eastAsia="Times New Roman" w:cs="Times New Roman"/>
          <w:spacing w:val="-1"/>
          <w:sz w:val="24"/>
          <w:szCs w:val="24"/>
        </w:rPr>
        <w:t>290m</w:t>
      </w:r>
      <w:r>
        <w:rPr>
          <w:spacing w:val="-1"/>
          <w:sz w:val="24"/>
          <w:szCs w:val="24"/>
        </w:rPr>
        <w:t>，回填至距井口</w:t>
      </w:r>
      <w:r>
        <w:rPr>
          <w:rFonts w:ascii="Times New Roman" w:hAnsi="Times New Roman" w:eastAsia="Times New Roman" w:cs="Times New Roman"/>
          <w:spacing w:val="-1"/>
          <w:sz w:val="24"/>
          <w:szCs w:val="24"/>
        </w:rPr>
        <w:t>2m</w:t>
      </w:r>
      <w:r>
        <w:rPr>
          <w:spacing w:val="-1"/>
          <w:sz w:val="24"/>
          <w:szCs w:val="24"/>
        </w:rPr>
        <w:t>处，巷道</w:t>
      </w:r>
      <w:r>
        <w:rPr>
          <w:spacing w:val="-1"/>
          <w:position w:val="1"/>
          <w:sz w:val="24"/>
          <w:szCs w:val="24"/>
        </w:rPr>
        <w:t>断面为</w:t>
      </w:r>
      <w:r>
        <w:rPr>
          <w:rFonts w:ascii="Times New Roman" w:hAnsi="Times New Roman" w:eastAsia="Times New Roman" w:cs="Times New Roman"/>
          <w:spacing w:val="-1"/>
          <w:position w:val="1"/>
          <w:sz w:val="24"/>
          <w:szCs w:val="24"/>
        </w:rPr>
        <w:t>3.1m</w:t>
      </w:r>
      <w:r>
        <w:rPr>
          <w:spacing w:val="-1"/>
          <w:position w:val="1"/>
          <w:sz w:val="24"/>
          <w:szCs w:val="24"/>
        </w:rPr>
        <w:t>×</w:t>
      </w:r>
      <w:r>
        <w:rPr>
          <w:rFonts w:ascii="Times New Roman" w:hAnsi="Times New Roman" w:eastAsia="Times New Roman" w:cs="Times New Roman"/>
          <w:spacing w:val="-1"/>
          <w:position w:val="1"/>
          <w:sz w:val="24"/>
          <w:szCs w:val="24"/>
        </w:rPr>
        <w:t>2.4m</w:t>
      </w:r>
      <w:r>
        <w:rPr>
          <w:spacing w:val="-1"/>
          <w:position w:val="1"/>
          <w:sz w:val="24"/>
          <w:szCs w:val="24"/>
        </w:rPr>
        <w:t>，回填量</w:t>
      </w:r>
      <w:r>
        <w:rPr>
          <w:rFonts w:ascii="Times New Roman" w:hAnsi="Times New Roman" w:eastAsia="Times New Roman" w:cs="Times New Roman"/>
          <w:spacing w:val="-1"/>
          <w:position w:val="1"/>
          <w:sz w:val="24"/>
          <w:szCs w:val="24"/>
        </w:rPr>
        <w:t>3.1m</w:t>
      </w:r>
      <w:r>
        <w:rPr>
          <w:spacing w:val="-1"/>
          <w:position w:val="1"/>
          <w:sz w:val="24"/>
          <w:szCs w:val="24"/>
        </w:rPr>
        <w:t>×</w:t>
      </w:r>
      <w:r>
        <w:rPr>
          <w:rFonts w:ascii="Times New Roman" w:hAnsi="Times New Roman" w:eastAsia="Times New Roman" w:cs="Times New Roman"/>
          <w:spacing w:val="-1"/>
          <w:position w:val="1"/>
          <w:sz w:val="24"/>
          <w:szCs w:val="24"/>
        </w:rPr>
        <w:t>2.4m×</w:t>
      </w:r>
      <w:r>
        <w:rPr>
          <w:spacing w:val="-1"/>
          <w:position w:val="1"/>
          <w:sz w:val="24"/>
          <w:szCs w:val="24"/>
        </w:rPr>
        <w:t>（</w:t>
      </w:r>
      <w:r>
        <w:rPr>
          <w:rFonts w:ascii="Times New Roman" w:hAnsi="Times New Roman" w:eastAsia="Times New Roman" w:cs="Times New Roman"/>
          <w:spacing w:val="-1"/>
          <w:position w:val="1"/>
          <w:sz w:val="24"/>
          <w:szCs w:val="24"/>
        </w:rPr>
        <w:t>290m-2m</w:t>
      </w:r>
      <w:r>
        <w:rPr>
          <w:spacing w:val="-1"/>
          <w:position w:val="1"/>
          <w:sz w:val="24"/>
          <w:szCs w:val="24"/>
        </w:rPr>
        <w:t>）</w:t>
      </w:r>
      <w:r>
        <w:rPr>
          <w:rFonts w:ascii="Times New Roman" w:hAnsi="Times New Roman" w:eastAsia="Times New Roman" w:cs="Times New Roman"/>
          <w:spacing w:val="-1"/>
          <w:position w:val="1"/>
          <w:sz w:val="24"/>
          <w:szCs w:val="24"/>
        </w:rPr>
        <w:t>=2143m</w:t>
      </w:r>
      <w:r>
        <w:rPr>
          <w:rFonts w:ascii="Times New Roman" w:hAnsi="Times New Roman" w:eastAsia="Times New Roman" w:cs="Times New Roman"/>
          <w:spacing w:val="-1"/>
          <w:position w:val="11"/>
          <w:sz w:val="15"/>
          <w:szCs w:val="15"/>
        </w:rPr>
        <w:t>3</w:t>
      </w:r>
      <w:r>
        <w:rPr>
          <w:spacing w:val="-1"/>
          <w:position w:val="1"/>
          <w:sz w:val="24"/>
          <w:szCs w:val="24"/>
        </w:rPr>
        <w:t>。</w:t>
      </w:r>
    </w:p>
    <w:p w14:paraId="1AFF4EEA">
      <w:pPr>
        <w:pStyle w:val="5"/>
        <w:numPr>
          <w:ilvl w:val="0"/>
          <w:numId w:val="14"/>
        </w:numPr>
        <w:spacing w:line="360" w:lineRule="auto"/>
        <w:ind w:left="905" w:leftChars="0" w:right="0" w:rightChars="0" w:hanging="425" w:firstLineChars="0"/>
        <w:rPr>
          <w:sz w:val="24"/>
          <w:szCs w:val="24"/>
        </w:rPr>
      </w:pPr>
      <w:r>
        <w:rPr>
          <w:spacing w:val="-4"/>
          <w:sz w:val="24"/>
          <w:szCs w:val="24"/>
        </w:rPr>
        <w:t>封堵</w:t>
      </w:r>
    </w:p>
    <w:p w14:paraId="436B3524">
      <w:pPr>
        <w:pStyle w:val="5"/>
        <w:spacing w:line="360" w:lineRule="auto"/>
        <w:ind w:left="0" w:right="0" w:firstLine="476" w:firstLineChars="200"/>
        <w:rPr>
          <w:sz w:val="24"/>
          <w:szCs w:val="24"/>
        </w:rPr>
      </w:pPr>
      <w:r>
        <w:rPr>
          <w:spacing w:val="-1"/>
          <w:sz w:val="24"/>
          <w:szCs w:val="24"/>
        </w:rPr>
        <w:t>利用钢筋混凝土对井口进行封堵，设计井口之内正常封堵厚度</w:t>
      </w:r>
      <w:r>
        <w:rPr>
          <w:spacing w:val="-2"/>
          <w:sz w:val="24"/>
          <w:szCs w:val="24"/>
        </w:rPr>
        <w:t>2m，再向上外</w:t>
      </w:r>
      <w:r>
        <w:rPr>
          <w:spacing w:val="2"/>
          <w:sz w:val="24"/>
          <w:szCs w:val="24"/>
        </w:rPr>
        <w:t>扩1m、封堵1m，则封堵工程量</w:t>
      </w:r>
      <w:r>
        <w:rPr>
          <w:rFonts w:ascii="Times New Roman" w:hAnsi="Times New Roman" w:eastAsia="Times New Roman" w:cs="Times New Roman"/>
          <w:spacing w:val="2"/>
          <w:sz w:val="24"/>
          <w:szCs w:val="24"/>
        </w:rPr>
        <w:t>3.1m</w:t>
      </w:r>
      <w:r>
        <w:rPr>
          <w:spacing w:val="2"/>
          <w:sz w:val="24"/>
          <w:szCs w:val="24"/>
        </w:rPr>
        <w:t>×</w:t>
      </w:r>
      <w:r>
        <w:rPr>
          <w:rFonts w:ascii="Times New Roman" w:hAnsi="Times New Roman" w:eastAsia="Times New Roman" w:cs="Times New Roman"/>
          <w:spacing w:val="2"/>
          <w:sz w:val="24"/>
          <w:szCs w:val="24"/>
        </w:rPr>
        <w:t>2.4m</w:t>
      </w:r>
      <w:r>
        <w:rPr>
          <w:spacing w:val="2"/>
          <w:sz w:val="24"/>
          <w:szCs w:val="24"/>
        </w:rPr>
        <w:t>×</w:t>
      </w:r>
      <w:r>
        <w:rPr>
          <w:spacing w:val="1"/>
          <w:sz w:val="24"/>
          <w:szCs w:val="24"/>
        </w:rPr>
        <w:t>2m+（</w:t>
      </w:r>
      <w:r>
        <w:rPr>
          <w:rFonts w:ascii="Times New Roman" w:hAnsi="Times New Roman" w:eastAsia="Times New Roman" w:cs="Times New Roman"/>
          <w:spacing w:val="1"/>
          <w:sz w:val="24"/>
          <w:szCs w:val="24"/>
        </w:rPr>
        <w:t>3.1</w:t>
      </w:r>
      <w:r>
        <w:rPr>
          <w:spacing w:val="1"/>
          <w:sz w:val="24"/>
          <w:szCs w:val="24"/>
        </w:rPr>
        <w:t>m+1m）×（</w:t>
      </w:r>
      <w:r>
        <w:rPr>
          <w:rFonts w:ascii="Times New Roman" w:hAnsi="Times New Roman" w:eastAsia="Times New Roman" w:cs="Times New Roman"/>
          <w:spacing w:val="1"/>
          <w:sz w:val="24"/>
          <w:szCs w:val="24"/>
        </w:rPr>
        <w:t>2.4</w:t>
      </w:r>
      <w:r>
        <w:rPr>
          <w:spacing w:val="1"/>
          <w:sz w:val="24"/>
          <w:szCs w:val="24"/>
        </w:rPr>
        <w:t>m+1m）×</w:t>
      </w:r>
      <w:r>
        <w:rPr>
          <w:spacing w:val="-2"/>
          <w:sz w:val="24"/>
          <w:szCs w:val="24"/>
        </w:rPr>
        <w:t>1m=29m</w:t>
      </w:r>
      <w:r>
        <w:rPr>
          <w:spacing w:val="-2"/>
          <w:position w:val="11"/>
          <w:sz w:val="12"/>
          <w:szCs w:val="12"/>
        </w:rPr>
        <w:t>3</w:t>
      </w:r>
      <w:r>
        <w:rPr>
          <w:spacing w:val="-2"/>
          <w:sz w:val="24"/>
          <w:szCs w:val="24"/>
        </w:rPr>
        <w:t>。</w:t>
      </w:r>
    </w:p>
    <w:p w14:paraId="68F1DA08">
      <w:pPr>
        <w:pStyle w:val="5"/>
        <w:numPr>
          <w:ilvl w:val="0"/>
          <w:numId w:val="0"/>
        </w:numPr>
        <w:spacing w:line="360" w:lineRule="auto"/>
        <w:ind w:right="0" w:rightChars="0"/>
        <w:rPr>
          <w:sz w:val="24"/>
          <w:szCs w:val="24"/>
        </w:rPr>
      </w:pPr>
      <w:r>
        <w:rPr>
          <w:spacing w:val="-3"/>
          <w:sz w:val="24"/>
          <w:szCs w:val="24"/>
        </w:rPr>
        <w:t>清运</w:t>
      </w:r>
    </w:p>
    <w:p w14:paraId="162562C5">
      <w:pPr>
        <w:pStyle w:val="5"/>
        <w:spacing w:line="360" w:lineRule="auto"/>
        <w:ind w:left="0" w:right="0" w:firstLine="476" w:firstLineChars="200"/>
        <w:rPr>
          <w:rFonts w:ascii="Times New Roman" w:hAnsi="Times New Roman" w:eastAsia="Times New Roman" w:cs="Times New Roman"/>
          <w:sz w:val="15"/>
          <w:szCs w:val="15"/>
        </w:rPr>
      </w:pPr>
      <w:r>
        <w:rPr>
          <w:spacing w:val="-1"/>
          <w:sz w:val="24"/>
          <w:szCs w:val="24"/>
        </w:rPr>
        <w:t>设计清理量即为除去回填用的拆除方量，为</w:t>
      </w:r>
      <w:r>
        <w:rPr>
          <w:rFonts w:ascii="Times New Roman" w:hAnsi="Times New Roman" w:eastAsia="Times New Roman" w:cs="Times New Roman"/>
          <w:spacing w:val="-1"/>
          <w:sz w:val="24"/>
          <w:szCs w:val="24"/>
        </w:rPr>
        <w:t>9982m</w:t>
      </w:r>
      <w:r>
        <w:rPr>
          <w:rFonts w:ascii="Times New Roman" w:hAnsi="Times New Roman" w:eastAsia="Times New Roman" w:cs="Times New Roman"/>
          <w:spacing w:val="-1"/>
          <w:position w:val="10"/>
          <w:sz w:val="15"/>
          <w:szCs w:val="15"/>
        </w:rPr>
        <w:t>3</w:t>
      </w:r>
      <w:r>
        <w:rPr>
          <w:rFonts w:ascii="Times New Roman" w:hAnsi="Times New Roman" w:eastAsia="Times New Roman" w:cs="Times New Roman"/>
          <w:spacing w:val="-1"/>
          <w:sz w:val="24"/>
          <w:szCs w:val="24"/>
        </w:rPr>
        <w:t>-2143m</w:t>
      </w:r>
      <w:r>
        <w:rPr>
          <w:rFonts w:ascii="Times New Roman" w:hAnsi="Times New Roman" w:eastAsia="Times New Roman" w:cs="Times New Roman"/>
          <w:spacing w:val="-1"/>
          <w:position w:val="10"/>
          <w:sz w:val="15"/>
          <w:szCs w:val="15"/>
        </w:rPr>
        <w:t>3</w:t>
      </w:r>
      <w:r>
        <w:rPr>
          <w:rFonts w:ascii="Times New Roman" w:hAnsi="Times New Roman" w:eastAsia="Times New Roman" w:cs="Times New Roman"/>
          <w:spacing w:val="-1"/>
          <w:sz w:val="24"/>
          <w:szCs w:val="24"/>
        </w:rPr>
        <w:t>=7839m</w:t>
      </w:r>
      <w:r>
        <w:rPr>
          <w:rFonts w:ascii="Times New Roman" w:hAnsi="Times New Roman" w:eastAsia="Times New Roman" w:cs="Times New Roman"/>
          <w:spacing w:val="-1"/>
          <w:position w:val="10"/>
          <w:sz w:val="15"/>
          <w:szCs w:val="15"/>
        </w:rPr>
        <w:t>3</w:t>
      </w:r>
    </w:p>
    <w:p w14:paraId="1769729C">
      <w:pPr>
        <w:pStyle w:val="5"/>
        <w:numPr>
          <w:ilvl w:val="0"/>
          <w:numId w:val="14"/>
        </w:numPr>
        <w:spacing w:line="360" w:lineRule="auto"/>
        <w:ind w:left="905" w:leftChars="0" w:right="0" w:rightChars="0" w:hanging="425" w:firstLineChars="0"/>
        <w:rPr>
          <w:sz w:val="24"/>
          <w:szCs w:val="24"/>
        </w:rPr>
      </w:pPr>
      <w:r>
        <w:rPr>
          <w:spacing w:val="-4"/>
          <w:sz w:val="24"/>
          <w:szCs w:val="24"/>
        </w:rPr>
        <w:t>覆土整平</w:t>
      </w:r>
    </w:p>
    <w:p w14:paraId="39FFD406">
      <w:pPr>
        <w:pStyle w:val="5"/>
        <w:spacing w:line="360" w:lineRule="auto"/>
        <w:ind w:left="0" w:right="0" w:firstLine="472" w:firstLineChars="200"/>
        <w:rPr>
          <w:sz w:val="24"/>
          <w:szCs w:val="24"/>
        </w:rPr>
      </w:pPr>
      <w:r>
        <w:rPr>
          <w:spacing w:val="-2"/>
          <w:sz w:val="24"/>
          <w:szCs w:val="24"/>
        </w:rPr>
        <w:t>对治理后场地进行覆土整平，复垦面积为</w:t>
      </w:r>
      <w:r>
        <w:rPr>
          <w:rFonts w:ascii="Times New Roman" w:hAnsi="Times New Roman" w:eastAsia="Times New Roman" w:cs="Times New Roman"/>
          <w:spacing w:val="-2"/>
          <w:sz w:val="24"/>
          <w:szCs w:val="24"/>
        </w:rPr>
        <w:t>29817m</w:t>
      </w:r>
      <w:r>
        <w:rPr>
          <w:rFonts w:ascii="Times New Roman" w:hAnsi="Times New Roman" w:eastAsia="Times New Roman" w:cs="Times New Roman"/>
          <w:spacing w:val="-2"/>
          <w:position w:val="10"/>
          <w:sz w:val="15"/>
          <w:szCs w:val="15"/>
        </w:rPr>
        <w:t>2</w:t>
      </w:r>
      <w:r>
        <w:rPr>
          <w:spacing w:val="-2"/>
          <w:sz w:val="24"/>
          <w:szCs w:val="24"/>
        </w:rPr>
        <w:t>，覆土整平厚度</w:t>
      </w:r>
      <w:r>
        <w:rPr>
          <w:rFonts w:ascii="Times New Roman" w:hAnsi="Times New Roman" w:eastAsia="Times New Roman" w:cs="Times New Roman"/>
          <w:spacing w:val="-2"/>
          <w:sz w:val="24"/>
          <w:szCs w:val="24"/>
        </w:rPr>
        <w:t>0.5m</w:t>
      </w:r>
      <w:r>
        <w:rPr>
          <w:spacing w:val="-2"/>
          <w:sz w:val="24"/>
          <w:szCs w:val="24"/>
        </w:rPr>
        <w:t>，覆</w:t>
      </w:r>
      <w:r>
        <w:rPr>
          <w:spacing w:val="-3"/>
          <w:sz w:val="24"/>
          <w:szCs w:val="24"/>
        </w:rPr>
        <w:t>土整平工程量</w:t>
      </w:r>
      <w:r>
        <w:rPr>
          <w:rFonts w:ascii="Times New Roman" w:hAnsi="Times New Roman" w:eastAsia="Times New Roman" w:cs="Times New Roman"/>
          <w:spacing w:val="-3"/>
          <w:sz w:val="24"/>
          <w:szCs w:val="24"/>
        </w:rPr>
        <w:t>14909m</w:t>
      </w:r>
      <w:r>
        <w:rPr>
          <w:rFonts w:ascii="Times New Roman" w:hAnsi="Times New Roman" w:eastAsia="Times New Roman" w:cs="Times New Roman"/>
          <w:spacing w:val="-3"/>
          <w:position w:val="10"/>
          <w:sz w:val="15"/>
          <w:szCs w:val="15"/>
        </w:rPr>
        <w:t>3</w:t>
      </w:r>
      <w:r>
        <w:rPr>
          <w:spacing w:val="-3"/>
          <w:sz w:val="24"/>
          <w:szCs w:val="24"/>
        </w:rPr>
        <w:t>。</w:t>
      </w:r>
    </w:p>
    <w:p w14:paraId="36D87AF1">
      <w:pPr>
        <w:pStyle w:val="5"/>
        <w:numPr>
          <w:ilvl w:val="0"/>
          <w:numId w:val="0"/>
        </w:numPr>
        <w:spacing w:line="360" w:lineRule="auto"/>
        <w:ind w:right="0" w:rightChars="0"/>
        <w:rPr>
          <w:sz w:val="24"/>
          <w:szCs w:val="24"/>
        </w:rPr>
      </w:pPr>
      <w:r>
        <w:rPr>
          <w:spacing w:val="-4"/>
          <w:sz w:val="24"/>
          <w:szCs w:val="24"/>
        </w:rPr>
        <w:t>恢复植被</w:t>
      </w:r>
    </w:p>
    <w:p w14:paraId="0F6FC7F5">
      <w:pPr>
        <w:pStyle w:val="5"/>
        <w:spacing w:line="360" w:lineRule="auto"/>
        <w:ind w:left="0" w:right="0" w:firstLine="512" w:firstLineChars="200"/>
        <w:rPr>
          <w:spacing w:val="-6"/>
          <w:sz w:val="24"/>
          <w:szCs w:val="24"/>
        </w:rPr>
      </w:pPr>
      <w:r>
        <w:rPr>
          <w:spacing w:val="8"/>
          <w:sz w:val="24"/>
          <w:szCs w:val="24"/>
        </w:rPr>
        <w:t>对场地恢复植被，考虑周围植被、周围场地复垦方向等因素，复垦为灌木</w:t>
      </w:r>
      <w:r>
        <w:rPr>
          <w:spacing w:val="-5"/>
          <w:sz w:val="24"/>
          <w:szCs w:val="24"/>
        </w:rPr>
        <w:t>（备选沙棘、油松</w:t>
      </w:r>
      <w:r>
        <w:rPr>
          <w:sz w:val="24"/>
          <w:szCs w:val="24"/>
        </w:rPr>
        <w:t>），</w:t>
      </w:r>
      <w:r>
        <w:rPr>
          <w:spacing w:val="-5"/>
          <w:sz w:val="24"/>
          <w:szCs w:val="24"/>
        </w:rPr>
        <w:t>树种选择山杏，栽植山杏株行距</w:t>
      </w:r>
      <w:r>
        <w:rPr>
          <w:rFonts w:ascii="Times New Roman" w:hAnsi="Times New Roman" w:eastAsia="Times New Roman" w:cs="Times New Roman"/>
          <w:spacing w:val="-5"/>
          <w:sz w:val="24"/>
          <w:szCs w:val="24"/>
        </w:rPr>
        <w:t>2m</w:t>
      </w:r>
      <w:r>
        <w:rPr>
          <w:spacing w:val="-5"/>
          <w:sz w:val="24"/>
          <w:szCs w:val="24"/>
        </w:rPr>
        <w:t>×</w:t>
      </w:r>
      <w:r>
        <w:rPr>
          <w:rFonts w:ascii="Times New Roman" w:hAnsi="Times New Roman" w:eastAsia="Times New Roman" w:cs="Times New Roman"/>
          <w:spacing w:val="-5"/>
          <w:sz w:val="24"/>
          <w:szCs w:val="24"/>
        </w:rPr>
        <w:t>2m,</w:t>
      </w:r>
      <w:r>
        <w:rPr>
          <w:spacing w:val="-5"/>
          <w:sz w:val="24"/>
          <w:szCs w:val="24"/>
        </w:rPr>
        <w:t>每坑</w:t>
      </w:r>
      <w:r>
        <w:rPr>
          <w:rFonts w:ascii="Times New Roman" w:hAnsi="Times New Roman" w:eastAsia="Times New Roman" w:cs="Times New Roman"/>
          <w:spacing w:val="-5"/>
          <w:sz w:val="24"/>
          <w:szCs w:val="24"/>
        </w:rPr>
        <w:t>1</w:t>
      </w:r>
      <w:r>
        <w:rPr>
          <w:spacing w:val="-5"/>
          <w:sz w:val="24"/>
          <w:szCs w:val="24"/>
        </w:rPr>
        <w:t>株，种植</w:t>
      </w:r>
      <w:r>
        <w:rPr>
          <w:spacing w:val="-6"/>
          <w:sz w:val="24"/>
          <w:szCs w:val="24"/>
        </w:rPr>
        <w:t>山杏</w:t>
      </w:r>
      <w:r>
        <w:rPr>
          <w:rFonts w:ascii="Times New Roman" w:hAnsi="Times New Roman" w:eastAsia="Times New Roman" w:cs="Times New Roman"/>
          <w:spacing w:val="-6"/>
          <w:sz w:val="24"/>
          <w:szCs w:val="24"/>
        </w:rPr>
        <w:t>7454</w:t>
      </w:r>
      <w:r>
        <w:rPr>
          <w:spacing w:val="-6"/>
          <w:sz w:val="24"/>
          <w:szCs w:val="24"/>
        </w:rPr>
        <w:t>株。</w:t>
      </w:r>
    </w:p>
    <w:p w14:paraId="39E5854F">
      <w:pPr>
        <w:pStyle w:val="5"/>
        <w:spacing w:line="360" w:lineRule="auto"/>
        <w:ind w:left="2398" w:leftChars="166" w:right="0" w:hanging="2000" w:hangingChars="1000"/>
        <w:rPr>
          <w:rFonts w:hint="eastAsia" w:asciiTheme="minorEastAsia" w:hAnsiTheme="minorEastAsia" w:eastAsiaTheme="minorEastAsia" w:cstheme="minorEastAsia"/>
          <w:b/>
          <w:bCs/>
          <w:spacing w:val="-6"/>
          <w:sz w:val="21"/>
          <w:szCs w:val="21"/>
        </w:rPr>
      </w:pPr>
      <w:r>
        <w:rPr>
          <w:position w:val="-55"/>
        </w:rPr>
        <w:drawing>
          <wp:inline distT="0" distB="0" distL="0" distR="0">
            <wp:extent cx="5328285" cy="1761490"/>
            <wp:effectExtent l="0" t="0" r="5715" b="10160"/>
            <wp:docPr id="268" name="IM 268"/>
            <wp:cNvGraphicFramePr/>
            <a:graphic xmlns:a="http://schemas.openxmlformats.org/drawingml/2006/main">
              <a:graphicData uri="http://schemas.openxmlformats.org/drawingml/2006/picture">
                <pic:pic xmlns:pic="http://schemas.openxmlformats.org/drawingml/2006/picture">
                  <pic:nvPicPr>
                    <pic:cNvPr id="268" name="IM 268"/>
                    <pic:cNvPicPr/>
                  </pic:nvPicPr>
                  <pic:blipFill>
                    <a:blip r:embed="rId29"/>
                    <a:stretch>
                      <a:fillRect/>
                    </a:stretch>
                  </pic:blipFill>
                  <pic:spPr>
                    <a:xfrm>
                      <a:off x="0" y="0"/>
                      <a:ext cx="5328385" cy="1761688"/>
                    </a:xfrm>
                    <a:prstGeom prst="rect">
                      <a:avLst/>
                    </a:prstGeom>
                  </pic:spPr>
                </pic:pic>
              </a:graphicData>
            </a:graphic>
          </wp:inline>
        </w:drawing>
      </w:r>
      <w:r>
        <w:rPr>
          <w:rFonts w:hint="eastAsia" w:asciiTheme="minorEastAsia" w:hAnsiTheme="minorEastAsia" w:eastAsiaTheme="minorEastAsia" w:cstheme="minorEastAsia"/>
          <w:b/>
          <w:bCs/>
          <w:spacing w:val="-3"/>
          <w:sz w:val="21"/>
          <w:szCs w:val="21"/>
        </w:rPr>
        <w:t>图</w:t>
      </w:r>
      <w:r>
        <w:rPr>
          <w:rFonts w:hint="eastAsia" w:asciiTheme="minorEastAsia" w:hAnsiTheme="minorEastAsia" w:eastAsiaTheme="minorEastAsia" w:cstheme="minorEastAsia"/>
          <w:b/>
          <w:bCs/>
          <w:spacing w:val="-40"/>
          <w:sz w:val="21"/>
          <w:szCs w:val="21"/>
          <w:lang w:val="en-US" w:eastAsia="zh-CN"/>
        </w:rPr>
        <w:t>5</w:t>
      </w:r>
      <w:r>
        <w:rPr>
          <w:rFonts w:hint="eastAsia" w:asciiTheme="minorEastAsia" w:hAnsiTheme="minorEastAsia" w:eastAsiaTheme="minorEastAsia" w:cstheme="minorEastAsia"/>
          <w:b/>
          <w:bCs/>
          <w:spacing w:val="-3"/>
          <w:sz w:val="21"/>
          <w:szCs w:val="21"/>
        </w:rPr>
        <w:t>-3SJ15工业场地综合治理效果剖</w:t>
      </w:r>
      <w:r>
        <w:rPr>
          <w:rFonts w:hint="eastAsia" w:asciiTheme="minorEastAsia" w:hAnsiTheme="minorEastAsia" w:eastAsiaTheme="minorEastAsia" w:cstheme="minorEastAsia"/>
          <w:b/>
          <w:bCs/>
          <w:spacing w:val="-4"/>
          <w:sz w:val="21"/>
          <w:szCs w:val="21"/>
        </w:rPr>
        <w:t>面图</w:t>
      </w:r>
    </w:p>
    <w:p w14:paraId="0A787DDB">
      <w:pPr>
        <w:pStyle w:val="5"/>
        <w:spacing w:line="360" w:lineRule="auto"/>
        <w:ind w:left="0" w:right="0" w:firstLine="47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lang w:val="en-US" w:eastAsia="zh-CN"/>
        </w:rPr>
        <w:t>7、</w:t>
      </w:r>
      <w:r>
        <w:rPr>
          <w:rFonts w:hint="eastAsia" w:asciiTheme="minorEastAsia" w:hAnsiTheme="minorEastAsia" w:eastAsiaTheme="minorEastAsia" w:cstheme="minorEastAsia"/>
          <w:spacing w:val="-2"/>
          <w:sz w:val="24"/>
          <w:szCs w:val="24"/>
        </w:rPr>
        <w:t>SJ2工业场地</w:t>
      </w:r>
    </w:p>
    <w:p w14:paraId="45990D92">
      <w:pPr>
        <w:pStyle w:val="5"/>
        <w:numPr>
          <w:ilvl w:val="0"/>
          <w:numId w:val="15"/>
        </w:numPr>
        <w:spacing w:line="360" w:lineRule="auto"/>
        <w:ind w:left="480" w:leftChars="0" w:right="0" w:rightChars="0"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0"/>
          <w:sz w:val="24"/>
          <w:szCs w:val="24"/>
        </w:rPr>
        <w:t>拆除</w:t>
      </w:r>
    </w:p>
    <w:p w14:paraId="73B4A1B7">
      <w:pPr>
        <w:pStyle w:val="5"/>
        <w:spacing w:line="360" w:lineRule="auto"/>
        <w:ind w:left="0" w:right="0" w:firstLine="47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拆除场地内建筑物，高度为5m，面积为6250m</w:t>
      </w:r>
      <w:r>
        <w:rPr>
          <w:rFonts w:hint="eastAsia" w:asciiTheme="minorEastAsia" w:hAnsiTheme="minorEastAsia" w:eastAsiaTheme="minorEastAsia" w:cstheme="minorEastAsia"/>
          <w:spacing w:val="-2"/>
          <w:sz w:val="24"/>
          <w:szCs w:val="24"/>
          <w:vertAlign w:val="superscript"/>
          <w:lang w:val="en-US" w:eastAsia="zh-CN"/>
        </w:rPr>
        <w:t>2</w:t>
      </w:r>
      <w:r>
        <w:rPr>
          <w:rFonts w:hint="eastAsia" w:asciiTheme="minorEastAsia" w:hAnsiTheme="minorEastAsia" w:eastAsiaTheme="minorEastAsia" w:cstheme="minorEastAsia"/>
          <w:spacing w:val="-3"/>
          <w:sz w:val="24"/>
          <w:szCs w:val="24"/>
        </w:rPr>
        <w:t>，拆除量按容积的20%计，</w:t>
      </w:r>
      <w:r>
        <w:rPr>
          <w:rFonts w:hint="eastAsia" w:asciiTheme="minorEastAsia" w:hAnsiTheme="minorEastAsia" w:eastAsiaTheme="minorEastAsia" w:cstheme="minorEastAsia"/>
          <w:spacing w:val="4"/>
          <w:sz w:val="24"/>
          <w:szCs w:val="24"/>
        </w:rPr>
        <w:t>则工程量为6250m</w:t>
      </w:r>
      <w:r>
        <w:rPr>
          <w:rFonts w:hint="eastAsia" w:asciiTheme="minorEastAsia" w:hAnsiTheme="minorEastAsia" w:eastAsiaTheme="minorEastAsia" w:cstheme="minorEastAsia"/>
          <w:spacing w:val="6"/>
          <w:sz w:val="24"/>
          <w:szCs w:val="24"/>
          <w:vertAlign w:val="superscript"/>
          <w:lang w:val="en-US" w:eastAsia="zh-CN"/>
        </w:rPr>
        <w:t>2</w:t>
      </w:r>
      <w:r>
        <w:rPr>
          <w:rFonts w:hint="eastAsia" w:asciiTheme="minorEastAsia" w:hAnsiTheme="minorEastAsia" w:eastAsiaTheme="minorEastAsia" w:cstheme="minorEastAsia"/>
          <w:spacing w:val="4"/>
          <w:sz w:val="24"/>
          <w:szCs w:val="24"/>
        </w:rPr>
        <w:t>×5m×20%=6250m</w:t>
      </w:r>
      <w:r>
        <w:rPr>
          <w:rFonts w:hint="eastAsia" w:asciiTheme="minorEastAsia" w:hAnsiTheme="minorEastAsia" w:eastAsiaTheme="minorEastAsia" w:cstheme="minorEastAsia"/>
          <w:spacing w:val="6"/>
          <w:sz w:val="24"/>
          <w:szCs w:val="24"/>
          <w:vertAlign w:val="superscript"/>
          <w:lang w:val="en-US" w:eastAsia="zh-CN"/>
        </w:rPr>
        <w:t>3</w:t>
      </w:r>
      <w:r>
        <w:rPr>
          <w:rFonts w:hint="eastAsia" w:asciiTheme="minorEastAsia" w:hAnsiTheme="minorEastAsia" w:eastAsiaTheme="minorEastAsia" w:cstheme="minorEastAsia"/>
          <w:spacing w:val="3"/>
          <w:sz w:val="24"/>
          <w:szCs w:val="24"/>
        </w:rPr>
        <w:t>；场地硬化厚度约30</w:t>
      </w:r>
      <w:r>
        <w:rPr>
          <w:rFonts w:hint="eastAsia" w:asciiTheme="minorEastAsia" w:hAnsiTheme="minorEastAsia" w:eastAsiaTheme="minorEastAsia" w:cstheme="minorEastAsia"/>
          <w:sz w:val="24"/>
          <w:szCs w:val="24"/>
        </w:rPr>
        <w:t>cm</w:t>
      </w:r>
      <w:r>
        <w:rPr>
          <w:rFonts w:hint="eastAsia" w:asciiTheme="minorEastAsia" w:hAnsiTheme="minorEastAsia" w:eastAsiaTheme="minorEastAsia" w:cstheme="minorEastAsia"/>
          <w:spacing w:val="3"/>
          <w:sz w:val="24"/>
          <w:szCs w:val="24"/>
        </w:rPr>
        <w:t>，硬化面积约</w:t>
      </w:r>
      <w:r>
        <w:rPr>
          <w:rFonts w:hint="eastAsia" w:asciiTheme="minorEastAsia" w:hAnsiTheme="minorEastAsia" w:eastAsiaTheme="minorEastAsia" w:cstheme="minorEastAsia"/>
          <w:spacing w:val="-3"/>
          <w:sz w:val="24"/>
          <w:szCs w:val="24"/>
        </w:rPr>
        <w:t>6000m</w:t>
      </w:r>
      <w:r>
        <w:rPr>
          <w:rFonts w:hint="eastAsia" w:asciiTheme="minorEastAsia" w:hAnsiTheme="minorEastAsia" w:eastAsiaTheme="minorEastAsia" w:cstheme="minorEastAsia"/>
          <w:spacing w:val="-6"/>
          <w:sz w:val="24"/>
          <w:szCs w:val="24"/>
          <w:vertAlign w:val="superscript"/>
          <w:lang w:val="en-US" w:eastAsia="zh-CN"/>
        </w:rPr>
        <w:t>2</w:t>
      </w:r>
      <w:r>
        <w:rPr>
          <w:rFonts w:hint="eastAsia" w:asciiTheme="minorEastAsia" w:hAnsiTheme="minorEastAsia" w:eastAsiaTheme="minorEastAsia" w:cstheme="minorEastAsia"/>
          <w:spacing w:val="-3"/>
          <w:sz w:val="24"/>
          <w:szCs w:val="24"/>
        </w:rPr>
        <w:t>，硬化拆除量为1800m</w:t>
      </w:r>
      <w:r>
        <w:rPr>
          <w:rFonts w:hint="eastAsia" w:asciiTheme="minorEastAsia" w:hAnsiTheme="minorEastAsia" w:eastAsiaTheme="minorEastAsia" w:cstheme="minorEastAsia"/>
          <w:spacing w:val="-6"/>
          <w:sz w:val="24"/>
          <w:szCs w:val="24"/>
          <w:vertAlign w:val="superscript"/>
          <w:lang w:val="en-US" w:eastAsia="zh-CN"/>
        </w:rPr>
        <w:t>3</w:t>
      </w:r>
      <w:r>
        <w:rPr>
          <w:rFonts w:hint="eastAsia" w:asciiTheme="minorEastAsia" w:hAnsiTheme="minorEastAsia" w:eastAsiaTheme="minorEastAsia" w:cstheme="minorEastAsia"/>
          <w:spacing w:val="-3"/>
          <w:sz w:val="24"/>
          <w:szCs w:val="24"/>
        </w:rPr>
        <w:t>；合计拆除量为8050m</w:t>
      </w:r>
      <w:r>
        <w:rPr>
          <w:rFonts w:hint="eastAsia" w:asciiTheme="minorEastAsia" w:hAnsiTheme="minorEastAsia" w:eastAsiaTheme="minorEastAsia" w:cstheme="minorEastAsia"/>
          <w:spacing w:val="-6"/>
          <w:sz w:val="24"/>
          <w:szCs w:val="24"/>
          <w:vertAlign w:val="superscript"/>
          <w:lang w:val="en-US" w:eastAsia="zh-CN"/>
        </w:rPr>
        <w:t>3</w:t>
      </w:r>
      <w:r>
        <w:rPr>
          <w:rFonts w:hint="eastAsia" w:asciiTheme="minorEastAsia" w:hAnsiTheme="minorEastAsia" w:eastAsiaTheme="minorEastAsia" w:cstheme="minorEastAsia"/>
          <w:spacing w:val="-3"/>
          <w:sz w:val="24"/>
          <w:szCs w:val="24"/>
        </w:rPr>
        <w:t>。</w:t>
      </w:r>
    </w:p>
    <w:p w14:paraId="446847CE">
      <w:pPr>
        <w:pStyle w:val="5"/>
        <w:numPr>
          <w:ilvl w:val="0"/>
          <w:numId w:val="15"/>
        </w:numPr>
        <w:spacing w:line="360" w:lineRule="auto"/>
        <w:ind w:left="480" w:leftChars="0" w:right="0" w:rightChars="0"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回填</w:t>
      </w:r>
    </w:p>
    <w:p w14:paraId="79F3E1B7">
      <w:pPr>
        <w:pStyle w:val="5"/>
        <w:spacing w:line="360" w:lineRule="auto"/>
        <w:ind w:left="0" w:right="0" w:firstLine="476"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利用拆除建筑固废对井筒回填，回填深度284m，回填至距井口2m</w:t>
      </w:r>
      <w:r>
        <w:rPr>
          <w:rFonts w:hint="eastAsia" w:asciiTheme="minorEastAsia" w:hAnsiTheme="minorEastAsia" w:eastAsiaTheme="minorEastAsia" w:cstheme="minorEastAsia"/>
          <w:spacing w:val="-2"/>
          <w:sz w:val="24"/>
          <w:szCs w:val="24"/>
        </w:rPr>
        <w:t>处，巷道</w:t>
      </w:r>
      <w:r>
        <w:rPr>
          <w:rFonts w:hint="eastAsia" w:asciiTheme="minorEastAsia" w:hAnsiTheme="minorEastAsia" w:eastAsiaTheme="minorEastAsia" w:cstheme="minorEastAsia"/>
          <w:sz w:val="24"/>
          <w:szCs w:val="24"/>
        </w:rPr>
        <w:t>断面为4.5m×2.4m，回填量4.5</w:t>
      </w:r>
      <w:r>
        <w:rPr>
          <w:rFonts w:hint="eastAsia" w:asciiTheme="minorEastAsia" w:hAnsiTheme="minorEastAsia" w:eastAsiaTheme="minorEastAsia" w:cstheme="minorEastAsia"/>
          <w:spacing w:val="-1"/>
          <w:sz w:val="24"/>
          <w:szCs w:val="24"/>
        </w:rPr>
        <w:t>m×2.4m×（284m-2m）=3046m</w:t>
      </w:r>
      <w:r>
        <w:rPr>
          <w:rFonts w:hint="eastAsia" w:asciiTheme="minorEastAsia" w:hAnsiTheme="minorEastAsia" w:eastAsiaTheme="minorEastAsia" w:cstheme="minorEastAsia"/>
          <w:spacing w:val="-1"/>
          <w:sz w:val="24"/>
          <w:szCs w:val="24"/>
          <w:vertAlign w:val="superscript"/>
          <w:lang w:val="en-US" w:eastAsia="zh-CN"/>
        </w:rPr>
        <w:t>3</w:t>
      </w:r>
      <w:r>
        <w:rPr>
          <w:rFonts w:hint="eastAsia" w:asciiTheme="minorEastAsia" w:hAnsiTheme="minorEastAsia" w:eastAsiaTheme="minorEastAsia" w:cstheme="minorEastAsia"/>
          <w:spacing w:val="-1"/>
          <w:sz w:val="24"/>
          <w:szCs w:val="24"/>
        </w:rPr>
        <w:t>。</w:t>
      </w:r>
    </w:p>
    <w:p w14:paraId="68501F08">
      <w:pPr>
        <w:pStyle w:val="5"/>
        <w:numPr>
          <w:ilvl w:val="0"/>
          <w:numId w:val="15"/>
        </w:numPr>
        <w:spacing w:line="360" w:lineRule="auto"/>
        <w:ind w:left="480" w:leftChars="0" w:right="0" w:rightChars="0"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封堵</w:t>
      </w:r>
    </w:p>
    <w:p w14:paraId="2FB19C77">
      <w:pPr>
        <w:pStyle w:val="5"/>
        <w:spacing w:line="360" w:lineRule="auto"/>
        <w:ind w:left="0" w:right="0" w:firstLine="476"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利用钢筋混凝土对井口进行封堵，设计井口之内正常封堵厚度</w:t>
      </w:r>
      <w:r>
        <w:rPr>
          <w:rFonts w:hint="eastAsia" w:asciiTheme="minorEastAsia" w:hAnsiTheme="minorEastAsia" w:eastAsiaTheme="minorEastAsia" w:cstheme="minorEastAsia"/>
          <w:spacing w:val="-2"/>
          <w:sz w:val="24"/>
          <w:szCs w:val="24"/>
        </w:rPr>
        <w:t>2m，再向上外</w:t>
      </w:r>
      <w:r>
        <w:rPr>
          <w:rFonts w:hint="eastAsia" w:asciiTheme="minorEastAsia" w:hAnsiTheme="minorEastAsia" w:eastAsiaTheme="minorEastAsia" w:cstheme="minorEastAsia"/>
          <w:spacing w:val="2"/>
          <w:sz w:val="24"/>
          <w:szCs w:val="24"/>
        </w:rPr>
        <w:t>扩1m、封堵1m，则封堵工程量4.5m×2.4m×2m+（4.5m+1m）×（2</w:t>
      </w:r>
      <w:r>
        <w:rPr>
          <w:rFonts w:hint="eastAsia" w:asciiTheme="minorEastAsia" w:hAnsiTheme="minorEastAsia" w:eastAsiaTheme="minorEastAsia" w:cstheme="minorEastAsia"/>
          <w:spacing w:val="1"/>
          <w:sz w:val="24"/>
          <w:szCs w:val="24"/>
        </w:rPr>
        <w:t>.4m+1m）×</w:t>
      </w:r>
      <w:r>
        <w:rPr>
          <w:rFonts w:hint="eastAsia" w:asciiTheme="minorEastAsia" w:hAnsiTheme="minorEastAsia" w:eastAsiaTheme="minorEastAsia" w:cstheme="minorEastAsia"/>
          <w:spacing w:val="-4"/>
          <w:sz w:val="24"/>
          <w:szCs w:val="24"/>
        </w:rPr>
        <w:t>1m=40m</w:t>
      </w:r>
      <w:r>
        <w:rPr>
          <w:rFonts w:hint="eastAsia" w:asciiTheme="minorEastAsia" w:hAnsiTheme="minorEastAsia" w:eastAsiaTheme="minorEastAsia" w:cstheme="minorEastAsia"/>
          <w:spacing w:val="-6"/>
          <w:sz w:val="24"/>
          <w:szCs w:val="24"/>
          <w:vertAlign w:val="superscript"/>
          <w:lang w:val="en-US" w:eastAsia="zh-CN"/>
        </w:rPr>
        <w:t>3</w:t>
      </w:r>
      <w:r>
        <w:rPr>
          <w:rFonts w:hint="eastAsia" w:asciiTheme="minorEastAsia" w:hAnsiTheme="minorEastAsia" w:eastAsiaTheme="minorEastAsia" w:cstheme="minorEastAsia"/>
          <w:spacing w:val="-4"/>
          <w:sz w:val="24"/>
          <w:szCs w:val="24"/>
        </w:rPr>
        <w:t>。</w:t>
      </w:r>
    </w:p>
    <w:p w14:paraId="024B2517">
      <w:pPr>
        <w:pStyle w:val="5"/>
        <w:numPr>
          <w:ilvl w:val="0"/>
          <w:numId w:val="15"/>
        </w:numPr>
        <w:spacing w:line="360" w:lineRule="auto"/>
        <w:ind w:left="480" w:leftChars="0" w:right="0" w:rightChars="0"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清运</w:t>
      </w:r>
    </w:p>
    <w:p w14:paraId="11EDCFD3">
      <w:pPr>
        <w:pStyle w:val="5"/>
        <w:spacing w:line="360" w:lineRule="auto"/>
        <w:ind w:left="0" w:right="0" w:firstLine="476"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pacing w:val="-1"/>
          <w:sz w:val="24"/>
          <w:szCs w:val="24"/>
        </w:rPr>
        <w:t>设计清理量即为除去回填用的拆除方量，为8050m</w:t>
      </w:r>
      <w:r>
        <w:rPr>
          <w:rFonts w:hint="eastAsia" w:asciiTheme="minorEastAsia" w:hAnsiTheme="minorEastAsia" w:eastAsiaTheme="minorEastAsia" w:cstheme="minorEastAsia"/>
          <w:spacing w:val="-1"/>
          <w:sz w:val="24"/>
          <w:szCs w:val="24"/>
          <w:vertAlign w:val="superscript"/>
          <w:lang w:val="en-US" w:eastAsia="zh-CN"/>
        </w:rPr>
        <w:t>3</w:t>
      </w:r>
      <w:r>
        <w:rPr>
          <w:rFonts w:hint="eastAsia" w:asciiTheme="minorEastAsia" w:hAnsiTheme="minorEastAsia" w:eastAsiaTheme="minorEastAsia" w:cstheme="minorEastAsia"/>
          <w:spacing w:val="-1"/>
          <w:sz w:val="24"/>
          <w:szCs w:val="24"/>
        </w:rPr>
        <w:t>-3046m</w:t>
      </w:r>
      <w:r>
        <w:rPr>
          <w:rFonts w:hint="eastAsia" w:asciiTheme="minorEastAsia" w:hAnsiTheme="minorEastAsia" w:eastAsiaTheme="minorEastAsia" w:cstheme="minorEastAsia"/>
          <w:spacing w:val="-1"/>
          <w:sz w:val="24"/>
          <w:szCs w:val="24"/>
          <w:vertAlign w:val="superscript"/>
          <w:lang w:val="en-US" w:eastAsia="zh-CN"/>
        </w:rPr>
        <w:t>3</w:t>
      </w:r>
      <w:r>
        <w:rPr>
          <w:rFonts w:hint="eastAsia" w:asciiTheme="minorEastAsia" w:hAnsiTheme="minorEastAsia" w:eastAsiaTheme="minorEastAsia" w:cstheme="minorEastAsia"/>
          <w:spacing w:val="-1"/>
          <w:sz w:val="24"/>
          <w:szCs w:val="24"/>
        </w:rPr>
        <w:t>=5504m</w:t>
      </w:r>
      <w:r>
        <w:rPr>
          <w:rFonts w:hint="eastAsia" w:asciiTheme="minorEastAsia" w:hAnsiTheme="minorEastAsia" w:eastAsiaTheme="minorEastAsia" w:cstheme="minorEastAsia"/>
          <w:spacing w:val="-1"/>
          <w:sz w:val="24"/>
          <w:szCs w:val="24"/>
          <w:vertAlign w:val="superscript"/>
          <w:lang w:val="en-US" w:eastAsia="zh-CN"/>
        </w:rPr>
        <w:t>3</w:t>
      </w:r>
    </w:p>
    <w:p w14:paraId="1C4EC9AC">
      <w:pPr>
        <w:pStyle w:val="5"/>
        <w:numPr>
          <w:ilvl w:val="0"/>
          <w:numId w:val="15"/>
        </w:numPr>
        <w:spacing w:line="360" w:lineRule="auto"/>
        <w:ind w:left="480" w:leftChars="0" w:right="0" w:rightChars="0"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覆土整平</w:t>
      </w:r>
    </w:p>
    <w:p w14:paraId="27053651">
      <w:pPr>
        <w:pStyle w:val="5"/>
        <w:spacing w:line="360" w:lineRule="auto"/>
        <w:ind w:left="0" w:right="0" w:firstLine="468"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对治理后场地进行覆土整平，覆土面积为12493m</w:t>
      </w:r>
      <w:r>
        <w:rPr>
          <w:rFonts w:hint="eastAsia" w:asciiTheme="minorEastAsia" w:hAnsiTheme="minorEastAsia" w:eastAsiaTheme="minorEastAsia" w:cstheme="minorEastAsia"/>
          <w:spacing w:val="-6"/>
          <w:sz w:val="24"/>
          <w:szCs w:val="24"/>
          <w:vertAlign w:val="superscript"/>
          <w:lang w:val="en-US" w:eastAsia="zh-CN"/>
        </w:rPr>
        <w:t>2</w:t>
      </w:r>
      <w:r>
        <w:rPr>
          <w:rFonts w:hint="eastAsia" w:asciiTheme="minorEastAsia" w:hAnsiTheme="minorEastAsia" w:eastAsiaTheme="minorEastAsia" w:cstheme="minorEastAsia"/>
          <w:spacing w:val="-3"/>
          <w:sz w:val="24"/>
          <w:szCs w:val="24"/>
        </w:rPr>
        <w:t>,，覆土厚度1m，覆土量</w:t>
      </w:r>
      <w:r>
        <w:rPr>
          <w:rFonts w:hint="eastAsia" w:asciiTheme="minorEastAsia" w:hAnsiTheme="minorEastAsia" w:eastAsiaTheme="minorEastAsia" w:cstheme="minorEastAsia"/>
          <w:spacing w:val="-5"/>
          <w:sz w:val="24"/>
          <w:szCs w:val="24"/>
        </w:rPr>
        <w:t>为12493m</w:t>
      </w:r>
      <w:r>
        <w:rPr>
          <w:rFonts w:hint="eastAsia" w:asciiTheme="minorEastAsia" w:hAnsiTheme="minorEastAsia" w:eastAsiaTheme="minorEastAsia" w:cstheme="minorEastAsia"/>
          <w:spacing w:val="-6"/>
          <w:sz w:val="24"/>
          <w:szCs w:val="24"/>
          <w:vertAlign w:val="superscript"/>
          <w:lang w:val="en-US" w:eastAsia="zh-CN"/>
        </w:rPr>
        <w:t>3</w:t>
      </w:r>
      <w:r>
        <w:rPr>
          <w:rFonts w:hint="eastAsia" w:asciiTheme="minorEastAsia" w:hAnsiTheme="minorEastAsia" w:eastAsiaTheme="minorEastAsia" w:cstheme="minorEastAsia"/>
          <w:spacing w:val="-5"/>
          <w:sz w:val="24"/>
          <w:szCs w:val="24"/>
        </w:rPr>
        <w:t>。</w:t>
      </w:r>
    </w:p>
    <w:p w14:paraId="1AC1CC31">
      <w:pPr>
        <w:pStyle w:val="5"/>
        <w:numPr>
          <w:ilvl w:val="0"/>
          <w:numId w:val="15"/>
        </w:numPr>
        <w:spacing w:line="360" w:lineRule="auto"/>
        <w:ind w:left="480" w:leftChars="0" w:right="0" w:rightChars="0"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恢复植被</w:t>
      </w:r>
    </w:p>
    <w:p w14:paraId="72A5A512">
      <w:pPr>
        <w:pStyle w:val="5"/>
        <w:spacing w:line="360" w:lineRule="auto"/>
        <w:ind w:left="0" w:right="0" w:firstLine="484" w:firstLineChars="200"/>
        <w:rPr>
          <w:rFonts w:hint="eastAsia" w:asciiTheme="minorEastAsia" w:hAnsiTheme="minorEastAsia" w:eastAsiaTheme="minorEastAsia" w:cstheme="minorEastAsia"/>
          <w:spacing w:val="-2"/>
          <w:position w:val="10"/>
          <w:sz w:val="24"/>
          <w:szCs w:val="24"/>
          <w:lang w:val="en-US" w:eastAsia="zh-CN"/>
        </w:rPr>
      </w:pPr>
      <w:r>
        <w:rPr>
          <w:rFonts w:hint="eastAsia" w:asciiTheme="minorEastAsia" w:hAnsiTheme="minorEastAsia" w:eastAsiaTheme="minorEastAsia" w:cstheme="minorEastAsia"/>
          <w:spacing w:val="1"/>
          <w:sz w:val="24"/>
          <w:szCs w:val="24"/>
        </w:rPr>
        <w:t>恢复耕地面积为12493m</w:t>
      </w:r>
      <w:r>
        <w:rPr>
          <w:rFonts w:hint="eastAsia" w:asciiTheme="minorEastAsia" w:hAnsiTheme="minorEastAsia" w:eastAsiaTheme="minorEastAsia" w:cstheme="minorEastAsia"/>
          <w:spacing w:val="1"/>
          <w:sz w:val="24"/>
          <w:szCs w:val="24"/>
          <w:vertAlign w:val="superscript"/>
          <w:lang w:val="en-US" w:eastAsia="zh-CN"/>
        </w:rPr>
        <w:t>2</w:t>
      </w:r>
      <w:r>
        <w:rPr>
          <w:rFonts w:hint="eastAsia" w:asciiTheme="minorEastAsia" w:hAnsiTheme="minorEastAsia" w:eastAsiaTheme="minorEastAsia" w:cstheme="minorEastAsia"/>
          <w:spacing w:val="1"/>
          <w:sz w:val="24"/>
          <w:szCs w:val="24"/>
        </w:rPr>
        <w:t>，对覆土平整区域先进行撒播草籽，待地力恢复后</w:t>
      </w:r>
      <w:r>
        <w:rPr>
          <w:rFonts w:hint="eastAsia" w:asciiTheme="minorEastAsia" w:hAnsiTheme="minorEastAsia" w:eastAsiaTheme="minorEastAsia" w:cstheme="minorEastAsia"/>
          <w:spacing w:val="-2"/>
          <w:sz w:val="24"/>
          <w:szCs w:val="24"/>
        </w:rPr>
        <w:t>再种植其他作物，撒播草籽面积12493m</w:t>
      </w:r>
      <w:r>
        <w:rPr>
          <w:rFonts w:hint="eastAsia" w:asciiTheme="minorEastAsia" w:hAnsiTheme="minorEastAsia" w:eastAsiaTheme="minorEastAsia" w:cstheme="minorEastAsia"/>
          <w:spacing w:val="-2"/>
          <w:sz w:val="24"/>
          <w:szCs w:val="24"/>
          <w:vertAlign w:val="superscript"/>
          <w:lang w:val="en-US" w:eastAsia="zh-CN"/>
        </w:rPr>
        <w:t>2</w:t>
      </w:r>
    </w:p>
    <w:p w14:paraId="17FD8BF9">
      <w:pPr>
        <w:pStyle w:val="5"/>
        <w:spacing w:before="114" w:line="221" w:lineRule="auto"/>
        <w:ind w:left="2200" w:leftChars="0" w:hanging="2200" w:hangingChars="1100"/>
        <w:rPr>
          <w:rFonts w:hint="eastAsia" w:asciiTheme="minorEastAsia" w:hAnsiTheme="minorEastAsia" w:eastAsiaTheme="minorEastAsia" w:cstheme="minorEastAsia"/>
          <w:b/>
          <w:bCs/>
          <w:sz w:val="21"/>
          <w:szCs w:val="21"/>
        </w:rPr>
      </w:pPr>
      <w:r>
        <w:rPr>
          <w:position w:val="-57"/>
        </w:rPr>
        <w:drawing>
          <wp:inline distT="0" distB="0" distL="0" distR="0">
            <wp:extent cx="5438140" cy="1810385"/>
            <wp:effectExtent l="0" t="0" r="10160" b="18415"/>
            <wp:docPr id="270" name="IM 270"/>
            <wp:cNvGraphicFramePr/>
            <a:graphic xmlns:a="http://schemas.openxmlformats.org/drawingml/2006/main">
              <a:graphicData uri="http://schemas.openxmlformats.org/drawingml/2006/picture">
                <pic:pic xmlns:pic="http://schemas.openxmlformats.org/drawingml/2006/picture">
                  <pic:nvPicPr>
                    <pic:cNvPr id="270" name="IM 270"/>
                    <pic:cNvPicPr/>
                  </pic:nvPicPr>
                  <pic:blipFill>
                    <a:blip r:embed="rId30"/>
                    <a:stretch>
                      <a:fillRect/>
                    </a:stretch>
                  </pic:blipFill>
                  <pic:spPr>
                    <a:xfrm>
                      <a:off x="0" y="0"/>
                      <a:ext cx="5438152" cy="1810689"/>
                    </a:xfrm>
                    <a:prstGeom prst="rect">
                      <a:avLst/>
                    </a:prstGeom>
                  </pic:spPr>
                </pic:pic>
              </a:graphicData>
            </a:graphic>
          </wp:inline>
        </w:drawing>
      </w:r>
      <w:r>
        <w:rPr>
          <w:rFonts w:hint="eastAsia" w:asciiTheme="minorEastAsia" w:hAnsiTheme="minorEastAsia" w:eastAsiaTheme="minorEastAsia" w:cstheme="minorEastAsia"/>
          <w:b/>
          <w:bCs/>
          <w:spacing w:val="-4"/>
          <w:sz w:val="21"/>
          <w:szCs w:val="21"/>
        </w:rPr>
        <w:t>图8-4SJ1工业场地综合治理效果剖面图</w:t>
      </w:r>
    </w:p>
    <w:p w14:paraId="2753F61D">
      <w:pPr>
        <w:pStyle w:val="5"/>
        <w:spacing w:line="360" w:lineRule="auto"/>
        <w:ind w:left="0" w:right="0" w:firstLine="414" w:firstLineChars="200"/>
        <w:rPr>
          <w:rFonts w:hint="eastAsia" w:asciiTheme="minorEastAsia" w:hAnsiTheme="minorEastAsia" w:eastAsiaTheme="minorEastAsia" w:cstheme="minorEastAsia"/>
          <w:b/>
          <w:bCs/>
          <w:spacing w:val="-2"/>
          <w:position w:val="10"/>
          <w:sz w:val="21"/>
          <w:szCs w:val="21"/>
        </w:rPr>
      </w:pPr>
    </w:p>
    <w:p w14:paraId="6ECC0415">
      <w:pPr>
        <w:pStyle w:val="5"/>
        <w:spacing w:line="360" w:lineRule="auto"/>
        <w:ind w:right="0" w:firstLine="492" w:firstLineChars="200"/>
        <w:rPr>
          <w:rFonts w:hint="eastAsia" w:asciiTheme="minorEastAsia" w:hAnsiTheme="minorEastAsia" w:eastAsiaTheme="minorEastAsia" w:cstheme="minorEastAsia"/>
          <w:b/>
          <w:bCs/>
          <w:spacing w:val="-2"/>
          <w:sz w:val="21"/>
          <w:szCs w:val="21"/>
        </w:rPr>
      </w:pPr>
      <w:r>
        <w:rPr>
          <w:spacing w:val="3"/>
          <w:sz w:val="24"/>
          <w:szCs w:val="24"/>
        </w:rPr>
        <w:t>根据近期矿山地质环境保护治理工作部署，制定近期治理工程年度实施</w:t>
      </w:r>
      <w:r>
        <w:rPr>
          <w:spacing w:val="2"/>
          <w:sz w:val="24"/>
          <w:szCs w:val="24"/>
        </w:rPr>
        <w:t>计划</w:t>
      </w:r>
      <w:r>
        <w:rPr>
          <w:spacing w:val="-5"/>
          <w:sz w:val="24"/>
          <w:szCs w:val="24"/>
        </w:rPr>
        <w:t>见表</w:t>
      </w:r>
      <w:r>
        <w:rPr>
          <w:rFonts w:hint="eastAsia"/>
          <w:spacing w:val="-5"/>
          <w:sz w:val="24"/>
          <w:szCs w:val="24"/>
          <w:lang w:val="en-US" w:eastAsia="zh-CN"/>
        </w:rPr>
        <w:t>5-2。</w:t>
      </w:r>
    </w:p>
    <w:p w14:paraId="032146EB">
      <w:pPr>
        <w:pStyle w:val="5"/>
        <w:keepNext w:val="0"/>
        <w:keepLines w:val="0"/>
        <w:pageBreakBefore w:val="0"/>
        <w:widowControl w:val="0"/>
        <w:kinsoku/>
        <w:wordWrap/>
        <w:overflowPunct/>
        <w:topLinePunct w:val="0"/>
        <w:autoSpaceDE/>
        <w:autoSpaceDN/>
        <w:bidi w:val="0"/>
        <w:adjustRightInd/>
        <w:snapToGrid/>
        <w:spacing w:before="0" w:after="0" w:line="360" w:lineRule="auto"/>
        <w:ind w:left="0" w:firstLine="2068" w:firstLineChars="1000"/>
        <w:jc w:val="both"/>
        <w:textAlignment w:val="auto"/>
        <w:rPr>
          <w:rFonts w:hint="eastAsia" w:asciiTheme="minorEastAsia" w:hAnsiTheme="minorEastAsia" w:eastAsiaTheme="minorEastAsia" w:cstheme="minorEastAsia"/>
          <w:b/>
          <w:bCs/>
          <w:spacing w:val="-2"/>
          <w:sz w:val="21"/>
          <w:szCs w:val="21"/>
        </w:rPr>
      </w:pPr>
    </w:p>
    <w:p w14:paraId="2324B2DD">
      <w:pPr>
        <w:pStyle w:val="5"/>
        <w:keepNext w:val="0"/>
        <w:keepLines w:val="0"/>
        <w:pageBreakBefore w:val="0"/>
        <w:widowControl w:val="0"/>
        <w:kinsoku/>
        <w:wordWrap/>
        <w:overflowPunct/>
        <w:topLinePunct w:val="0"/>
        <w:autoSpaceDE/>
        <w:autoSpaceDN/>
        <w:bidi w:val="0"/>
        <w:adjustRightInd/>
        <w:snapToGrid/>
        <w:spacing w:before="0" w:after="0" w:line="360" w:lineRule="auto"/>
        <w:ind w:left="0" w:firstLine="2068" w:firstLineChars="1000"/>
        <w:jc w:val="both"/>
        <w:textAlignment w:val="auto"/>
        <w:rPr>
          <w:rFonts w:hint="eastAsia" w:asciiTheme="minorEastAsia" w:hAnsiTheme="minorEastAsia" w:eastAsiaTheme="minorEastAsia" w:cstheme="minorEastAsia"/>
          <w:b/>
          <w:bCs/>
          <w:spacing w:val="-2"/>
          <w:sz w:val="21"/>
          <w:szCs w:val="21"/>
        </w:rPr>
      </w:pPr>
    </w:p>
    <w:p w14:paraId="4B460501">
      <w:pPr>
        <w:pStyle w:val="5"/>
        <w:keepNext w:val="0"/>
        <w:keepLines w:val="0"/>
        <w:pageBreakBefore w:val="0"/>
        <w:widowControl w:val="0"/>
        <w:kinsoku/>
        <w:wordWrap/>
        <w:overflowPunct/>
        <w:topLinePunct w:val="0"/>
        <w:autoSpaceDE/>
        <w:autoSpaceDN/>
        <w:bidi w:val="0"/>
        <w:adjustRightInd/>
        <w:snapToGrid/>
        <w:spacing w:before="0" w:after="0" w:line="360" w:lineRule="auto"/>
        <w:ind w:left="0" w:firstLine="2068" w:firstLineChars="1000"/>
        <w:jc w:val="both"/>
        <w:textAlignment w:val="auto"/>
        <w:rPr>
          <w:rFonts w:hint="eastAsia" w:asciiTheme="minorEastAsia" w:hAnsiTheme="minorEastAsia" w:eastAsiaTheme="minorEastAsia" w:cstheme="minorEastAsia"/>
          <w:b/>
          <w:bCs/>
          <w:spacing w:val="-2"/>
          <w:sz w:val="21"/>
          <w:szCs w:val="21"/>
        </w:rPr>
      </w:pPr>
    </w:p>
    <w:p w14:paraId="2A78D1C3">
      <w:pPr>
        <w:pStyle w:val="5"/>
        <w:keepNext w:val="0"/>
        <w:keepLines w:val="0"/>
        <w:pageBreakBefore w:val="0"/>
        <w:widowControl w:val="0"/>
        <w:kinsoku/>
        <w:wordWrap/>
        <w:overflowPunct/>
        <w:topLinePunct w:val="0"/>
        <w:autoSpaceDE/>
        <w:autoSpaceDN/>
        <w:bidi w:val="0"/>
        <w:adjustRightInd/>
        <w:snapToGrid/>
        <w:spacing w:before="0" w:after="0" w:line="360" w:lineRule="auto"/>
        <w:ind w:left="0" w:firstLine="2068" w:firstLineChars="1000"/>
        <w:jc w:val="both"/>
        <w:textAlignment w:val="auto"/>
        <w:rPr>
          <w:rFonts w:hint="eastAsia" w:asciiTheme="minorEastAsia" w:hAnsiTheme="minorEastAsia" w:eastAsiaTheme="minorEastAsia" w:cstheme="minorEastAsia"/>
          <w:b/>
          <w:bCs/>
          <w:spacing w:val="-2"/>
          <w:sz w:val="21"/>
          <w:szCs w:val="21"/>
        </w:rPr>
      </w:pPr>
    </w:p>
    <w:p w14:paraId="0897CFF4">
      <w:pPr>
        <w:pStyle w:val="5"/>
        <w:keepNext w:val="0"/>
        <w:keepLines w:val="0"/>
        <w:pageBreakBefore w:val="0"/>
        <w:widowControl w:val="0"/>
        <w:kinsoku/>
        <w:wordWrap/>
        <w:overflowPunct/>
        <w:topLinePunct w:val="0"/>
        <w:autoSpaceDE/>
        <w:autoSpaceDN/>
        <w:bidi w:val="0"/>
        <w:adjustRightInd/>
        <w:snapToGrid/>
        <w:spacing w:before="0" w:after="0" w:line="360" w:lineRule="auto"/>
        <w:ind w:left="0" w:firstLine="2068" w:firstLineChars="1000"/>
        <w:jc w:val="both"/>
        <w:textAlignment w:val="auto"/>
        <w:rPr>
          <w:rFonts w:hint="eastAsia" w:asciiTheme="minorEastAsia" w:hAnsiTheme="minorEastAsia" w:eastAsiaTheme="minorEastAsia" w:cstheme="minorEastAsia"/>
          <w:b/>
          <w:bCs/>
          <w:spacing w:val="-2"/>
          <w:sz w:val="21"/>
          <w:szCs w:val="21"/>
        </w:rPr>
      </w:pPr>
    </w:p>
    <w:p w14:paraId="5294EDD8">
      <w:pPr>
        <w:pStyle w:val="5"/>
        <w:keepNext w:val="0"/>
        <w:keepLines w:val="0"/>
        <w:pageBreakBefore w:val="0"/>
        <w:widowControl w:val="0"/>
        <w:kinsoku/>
        <w:wordWrap/>
        <w:overflowPunct/>
        <w:topLinePunct w:val="0"/>
        <w:autoSpaceDE/>
        <w:autoSpaceDN/>
        <w:bidi w:val="0"/>
        <w:adjustRightInd/>
        <w:snapToGrid/>
        <w:spacing w:before="0" w:after="0" w:line="360" w:lineRule="auto"/>
        <w:ind w:left="0" w:firstLine="2068" w:firstLineChars="1000"/>
        <w:jc w:val="both"/>
        <w:textAlignment w:val="auto"/>
        <w:rPr>
          <w:rFonts w:hint="eastAsia" w:asciiTheme="minorEastAsia" w:hAnsiTheme="minorEastAsia" w:eastAsiaTheme="minorEastAsia" w:cstheme="minorEastAsia"/>
          <w:b/>
          <w:bCs/>
          <w:spacing w:val="-2"/>
          <w:sz w:val="21"/>
          <w:szCs w:val="21"/>
        </w:rPr>
      </w:pPr>
    </w:p>
    <w:p w14:paraId="1FCAC88A">
      <w:pPr>
        <w:pStyle w:val="5"/>
        <w:keepNext w:val="0"/>
        <w:keepLines w:val="0"/>
        <w:pageBreakBefore w:val="0"/>
        <w:widowControl w:val="0"/>
        <w:kinsoku/>
        <w:wordWrap/>
        <w:overflowPunct/>
        <w:topLinePunct w:val="0"/>
        <w:autoSpaceDE/>
        <w:autoSpaceDN/>
        <w:bidi w:val="0"/>
        <w:adjustRightInd/>
        <w:snapToGrid/>
        <w:spacing w:before="0" w:after="0" w:line="360" w:lineRule="auto"/>
        <w:ind w:left="0" w:firstLine="2068" w:firstLineChars="1000"/>
        <w:jc w:val="both"/>
        <w:textAlignment w:val="auto"/>
        <w:rPr>
          <w:rFonts w:hint="eastAsia" w:asciiTheme="minorEastAsia" w:hAnsiTheme="minorEastAsia" w:eastAsiaTheme="minorEastAsia" w:cstheme="minorEastAsia"/>
          <w:b/>
          <w:bCs/>
          <w:spacing w:val="-2"/>
          <w:sz w:val="21"/>
          <w:szCs w:val="21"/>
        </w:rPr>
      </w:pPr>
    </w:p>
    <w:p w14:paraId="4C1AB3C7">
      <w:pPr>
        <w:pStyle w:val="5"/>
        <w:keepNext w:val="0"/>
        <w:keepLines w:val="0"/>
        <w:pageBreakBefore w:val="0"/>
        <w:widowControl w:val="0"/>
        <w:kinsoku/>
        <w:wordWrap/>
        <w:overflowPunct/>
        <w:topLinePunct w:val="0"/>
        <w:autoSpaceDE/>
        <w:autoSpaceDN/>
        <w:bidi w:val="0"/>
        <w:adjustRightInd/>
        <w:snapToGrid/>
        <w:spacing w:before="0" w:after="0" w:line="360" w:lineRule="auto"/>
        <w:ind w:left="0" w:firstLine="2068" w:firstLineChars="1000"/>
        <w:jc w:val="both"/>
        <w:textAlignment w:val="auto"/>
        <w:rPr>
          <w:rFonts w:hint="eastAsia" w:asciiTheme="minorEastAsia" w:hAnsiTheme="minorEastAsia" w:eastAsiaTheme="minorEastAsia" w:cstheme="minorEastAsia"/>
          <w:b/>
          <w:bCs/>
          <w:spacing w:val="-2"/>
          <w:sz w:val="21"/>
          <w:szCs w:val="21"/>
        </w:rPr>
      </w:pPr>
    </w:p>
    <w:p w14:paraId="75EF8BC9">
      <w:pPr>
        <w:pStyle w:val="5"/>
        <w:keepNext w:val="0"/>
        <w:keepLines w:val="0"/>
        <w:pageBreakBefore w:val="0"/>
        <w:widowControl w:val="0"/>
        <w:kinsoku/>
        <w:wordWrap/>
        <w:overflowPunct/>
        <w:topLinePunct w:val="0"/>
        <w:autoSpaceDE/>
        <w:autoSpaceDN/>
        <w:bidi w:val="0"/>
        <w:adjustRightInd/>
        <w:snapToGrid/>
        <w:spacing w:before="0" w:after="0" w:line="360" w:lineRule="auto"/>
        <w:ind w:left="0" w:firstLine="2068" w:firstLineChars="1000"/>
        <w:jc w:val="both"/>
        <w:textAlignment w:val="auto"/>
        <w:rPr>
          <w:rFonts w:hint="eastAsia" w:asciiTheme="minorEastAsia" w:hAnsiTheme="minorEastAsia" w:eastAsiaTheme="minorEastAsia" w:cstheme="minorEastAsia"/>
          <w:b/>
          <w:bCs/>
          <w:spacing w:val="-2"/>
          <w:sz w:val="21"/>
          <w:szCs w:val="21"/>
        </w:rPr>
      </w:pPr>
    </w:p>
    <w:p w14:paraId="70B975BE">
      <w:pPr>
        <w:pStyle w:val="5"/>
        <w:keepNext w:val="0"/>
        <w:keepLines w:val="0"/>
        <w:pageBreakBefore w:val="0"/>
        <w:widowControl w:val="0"/>
        <w:kinsoku/>
        <w:wordWrap/>
        <w:overflowPunct/>
        <w:topLinePunct w:val="0"/>
        <w:autoSpaceDE/>
        <w:autoSpaceDN/>
        <w:bidi w:val="0"/>
        <w:adjustRightInd/>
        <w:snapToGrid/>
        <w:spacing w:before="0" w:after="0" w:line="360" w:lineRule="auto"/>
        <w:ind w:left="0" w:firstLine="2068" w:firstLineChars="1000"/>
        <w:jc w:val="both"/>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pacing w:val="-2"/>
          <w:sz w:val="21"/>
          <w:szCs w:val="21"/>
        </w:rPr>
        <w:t>表</w:t>
      </w:r>
      <w:r>
        <w:rPr>
          <w:rFonts w:hint="eastAsia" w:asciiTheme="minorEastAsia" w:hAnsiTheme="minorEastAsia" w:eastAsiaTheme="minorEastAsia" w:cstheme="minorEastAsia"/>
          <w:b/>
          <w:bCs/>
          <w:spacing w:val="-37"/>
          <w:sz w:val="21"/>
          <w:szCs w:val="21"/>
          <w:lang w:val="en-US" w:eastAsia="zh-CN"/>
        </w:rPr>
        <w:t>5</w:t>
      </w:r>
      <w:r>
        <w:rPr>
          <w:rFonts w:hint="eastAsia" w:asciiTheme="minorEastAsia" w:hAnsiTheme="minorEastAsia" w:eastAsiaTheme="minorEastAsia" w:cstheme="minorEastAsia"/>
          <w:b/>
          <w:bCs/>
          <w:spacing w:val="-2"/>
          <w:sz w:val="21"/>
          <w:szCs w:val="21"/>
        </w:rPr>
        <w:t>-</w:t>
      </w:r>
      <w:r>
        <w:rPr>
          <w:rFonts w:hint="eastAsia" w:asciiTheme="minorEastAsia" w:hAnsiTheme="minorEastAsia" w:eastAsiaTheme="minorEastAsia" w:cstheme="minorEastAsia"/>
          <w:b/>
          <w:bCs/>
          <w:spacing w:val="-2"/>
          <w:sz w:val="21"/>
          <w:szCs w:val="21"/>
          <w:lang w:val="en-US" w:eastAsia="zh-CN"/>
        </w:rPr>
        <w:t>2</w:t>
      </w:r>
      <w:r>
        <w:rPr>
          <w:rFonts w:hint="eastAsia" w:asciiTheme="minorEastAsia" w:hAnsiTheme="minorEastAsia" w:eastAsiaTheme="minorEastAsia" w:cstheme="minorEastAsia"/>
          <w:b/>
          <w:bCs/>
          <w:spacing w:val="-2"/>
          <w:sz w:val="21"/>
          <w:szCs w:val="21"/>
        </w:rPr>
        <w:t>首期矿山环境治理实施年度计划安排表</w:t>
      </w:r>
    </w:p>
    <w:tbl>
      <w:tblPr>
        <w:tblStyle w:val="10"/>
        <w:tblW w:w="828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87"/>
        <w:gridCol w:w="1635"/>
        <w:gridCol w:w="1695"/>
        <w:gridCol w:w="1215"/>
        <w:gridCol w:w="1755"/>
      </w:tblGrid>
      <w:tr w14:paraId="3EEA8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tblHeader/>
        </w:trPr>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C8203">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治理期限（年）</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D848F">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治理单元</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E8CF5">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治理工程内</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4BEA3">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单位</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67086">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治理工程量</w:t>
            </w:r>
          </w:p>
        </w:tc>
      </w:tr>
      <w:tr w14:paraId="32107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trPr>
        <w:tc>
          <w:tcPr>
            <w:tcW w:w="19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BF1BD7">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2023年7月1日-2024年6月30日</w:t>
            </w:r>
          </w:p>
        </w:tc>
        <w:tc>
          <w:tcPr>
            <w:tcW w:w="630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4A6C233">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补充完善前期治理工程</w:t>
            </w:r>
          </w:p>
        </w:tc>
      </w:tr>
      <w:tr w14:paraId="735B2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0F0732">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6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46E229">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取土场1</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455FC">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垫坡</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5FDD0">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m³</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61AB0">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2622</w:t>
            </w:r>
          </w:p>
        </w:tc>
      </w:tr>
      <w:tr w14:paraId="319ED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7D8842">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6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28F756">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i w:val="0"/>
                <w:iCs w:val="0"/>
                <w:color w:val="000000"/>
                <w:sz w:val="21"/>
                <w:szCs w:val="21"/>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BB2BC">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覆土整平</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8956A">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m³</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E73E8">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1542</w:t>
            </w:r>
          </w:p>
        </w:tc>
      </w:tr>
      <w:tr w14:paraId="563D9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 w:hRule="atLeast"/>
        </w:trPr>
        <w:tc>
          <w:tcPr>
            <w:tcW w:w="19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C15C99">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6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A70970">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i w:val="0"/>
                <w:iCs w:val="0"/>
                <w:color w:val="000000"/>
                <w:sz w:val="21"/>
                <w:szCs w:val="21"/>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03BE1">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种树</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C79DA">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株</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502AF">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771</w:t>
            </w:r>
          </w:p>
        </w:tc>
      </w:tr>
      <w:tr w14:paraId="4A63C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532B43">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6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2B2A9E">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取土场2</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477D1">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垫坡</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83C1D">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m³</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A72C3">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1069</w:t>
            </w:r>
          </w:p>
        </w:tc>
      </w:tr>
      <w:tr w14:paraId="2F734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283F28">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6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E0596F">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i w:val="0"/>
                <w:iCs w:val="0"/>
                <w:color w:val="000000"/>
                <w:sz w:val="21"/>
                <w:szCs w:val="21"/>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D2CB3">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覆土整平</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EFEFC">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m³</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95400">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1850</w:t>
            </w:r>
          </w:p>
        </w:tc>
      </w:tr>
      <w:tr w14:paraId="5CD63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19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D1A27F">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6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C8DA3D">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i w:val="0"/>
                <w:iCs w:val="0"/>
                <w:color w:val="000000"/>
                <w:sz w:val="21"/>
                <w:szCs w:val="21"/>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19731">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种树</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B4E77">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株</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E9328">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925</w:t>
            </w:r>
          </w:p>
        </w:tc>
      </w:tr>
      <w:tr w14:paraId="0B0D0C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1F2C95">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630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E5E128D">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按照采矿生产的进展及时充填采空区</w:t>
            </w:r>
          </w:p>
        </w:tc>
      </w:tr>
      <w:tr w14:paraId="2A2FB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19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866EED">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630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FB74746">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进行矿山地质环境监测、植被管护</w:t>
            </w:r>
          </w:p>
        </w:tc>
      </w:tr>
      <w:tr w14:paraId="188A2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B0B3C4">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2024年7月1日-2025年6月30日</w:t>
            </w:r>
          </w:p>
        </w:tc>
        <w:tc>
          <w:tcPr>
            <w:tcW w:w="16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2B1320">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矿区道路（部分）</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4F574">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垫坡</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15E87">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m³</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BB72F">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6552</w:t>
            </w:r>
          </w:p>
        </w:tc>
      </w:tr>
      <w:tr w14:paraId="15635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76DB57">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6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802D00">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i w:val="0"/>
                <w:iCs w:val="0"/>
                <w:color w:val="000000"/>
                <w:sz w:val="21"/>
                <w:szCs w:val="21"/>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269DB">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覆土整平</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5AEAA">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m³</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8E606">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w:t>
            </w:r>
          </w:p>
        </w:tc>
      </w:tr>
      <w:tr w14:paraId="16FE8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2ABC6B">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6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2BF446">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i w:val="0"/>
                <w:iCs w:val="0"/>
                <w:color w:val="000000"/>
                <w:sz w:val="21"/>
                <w:szCs w:val="21"/>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47BFB">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种树</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09340">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株</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B3CB3">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400</w:t>
            </w:r>
          </w:p>
        </w:tc>
      </w:tr>
      <w:tr w14:paraId="2979A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450F39">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630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53F3655">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按照采矿生产的进展及时充填采空区</w:t>
            </w:r>
          </w:p>
        </w:tc>
      </w:tr>
      <w:tr w14:paraId="5AA969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5A5A43">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630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49179CF">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进行矿山地质环境监测、植被管护</w:t>
            </w:r>
          </w:p>
        </w:tc>
      </w:tr>
      <w:tr w14:paraId="18FA8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2ECB63">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2025年7月1日-2026年6月30日</w:t>
            </w:r>
          </w:p>
        </w:tc>
        <w:tc>
          <w:tcPr>
            <w:tcW w:w="630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B79C28B">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按照采矿生产的进展及时充填采空区</w:t>
            </w:r>
          </w:p>
        </w:tc>
      </w:tr>
      <w:tr w14:paraId="29FFE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8C9A0C">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630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64F436B">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进行矿山地质环境监测、植被管护</w:t>
            </w:r>
          </w:p>
        </w:tc>
      </w:tr>
      <w:tr w14:paraId="1CD55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0EB346">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2026年7月1日-2027年6月30日</w:t>
            </w:r>
          </w:p>
        </w:tc>
        <w:tc>
          <w:tcPr>
            <w:tcW w:w="16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BB4D80">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SJ2工业场地</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0C7C8">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回填</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2EE98">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m³</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3246B">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3046</w:t>
            </w:r>
          </w:p>
        </w:tc>
      </w:tr>
      <w:tr w14:paraId="25C3C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8615BE">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6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50E3C9">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53E90">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封堵</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010E4">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m³</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C45A4">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r>
      <w:tr w14:paraId="4D872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896695">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6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4B85AE">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C6C00">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86AE3">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m³</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1AAAB">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8050</w:t>
            </w:r>
          </w:p>
        </w:tc>
      </w:tr>
      <w:tr w14:paraId="3C9CAD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CAA82B">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6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471013">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A7D04">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清运</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288F9">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m³</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8EA8D">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5504</w:t>
            </w:r>
          </w:p>
        </w:tc>
      </w:tr>
      <w:tr w14:paraId="5637A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3CA724">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6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6E3FDA">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83610">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覆土整平</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81FC1">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m³</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D5708">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12493</w:t>
            </w:r>
          </w:p>
        </w:tc>
      </w:tr>
      <w:tr w14:paraId="1150A3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06DA23">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6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A74C1F">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8474B">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种草</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A7376">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8CCA2">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12493</w:t>
            </w:r>
          </w:p>
        </w:tc>
      </w:tr>
      <w:tr w14:paraId="78844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D993A5">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630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A40A7F4">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按照采矿生产的进展及时充填采空区</w:t>
            </w:r>
          </w:p>
        </w:tc>
      </w:tr>
      <w:tr w14:paraId="04C4C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394711">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630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9D2808E">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进行矿山地质环境监测、植被管护</w:t>
            </w:r>
          </w:p>
        </w:tc>
      </w:tr>
      <w:tr w14:paraId="446AF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736625">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2027年7月1日-2028年6月30日</w:t>
            </w:r>
          </w:p>
        </w:tc>
        <w:tc>
          <w:tcPr>
            <w:tcW w:w="16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5AD2FF">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SJ15工业场地</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17DF3">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回填</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E9BF5">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m³</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2A4B6">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2143</w:t>
            </w:r>
          </w:p>
        </w:tc>
      </w:tr>
      <w:tr w14:paraId="1C06E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D24CB5">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6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505DD2">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C47F3">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封堵</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F635D">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m³</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0D42B">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r>
      <w:tr w14:paraId="57E10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B221B8">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6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92BD0D">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88C0A">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75CE1">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m³</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6C90A">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9982</w:t>
            </w:r>
          </w:p>
        </w:tc>
      </w:tr>
      <w:tr w14:paraId="55F3B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C825A2">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6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50C548">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27602">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清运</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F9344">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m³</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2B62C">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7839</w:t>
            </w:r>
          </w:p>
        </w:tc>
      </w:tr>
      <w:tr w14:paraId="76F1A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8BF769">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6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85174C">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C6E0D">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覆土整平</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180E2">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m³</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9DE98">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14909</w:t>
            </w:r>
          </w:p>
        </w:tc>
      </w:tr>
      <w:tr w14:paraId="7FC0D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C1F169">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6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29ACB8">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AB5E5">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种树</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2BECF">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m³</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877A2">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7454</w:t>
            </w:r>
          </w:p>
        </w:tc>
      </w:tr>
      <w:tr w14:paraId="25DDBE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AF4817">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630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A51BD40">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按照采矿生产的进展及时充填采空区</w:t>
            </w:r>
          </w:p>
        </w:tc>
      </w:tr>
      <w:tr w14:paraId="684C3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404A1B">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630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E35026F">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进行矿山地质环境监测、植被管护</w:t>
            </w:r>
          </w:p>
        </w:tc>
      </w:tr>
    </w:tbl>
    <w:p w14:paraId="7A927639">
      <w:pPr>
        <w:pStyle w:val="5"/>
        <w:keepNext w:val="0"/>
        <w:keepLines w:val="0"/>
        <w:pageBreakBefore w:val="0"/>
        <w:kinsoku/>
        <w:wordWrap/>
        <w:overflowPunct/>
        <w:topLinePunct w:val="0"/>
        <w:autoSpaceDE/>
        <w:autoSpaceDN/>
        <w:bidi w:val="0"/>
        <w:spacing w:line="240" w:lineRule="auto"/>
        <w:ind w:left="0" w:right="0" w:firstLine="388" w:firstLineChars="200"/>
        <w:rPr>
          <w:rFonts w:hint="eastAsia" w:asciiTheme="minorEastAsia" w:hAnsiTheme="minorEastAsia" w:eastAsiaTheme="minorEastAsia" w:cstheme="minorEastAsia"/>
          <w:b w:val="0"/>
          <w:bCs w:val="0"/>
          <w:spacing w:val="-8"/>
          <w:sz w:val="21"/>
          <w:szCs w:val="21"/>
          <w:lang w:val="en-US" w:eastAsia="zh-CN"/>
        </w:rPr>
      </w:pPr>
    </w:p>
    <w:p w14:paraId="6EB64321">
      <w:pPr>
        <w:pStyle w:val="5"/>
        <w:spacing w:line="360" w:lineRule="auto"/>
        <w:ind w:left="0" w:right="0" w:firstLine="0" w:firstLineChars="0"/>
        <w:rPr>
          <w:rFonts w:hint="eastAsia" w:asciiTheme="minorEastAsia" w:hAnsiTheme="minorEastAsia" w:eastAsiaTheme="minorEastAsia" w:cstheme="minorEastAsia"/>
          <w:spacing w:val="-2"/>
          <w:sz w:val="21"/>
          <w:szCs w:val="21"/>
        </w:rPr>
      </w:pPr>
    </w:p>
    <w:p w14:paraId="21AECEEB">
      <w:pPr>
        <w:pStyle w:val="2"/>
        <w:bidi w:val="0"/>
        <w:rPr>
          <w:rFonts w:hint="eastAsia" w:asciiTheme="minorEastAsia" w:hAnsiTheme="minorEastAsia" w:eastAsiaTheme="minorEastAsia" w:cstheme="minorEastAsia"/>
          <w:sz w:val="24"/>
          <w:szCs w:val="24"/>
          <w:lang w:val="en-US" w:eastAsia="zh-CN"/>
        </w:rPr>
      </w:pPr>
      <w:bookmarkStart w:id="18" w:name="_Toc10415"/>
      <w:r>
        <w:rPr>
          <w:rFonts w:hint="eastAsia" w:ascii="宋体" w:hAnsi="宋体" w:eastAsia="宋体" w:cs="宋体"/>
          <w:sz w:val="30"/>
          <w:szCs w:val="30"/>
        </w:rPr>
        <w:t>第六章</w:t>
      </w:r>
      <w:r>
        <w:rPr>
          <w:rFonts w:hint="eastAsia" w:ascii="宋体" w:hAnsi="宋体" w:eastAsia="宋体" w:cs="宋体"/>
          <w:sz w:val="30"/>
          <w:szCs w:val="30"/>
          <w:lang w:val="en-US" w:eastAsia="zh-CN"/>
        </w:rPr>
        <w:t>本年度矿山地质环境治理与土地复垦工作安排</w:t>
      </w:r>
      <w:bookmarkEnd w:id="18"/>
    </w:p>
    <w:p w14:paraId="4C23B88F">
      <w:pPr>
        <w:pStyle w:val="3"/>
        <w:adjustRightInd/>
        <w:snapToGrid/>
        <w:spacing w:before="0"/>
        <w:ind w:firstLine="562" w:firstLineChars="200"/>
        <w:jc w:val="left"/>
        <w:rPr>
          <w:rFonts w:hint="eastAsia" w:ascii="宋体" w:hAnsi="宋体" w:eastAsia="宋体" w:cs="宋体"/>
          <w:b/>
          <w:color w:val="auto"/>
          <w:sz w:val="28"/>
          <w:szCs w:val="28"/>
          <w:lang w:val="en-US" w:eastAsia="zh-CN"/>
        </w:rPr>
      </w:pPr>
      <w:bookmarkStart w:id="19" w:name="_Toc7982"/>
      <w:r>
        <w:rPr>
          <w:rFonts w:hint="eastAsia" w:ascii="宋体" w:hAnsi="宋体" w:eastAsia="宋体" w:cs="宋体"/>
          <w:b/>
          <w:color w:val="auto"/>
          <w:sz w:val="28"/>
          <w:szCs w:val="28"/>
        </w:rPr>
        <w:t>一、</w:t>
      </w:r>
      <w:r>
        <w:rPr>
          <w:rFonts w:hint="eastAsia" w:ascii="宋体" w:hAnsi="宋体" w:eastAsia="宋体" w:cs="宋体"/>
          <w:b/>
          <w:color w:val="auto"/>
          <w:sz w:val="28"/>
          <w:szCs w:val="28"/>
          <w:lang w:val="en-US" w:eastAsia="zh-CN"/>
        </w:rPr>
        <w:t>本年度矿山地质环境治理与土地复垦工作计划</w:t>
      </w:r>
      <w:bookmarkEnd w:id="19"/>
    </w:p>
    <w:p w14:paraId="30FC8B4A">
      <w:pPr>
        <w:bidi w:val="0"/>
        <w:rPr>
          <w:rFonts w:hint="eastAsia"/>
          <w:b/>
          <w:bCs/>
          <w:lang w:val="en-US" w:eastAsia="zh-CN"/>
        </w:rPr>
      </w:pPr>
      <w:r>
        <w:rPr>
          <w:rFonts w:hint="eastAsia"/>
          <w:b/>
          <w:bCs/>
          <w:lang w:eastAsia="zh-CN"/>
        </w:rPr>
        <w:t>（</w:t>
      </w:r>
      <w:r>
        <w:rPr>
          <w:rFonts w:hint="eastAsia"/>
          <w:b/>
          <w:bCs/>
          <w:lang w:val="en-US" w:eastAsia="zh-CN"/>
        </w:rPr>
        <w:t>一</w:t>
      </w:r>
      <w:r>
        <w:rPr>
          <w:rFonts w:hint="eastAsia"/>
          <w:b/>
          <w:bCs/>
          <w:lang w:eastAsia="zh-CN"/>
        </w:rPr>
        <w:t>）</w:t>
      </w:r>
      <w:r>
        <w:rPr>
          <w:rFonts w:hint="eastAsia"/>
          <w:b/>
          <w:bCs/>
          <w:lang w:val="en-US" w:eastAsia="zh-CN"/>
        </w:rPr>
        <w:t>矿山地质环境治理区范围</w:t>
      </w:r>
    </w:p>
    <w:p w14:paraId="2F9F8262">
      <w:pPr>
        <w:widowControl w:val="0"/>
        <w:numPr>
          <w:ilvl w:val="0"/>
          <w:numId w:val="0"/>
        </w:numPr>
        <w:adjustRightInd w:val="0"/>
        <w:snapToGrid w:val="0"/>
        <w:spacing w:line="360" w:lineRule="auto"/>
        <w:ind w:firstLine="464" w:firstLineChars="200"/>
        <w:jc w:val="left"/>
        <w:rPr>
          <w:rFonts w:hint="eastAsia"/>
          <w:spacing w:val="-1"/>
          <w:lang w:eastAsia="zh-CN"/>
        </w:rPr>
      </w:pPr>
      <w:r>
        <w:rPr>
          <w:rFonts w:hint="eastAsia" w:asciiTheme="minorEastAsia" w:hAnsiTheme="minorEastAsia" w:eastAsiaTheme="minorEastAsia" w:cstheme="minorEastAsia"/>
          <w:spacing w:val="-4"/>
          <w:sz w:val="24"/>
          <w:szCs w:val="24"/>
          <w:lang w:val="en-US" w:eastAsia="zh-CN"/>
        </w:rPr>
        <w:t>根据2023年7月由内蒙古第十地质矿产勘查开发有限责任公司编制的《内蒙古金陶股份有限公司金厂沟梁金矿矿山地质环境保护与土地复垦方案》本年度设计治理单元为按照采矿生产进展进行采空区填充，</w:t>
      </w:r>
      <w:r>
        <w:rPr>
          <w:rFonts w:hint="eastAsia" w:asciiTheme="minorEastAsia" w:hAnsiTheme="minorEastAsia" w:eastAsiaTheme="minorEastAsia" w:cstheme="minorEastAsia"/>
          <w:color w:val="auto"/>
          <w:spacing w:val="-4"/>
          <w:sz w:val="24"/>
          <w:szCs w:val="24"/>
          <w:lang w:val="en-US" w:eastAsia="zh-CN"/>
        </w:rPr>
        <w:t>2026年具体治理工作为：对</w:t>
      </w:r>
      <w:r>
        <w:rPr>
          <w:color w:val="auto"/>
          <w:spacing w:val="2"/>
          <w:sz w:val="24"/>
          <w:szCs w:val="24"/>
        </w:rPr>
        <w:t>预测地面塌陷区</w:t>
      </w:r>
      <w:r>
        <w:rPr>
          <w:color w:val="auto"/>
          <w:spacing w:val="-1"/>
        </w:rPr>
        <w:t>进行矿山地质环境监测</w:t>
      </w:r>
      <w:r>
        <w:rPr>
          <w:rFonts w:hint="eastAsia"/>
          <w:color w:val="auto"/>
          <w:spacing w:val="-1"/>
          <w:lang w:val="en-US" w:eastAsia="zh-CN"/>
        </w:rPr>
        <w:t>及对2024至2025年</w:t>
      </w:r>
      <w:r>
        <w:rPr>
          <w:rFonts w:hint="eastAsia" w:asciiTheme="minorEastAsia" w:hAnsiTheme="minorEastAsia" w:eastAsiaTheme="minorEastAsia" w:cstheme="minorEastAsia"/>
          <w:color w:val="auto"/>
          <w:spacing w:val="-4"/>
          <w:sz w:val="24"/>
          <w:szCs w:val="24"/>
          <w:lang w:val="en-US" w:eastAsia="zh-CN"/>
        </w:rPr>
        <w:t>治理区进行</w:t>
      </w:r>
      <w:r>
        <w:rPr>
          <w:color w:val="auto"/>
          <w:spacing w:val="-1"/>
        </w:rPr>
        <w:t>植被管护</w:t>
      </w:r>
      <w:r>
        <w:rPr>
          <w:rFonts w:hint="eastAsia"/>
          <w:color w:val="auto"/>
          <w:spacing w:val="-1"/>
          <w:lang w:eastAsia="zh-CN"/>
        </w:rPr>
        <w:t>。</w:t>
      </w:r>
    </w:p>
    <w:p w14:paraId="072A7B2B">
      <w:pPr>
        <w:bidi w:val="0"/>
        <w:rPr>
          <w:rFonts w:hint="eastAsia"/>
          <w:b/>
          <w:bCs/>
          <w:lang w:val="en-US" w:eastAsia="zh-CN"/>
        </w:rPr>
      </w:pPr>
      <w:r>
        <w:rPr>
          <w:rFonts w:hint="eastAsia"/>
          <w:b/>
          <w:bCs/>
          <w:lang w:eastAsia="zh-CN"/>
        </w:rPr>
        <w:t>（</w:t>
      </w:r>
      <w:r>
        <w:rPr>
          <w:rFonts w:hint="eastAsia"/>
          <w:b/>
          <w:bCs/>
          <w:lang w:val="en-US" w:eastAsia="zh-CN"/>
        </w:rPr>
        <w:t>二</w:t>
      </w:r>
      <w:r>
        <w:rPr>
          <w:rFonts w:hint="eastAsia"/>
          <w:b/>
          <w:bCs/>
          <w:lang w:eastAsia="zh-CN"/>
        </w:rPr>
        <w:t>）</w:t>
      </w:r>
      <w:r>
        <w:rPr>
          <w:rFonts w:hint="eastAsia"/>
          <w:b/>
          <w:bCs/>
          <w:lang w:val="en-US" w:eastAsia="zh-CN"/>
        </w:rPr>
        <w:t>复垦地类及方向</w:t>
      </w:r>
    </w:p>
    <w:p w14:paraId="391CF73D">
      <w:pPr>
        <w:widowControl w:val="0"/>
        <w:numPr>
          <w:ilvl w:val="0"/>
          <w:numId w:val="0"/>
        </w:numPr>
        <w:adjustRightInd w:val="0"/>
        <w:snapToGrid w:val="0"/>
        <w:spacing w:line="360" w:lineRule="auto"/>
        <w:ind w:leftChars="200"/>
        <w:jc w:val="left"/>
        <w:rPr>
          <w:rFonts w:hint="eastAsia"/>
          <w:b w:val="0"/>
          <w:bCs w:val="0"/>
          <w:spacing w:val="-1"/>
          <w:lang w:val="en-US" w:eastAsia="zh-CN"/>
        </w:rPr>
      </w:pPr>
      <w:r>
        <w:rPr>
          <w:rFonts w:hint="eastAsia"/>
          <w:b w:val="0"/>
          <w:bCs w:val="0"/>
          <w:spacing w:val="-1"/>
          <w:lang w:val="en-US" w:eastAsia="zh-CN"/>
        </w:rPr>
        <w:t>本年度不涉及土地复垦工程。</w:t>
      </w:r>
    </w:p>
    <w:p w14:paraId="131503FD">
      <w:pPr>
        <w:pStyle w:val="3"/>
        <w:adjustRightInd/>
        <w:snapToGrid/>
        <w:spacing w:before="0"/>
        <w:ind w:firstLine="281" w:firstLineChars="100"/>
        <w:jc w:val="left"/>
        <w:rPr>
          <w:rFonts w:hint="eastAsia" w:ascii="宋体" w:hAnsi="宋体" w:eastAsia="宋体" w:cs="宋体"/>
          <w:b/>
          <w:color w:val="auto"/>
          <w:sz w:val="28"/>
          <w:szCs w:val="28"/>
          <w:lang w:val="en-US" w:eastAsia="zh-CN"/>
        </w:rPr>
      </w:pPr>
      <w:bookmarkStart w:id="20" w:name="_Toc13242"/>
      <w:r>
        <w:rPr>
          <w:rFonts w:hint="eastAsia" w:ascii="宋体" w:hAnsi="宋体" w:eastAsia="宋体" w:cs="宋体"/>
          <w:b/>
          <w:color w:val="auto"/>
          <w:sz w:val="28"/>
          <w:szCs w:val="28"/>
          <w:lang w:val="en-US" w:eastAsia="zh-CN"/>
        </w:rPr>
        <w:t>二</w:t>
      </w:r>
      <w:r>
        <w:rPr>
          <w:rFonts w:hint="eastAsia" w:ascii="宋体" w:hAnsi="宋体" w:eastAsia="宋体" w:cs="宋体"/>
          <w:b/>
          <w:color w:val="auto"/>
          <w:sz w:val="28"/>
          <w:szCs w:val="28"/>
        </w:rPr>
        <w:t>、</w:t>
      </w:r>
      <w:r>
        <w:rPr>
          <w:rFonts w:hint="eastAsia" w:ascii="宋体" w:hAnsi="宋体" w:eastAsia="宋体" w:cs="宋体"/>
          <w:b/>
          <w:color w:val="auto"/>
          <w:sz w:val="28"/>
          <w:szCs w:val="28"/>
          <w:lang w:val="en-US" w:eastAsia="zh-CN"/>
        </w:rPr>
        <w:t>矿山地质环境治理与土地复垦动态监测工作计划</w:t>
      </w:r>
      <w:bookmarkEnd w:id="20"/>
    </w:p>
    <w:p w14:paraId="1927BF61">
      <w:pPr>
        <w:pStyle w:val="5"/>
        <w:spacing w:line="360" w:lineRule="auto"/>
        <w:ind w:left="0" w:right="0" w:firstLine="492" w:firstLineChars="200"/>
        <w:jc w:val="both"/>
        <w:rPr>
          <w:sz w:val="24"/>
          <w:szCs w:val="24"/>
        </w:rPr>
      </w:pPr>
      <w:r>
        <w:rPr>
          <w:spacing w:val="3"/>
          <w:sz w:val="24"/>
          <w:szCs w:val="24"/>
        </w:rPr>
        <w:t>矿山生产期间，应安排专业的矿山地质环境监测人员（也可由矿山负责安全</w:t>
      </w:r>
      <w:r>
        <w:rPr>
          <w:spacing w:val="5"/>
          <w:sz w:val="24"/>
          <w:szCs w:val="24"/>
        </w:rPr>
        <w:t>管理的人员兼任</w:t>
      </w:r>
      <w:r>
        <w:rPr>
          <w:spacing w:val="-36"/>
          <w:sz w:val="24"/>
          <w:szCs w:val="24"/>
        </w:rPr>
        <w:t>），</w:t>
      </w:r>
      <w:r>
        <w:rPr>
          <w:spacing w:val="5"/>
          <w:sz w:val="24"/>
          <w:szCs w:val="24"/>
        </w:rPr>
        <w:t>定期或不定期对矿山地质环境进行监测，对已存在的隐患进</w:t>
      </w:r>
      <w:r>
        <w:rPr>
          <w:spacing w:val="3"/>
          <w:sz w:val="24"/>
          <w:szCs w:val="24"/>
        </w:rPr>
        <w:t>行动态观测，对新出现的地质环境问题及时上报和记录，</w:t>
      </w:r>
      <w:r>
        <w:rPr>
          <w:spacing w:val="2"/>
          <w:sz w:val="24"/>
          <w:szCs w:val="24"/>
        </w:rPr>
        <w:t>并做好预警和安全处置</w:t>
      </w:r>
      <w:r>
        <w:rPr>
          <w:spacing w:val="-2"/>
          <w:sz w:val="24"/>
          <w:szCs w:val="24"/>
        </w:rPr>
        <w:t>方案，对矿山地质环境影响进行长期动态监测，设计监测</w:t>
      </w:r>
      <w:r>
        <w:rPr>
          <w:spacing w:val="-3"/>
          <w:sz w:val="24"/>
          <w:szCs w:val="24"/>
        </w:rPr>
        <w:t>工程如下：</w:t>
      </w:r>
    </w:p>
    <w:p w14:paraId="001C1804">
      <w:pPr>
        <w:pStyle w:val="5"/>
        <w:spacing w:line="360" w:lineRule="auto"/>
        <w:ind w:left="0" w:right="0" w:firstLine="472" w:firstLineChars="200"/>
        <w:rPr>
          <w:sz w:val="24"/>
          <w:szCs w:val="24"/>
        </w:rPr>
      </w:pPr>
      <w:r>
        <w:rPr>
          <w:rFonts w:hint="eastAsia"/>
          <w:spacing w:val="-2"/>
          <w:sz w:val="24"/>
          <w:szCs w:val="24"/>
          <w:lang w:eastAsia="zh-CN"/>
        </w:rPr>
        <w:t>（</w:t>
      </w:r>
      <w:r>
        <w:rPr>
          <w:rFonts w:hint="eastAsia"/>
          <w:spacing w:val="-2"/>
          <w:sz w:val="24"/>
          <w:szCs w:val="24"/>
          <w:lang w:val="en-US" w:eastAsia="zh-CN"/>
        </w:rPr>
        <w:t>一</w:t>
      </w:r>
      <w:r>
        <w:rPr>
          <w:rFonts w:hint="eastAsia"/>
          <w:spacing w:val="-2"/>
          <w:sz w:val="24"/>
          <w:szCs w:val="24"/>
          <w:lang w:eastAsia="zh-CN"/>
        </w:rPr>
        <w:t>）</w:t>
      </w:r>
      <w:r>
        <w:rPr>
          <w:spacing w:val="-2"/>
          <w:sz w:val="24"/>
          <w:szCs w:val="24"/>
        </w:rPr>
        <w:t>地面塌（沉）陷监测</w:t>
      </w:r>
    </w:p>
    <w:p w14:paraId="22CBDFAA">
      <w:pPr>
        <w:pStyle w:val="5"/>
        <w:spacing w:line="360" w:lineRule="auto"/>
        <w:ind w:left="0" w:right="0" w:firstLine="464" w:firstLineChars="200"/>
        <w:rPr>
          <w:sz w:val="24"/>
          <w:szCs w:val="24"/>
        </w:rPr>
      </w:pPr>
      <w:r>
        <w:rPr>
          <w:rFonts w:hint="eastAsia"/>
          <w:spacing w:val="-4"/>
          <w:sz w:val="24"/>
          <w:szCs w:val="24"/>
          <w:lang w:val="en-US" w:eastAsia="zh-CN"/>
        </w:rPr>
        <w:t>1、</w:t>
      </w:r>
      <w:r>
        <w:rPr>
          <w:spacing w:val="-4"/>
          <w:sz w:val="24"/>
          <w:szCs w:val="24"/>
        </w:rPr>
        <w:t>监测点的布设</w:t>
      </w:r>
    </w:p>
    <w:p w14:paraId="54160D5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8" w:firstLineChars="200"/>
        <w:jc w:val="left"/>
        <w:textAlignment w:val="auto"/>
        <w:rPr>
          <w:rFonts w:hint="eastAsia" w:asciiTheme="minorEastAsia" w:hAnsiTheme="minorEastAsia" w:eastAsiaTheme="minorEastAsia" w:cstheme="minorEastAsia"/>
          <w:b/>
          <w:bCs/>
          <w:spacing w:val="-4"/>
          <w:sz w:val="21"/>
          <w:szCs w:val="21"/>
        </w:rPr>
      </w:pPr>
      <w:r>
        <w:rPr>
          <w:spacing w:val="2"/>
          <w:sz w:val="24"/>
          <w:szCs w:val="24"/>
        </w:rPr>
        <w:t>因预测地面塌陷区内办公生活区、工业场地等人类活动频繁，结合矿山已有</w:t>
      </w:r>
      <w:r>
        <w:rPr>
          <w:spacing w:val="3"/>
          <w:sz w:val="24"/>
          <w:szCs w:val="24"/>
        </w:rPr>
        <w:t>的监测系统，在发生地面塌陷隐患几率较大的矿体采空</w:t>
      </w:r>
      <w:r>
        <w:rPr>
          <w:spacing w:val="2"/>
          <w:sz w:val="24"/>
          <w:szCs w:val="24"/>
        </w:rPr>
        <w:t>区地表投影范围内主体建</w:t>
      </w:r>
      <w:r>
        <w:rPr>
          <w:spacing w:val="-3"/>
          <w:sz w:val="24"/>
          <w:szCs w:val="24"/>
        </w:rPr>
        <w:t>筑旁及以往已出现塌陷</w:t>
      </w:r>
      <w:r>
        <w:rPr>
          <w:rFonts w:hint="eastAsia"/>
          <w:color w:val="auto"/>
          <w:spacing w:val="-3"/>
          <w:sz w:val="24"/>
          <w:szCs w:val="24"/>
          <w:lang w:val="en-US" w:eastAsia="zh-CN"/>
        </w:rPr>
        <w:t>点</w:t>
      </w:r>
      <w:r>
        <w:rPr>
          <w:spacing w:val="-3"/>
          <w:sz w:val="24"/>
          <w:szCs w:val="24"/>
        </w:rPr>
        <w:t>范围布设</w:t>
      </w:r>
      <w:r>
        <w:rPr>
          <w:rFonts w:ascii="Times New Roman" w:hAnsi="Times New Roman" w:eastAsia="Times New Roman" w:cs="Times New Roman"/>
          <w:spacing w:val="-3"/>
          <w:sz w:val="24"/>
          <w:szCs w:val="24"/>
        </w:rPr>
        <w:t>25</w:t>
      </w:r>
      <w:r>
        <w:rPr>
          <w:spacing w:val="-3"/>
          <w:sz w:val="24"/>
          <w:szCs w:val="24"/>
        </w:rPr>
        <w:t>个监测点。详见地质灾害监测点坐标表</w:t>
      </w:r>
      <w:r>
        <w:rPr>
          <w:rFonts w:hint="eastAsia"/>
          <w:spacing w:val="-3"/>
          <w:sz w:val="24"/>
          <w:szCs w:val="24"/>
          <w:lang w:val="en-US" w:eastAsia="zh-CN"/>
        </w:rPr>
        <w:t>6-1</w:t>
      </w:r>
      <w:r>
        <w:rPr>
          <w:spacing w:val="-3"/>
          <w:sz w:val="24"/>
          <w:szCs w:val="24"/>
        </w:rPr>
        <w:t>。</w:t>
      </w:r>
    </w:p>
    <w:p w14:paraId="6D8F489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2689" w:firstLineChars="1300"/>
        <w:jc w:val="left"/>
        <w:textAlignment w:val="auto"/>
        <w:rPr>
          <w:rFonts w:hint="eastAsia" w:asciiTheme="minorEastAsia" w:hAnsiTheme="minorEastAsia" w:eastAsiaTheme="minorEastAsia" w:cstheme="minorEastAsia"/>
          <w:b/>
          <w:bCs/>
          <w:spacing w:val="-4"/>
          <w:sz w:val="21"/>
          <w:szCs w:val="21"/>
          <w:lang w:val="en-US" w:eastAsia="zh-CN"/>
        </w:rPr>
      </w:pPr>
      <w:r>
        <w:rPr>
          <w:rFonts w:hint="eastAsia" w:asciiTheme="minorEastAsia" w:hAnsiTheme="minorEastAsia" w:eastAsiaTheme="minorEastAsia" w:cstheme="minorEastAsia"/>
          <w:b/>
          <w:bCs/>
          <w:spacing w:val="-2"/>
          <w:sz w:val="21"/>
          <w:szCs w:val="21"/>
        </w:rPr>
        <w:t>表6-</w:t>
      </w:r>
      <w:r>
        <w:rPr>
          <w:rFonts w:hint="eastAsia" w:asciiTheme="minorEastAsia" w:hAnsiTheme="minorEastAsia" w:eastAsiaTheme="minorEastAsia" w:cstheme="minorEastAsia"/>
          <w:b/>
          <w:bCs/>
          <w:spacing w:val="-2"/>
          <w:sz w:val="21"/>
          <w:szCs w:val="21"/>
          <w:lang w:val="en-US" w:eastAsia="zh-CN"/>
        </w:rPr>
        <w:t>1</w:t>
      </w:r>
      <w:r>
        <w:rPr>
          <w:rFonts w:hint="eastAsia" w:asciiTheme="minorEastAsia" w:hAnsiTheme="minorEastAsia" w:eastAsiaTheme="minorEastAsia" w:cstheme="minorEastAsia"/>
          <w:b/>
          <w:bCs/>
          <w:spacing w:val="-2"/>
          <w:sz w:val="21"/>
          <w:szCs w:val="21"/>
        </w:rPr>
        <w:t>地质灾害监测点坐标表</w:t>
      </w:r>
    </w:p>
    <w:tbl>
      <w:tblPr>
        <w:tblStyle w:val="20"/>
        <w:tblW w:w="836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95"/>
        <w:gridCol w:w="1380"/>
        <w:gridCol w:w="1326"/>
        <w:gridCol w:w="1444"/>
        <w:gridCol w:w="540"/>
        <w:gridCol w:w="1326"/>
        <w:gridCol w:w="1454"/>
      </w:tblGrid>
      <w:tr w14:paraId="58905D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blHeader/>
          <w:jc w:val="center"/>
        </w:trPr>
        <w:tc>
          <w:tcPr>
            <w:tcW w:w="0" w:type="auto"/>
            <w:vMerge w:val="restart"/>
            <w:tcBorders>
              <w:bottom w:val="nil"/>
            </w:tcBorders>
            <w:vAlign w:val="center"/>
          </w:tcPr>
          <w:p w14:paraId="07591149">
            <w:pPr>
              <w:pStyle w:val="19"/>
              <w:snapToGrid w:val="0"/>
              <w:spacing w:before="34" w:line="240" w:lineRule="auto"/>
              <w:ind w:left="0" w:leftChars="0" w:right="0" w:rightChars="0" w:firstLine="0" w:firstLineChars="0"/>
              <w:jc w:val="center"/>
              <w:rPr>
                <w:rFonts w:ascii="宋体" w:eastAsia="宋体"/>
                <w:b/>
                <w:sz w:val="21"/>
              </w:rPr>
            </w:pPr>
            <w:r>
              <w:rPr>
                <w:rFonts w:ascii="宋体" w:eastAsia="宋体"/>
                <w:b/>
                <w:spacing w:val="-14"/>
                <w:sz w:val="21"/>
              </w:rPr>
              <w:t>监测区</w:t>
            </w:r>
            <w:r>
              <w:rPr>
                <w:rFonts w:ascii="宋体" w:eastAsia="宋体"/>
                <w:b/>
                <w:sz w:val="21"/>
              </w:rPr>
              <w:t>域</w:t>
            </w:r>
          </w:p>
        </w:tc>
        <w:tc>
          <w:tcPr>
            <w:tcW w:w="540" w:type="dxa"/>
            <w:gridSpan w:val="6"/>
            <w:vAlign w:val="center"/>
          </w:tcPr>
          <w:p w14:paraId="21557C15">
            <w:pPr>
              <w:pStyle w:val="19"/>
              <w:snapToGrid w:val="0"/>
              <w:spacing w:before="2" w:line="240" w:lineRule="auto"/>
              <w:ind w:left="0" w:leftChars="0" w:right="0" w:rightChars="0" w:firstLine="0" w:firstLineChars="0"/>
              <w:jc w:val="center"/>
              <w:rPr>
                <w:rFonts w:ascii="宋体" w:hAnsi="Times New Roman" w:eastAsia="宋体" w:cs="Times New Roman"/>
                <w:b/>
                <w:sz w:val="21"/>
              </w:rPr>
            </w:pPr>
            <w:r>
              <w:rPr>
                <w:rFonts w:ascii="宋体" w:hAnsi="Times New Roman" w:eastAsia="宋体" w:cs="Times New Roman"/>
                <w:b/>
                <w:spacing w:val="-3"/>
                <w:sz w:val="21"/>
              </w:rPr>
              <w:t>2000</w:t>
            </w:r>
            <w:r>
              <w:rPr>
                <w:rFonts w:ascii="宋体" w:eastAsia="宋体"/>
                <w:b/>
                <w:spacing w:val="-3"/>
                <w:sz w:val="21"/>
              </w:rPr>
              <w:t>国家大地坐标系</w:t>
            </w:r>
            <w:r>
              <w:rPr>
                <w:rFonts w:ascii="宋体" w:hAnsi="Times New Roman" w:eastAsia="宋体" w:cs="Times New Roman"/>
                <w:b/>
                <w:spacing w:val="-3"/>
                <w:sz w:val="21"/>
              </w:rPr>
              <w:t>(3</w:t>
            </w:r>
            <w:r>
              <w:rPr>
                <w:rFonts w:ascii="宋体" w:eastAsia="宋体"/>
                <w:b/>
                <w:spacing w:val="-3"/>
                <w:sz w:val="21"/>
              </w:rPr>
              <w:t>度带</w:t>
            </w:r>
            <w:r>
              <w:rPr>
                <w:rFonts w:ascii="宋体" w:hAnsi="Times New Roman" w:eastAsia="宋体" w:cs="Times New Roman"/>
                <w:b/>
                <w:spacing w:val="-3"/>
                <w:sz w:val="21"/>
              </w:rPr>
              <w:t>)</w:t>
            </w:r>
          </w:p>
        </w:tc>
      </w:tr>
      <w:tr w14:paraId="71E21F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blHeader/>
          <w:jc w:val="center"/>
        </w:trPr>
        <w:tc>
          <w:tcPr>
            <w:tcW w:w="0" w:type="auto"/>
            <w:vMerge w:val="continue"/>
            <w:tcBorders>
              <w:top w:val="nil"/>
            </w:tcBorders>
            <w:vAlign w:val="center"/>
          </w:tcPr>
          <w:p w14:paraId="0C5D5915">
            <w:pPr>
              <w:snapToGrid w:val="0"/>
              <w:spacing w:line="240" w:lineRule="auto"/>
              <w:ind w:left="0" w:leftChars="0" w:right="0" w:rightChars="0" w:firstLine="0" w:firstLineChars="0"/>
              <w:jc w:val="center"/>
              <w:rPr>
                <w:rFonts w:ascii="宋体" w:eastAsia="宋体"/>
                <w:b/>
                <w:sz w:val="21"/>
              </w:rPr>
            </w:pPr>
          </w:p>
        </w:tc>
        <w:tc>
          <w:tcPr>
            <w:tcW w:w="0" w:type="auto"/>
            <w:vAlign w:val="center"/>
          </w:tcPr>
          <w:p w14:paraId="04D28588">
            <w:pPr>
              <w:pStyle w:val="19"/>
              <w:snapToGrid w:val="0"/>
              <w:spacing w:before="30" w:line="240" w:lineRule="auto"/>
              <w:ind w:left="0" w:leftChars="0" w:right="0" w:rightChars="0" w:firstLine="0" w:firstLineChars="0"/>
              <w:jc w:val="center"/>
              <w:rPr>
                <w:rFonts w:ascii="宋体" w:eastAsia="宋体"/>
                <w:b/>
                <w:sz w:val="21"/>
              </w:rPr>
            </w:pPr>
            <w:r>
              <w:rPr>
                <w:rFonts w:ascii="宋体" w:eastAsia="宋体"/>
                <w:b/>
                <w:spacing w:val="-3"/>
                <w:sz w:val="21"/>
              </w:rPr>
              <w:t>编号</w:t>
            </w:r>
          </w:p>
        </w:tc>
        <w:tc>
          <w:tcPr>
            <w:tcW w:w="0" w:type="auto"/>
            <w:vAlign w:val="center"/>
          </w:tcPr>
          <w:p w14:paraId="546CCFB8">
            <w:pPr>
              <w:pStyle w:val="19"/>
              <w:snapToGrid w:val="0"/>
              <w:spacing w:before="67" w:line="240" w:lineRule="auto"/>
              <w:ind w:left="0" w:leftChars="0" w:right="0" w:rightChars="0" w:firstLine="0" w:firstLineChars="0"/>
              <w:jc w:val="center"/>
              <w:rPr>
                <w:rFonts w:ascii="宋体" w:eastAsia="宋体"/>
                <w:b/>
                <w:sz w:val="21"/>
              </w:rPr>
            </w:pPr>
            <w:r>
              <w:rPr>
                <w:rFonts w:ascii="宋体" w:eastAsia="宋体"/>
                <w:b/>
                <w:position w:val="-2"/>
                <w:sz w:val="21"/>
              </w:rPr>
              <w:t>X</w:t>
            </w:r>
          </w:p>
        </w:tc>
        <w:tc>
          <w:tcPr>
            <w:tcW w:w="0" w:type="auto"/>
            <w:vAlign w:val="center"/>
          </w:tcPr>
          <w:p w14:paraId="60E9D355">
            <w:pPr>
              <w:pStyle w:val="19"/>
              <w:snapToGrid w:val="0"/>
              <w:spacing w:before="67" w:line="240" w:lineRule="auto"/>
              <w:ind w:left="0" w:leftChars="0" w:right="0" w:rightChars="0" w:firstLine="0" w:firstLineChars="0"/>
              <w:jc w:val="center"/>
              <w:rPr>
                <w:rFonts w:ascii="宋体" w:eastAsia="宋体"/>
                <w:b/>
                <w:sz w:val="21"/>
              </w:rPr>
            </w:pPr>
            <w:r>
              <w:rPr>
                <w:rFonts w:ascii="宋体" w:eastAsia="宋体"/>
                <w:b/>
                <w:position w:val="-2"/>
                <w:sz w:val="21"/>
              </w:rPr>
              <w:t>Y</w:t>
            </w:r>
          </w:p>
        </w:tc>
        <w:tc>
          <w:tcPr>
            <w:tcW w:w="0" w:type="auto"/>
            <w:vAlign w:val="center"/>
          </w:tcPr>
          <w:p w14:paraId="5F2CB896">
            <w:pPr>
              <w:pStyle w:val="19"/>
              <w:snapToGrid w:val="0"/>
              <w:spacing w:before="30" w:line="240" w:lineRule="auto"/>
              <w:ind w:left="0" w:leftChars="0" w:right="0" w:rightChars="0" w:firstLine="0" w:firstLineChars="0"/>
              <w:jc w:val="center"/>
              <w:rPr>
                <w:rFonts w:ascii="宋体" w:eastAsia="宋体"/>
                <w:b/>
                <w:sz w:val="21"/>
              </w:rPr>
            </w:pPr>
            <w:r>
              <w:rPr>
                <w:rFonts w:ascii="宋体" w:eastAsia="宋体"/>
                <w:b/>
                <w:spacing w:val="-3"/>
                <w:sz w:val="21"/>
              </w:rPr>
              <w:t>编号</w:t>
            </w:r>
          </w:p>
        </w:tc>
        <w:tc>
          <w:tcPr>
            <w:tcW w:w="0" w:type="auto"/>
            <w:vAlign w:val="center"/>
          </w:tcPr>
          <w:p w14:paraId="7427CFC6">
            <w:pPr>
              <w:pStyle w:val="19"/>
              <w:snapToGrid w:val="0"/>
              <w:spacing w:before="67" w:line="240" w:lineRule="auto"/>
              <w:ind w:left="0" w:leftChars="0" w:right="0" w:rightChars="0" w:firstLine="0" w:firstLineChars="0"/>
              <w:jc w:val="center"/>
              <w:rPr>
                <w:rFonts w:ascii="宋体" w:eastAsia="宋体"/>
                <w:b/>
                <w:sz w:val="21"/>
              </w:rPr>
            </w:pPr>
            <w:r>
              <w:rPr>
                <w:rFonts w:ascii="宋体" w:eastAsia="宋体"/>
                <w:b/>
                <w:position w:val="-2"/>
                <w:sz w:val="21"/>
              </w:rPr>
              <w:t>X</w:t>
            </w:r>
          </w:p>
        </w:tc>
        <w:tc>
          <w:tcPr>
            <w:tcW w:w="1454" w:type="dxa"/>
            <w:vAlign w:val="center"/>
          </w:tcPr>
          <w:p w14:paraId="4FF61AD1">
            <w:pPr>
              <w:pStyle w:val="19"/>
              <w:snapToGrid w:val="0"/>
              <w:spacing w:before="67" w:line="240" w:lineRule="auto"/>
              <w:ind w:left="0" w:leftChars="0" w:right="0" w:rightChars="0" w:firstLine="0" w:firstLineChars="0"/>
              <w:jc w:val="center"/>
              <w:rPr>
                <w:rFonts w:ascii="宋体" w:eastAsia="宋体"/>
                <w:b/>
                <w:sz w:val="21"/>
              </w:rPr>
            </w:pPr>
            <w:r>
              <w:rPr>
                <w:rFonts w:ascii="宋体" w:eastAsia="宋体"/>
                <w:b/>
                <w:position w:val="-2"/>
                <w:sz w:val="21"/>
              </w:rPr>
              <w:t>Y</w:t>
            </w:r>
          </w:p>
        </w:tc>
      </w:tr>
      <w:tr w14:paraId="5C1C06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Merge w:val="restart"/>
            <w:tcBorders>
              <w:bottom w:val="nil"/>
            </w:tcBorders>
            <w:vAlign w:val="center"/>
          </w:tcPr>
          <w:p w14:paraId="554F4E17">
            <w:pPr>
              <w:pStyle w:val="19"/>
              <w:snapToGrid w:val="0"/>
              <w:spacing w:before="68" w:line="240" w:lineRule="auto"/>
              <w:ind w:left="0" w:leftChars="0" w:right="0" w:rightChars="0" w:firstLine="0" w:firstLineChars="0"/>
              <w:jc w:val="center"/>
              <w:rPr>
                <w:rFonts w:ascii="Times New Roman" w:eastAsia="Times New Roman"/>
                <w:sz w:val="21"/>
              </w:rPr>
            </w:pPr>
            <w:r>
              <w:rPr>
                <w:rFonts w:ascii="Times New Roman" w:eastAsia="Times New Roman"/>
                <w:spacing w:val="-3"/>
                <w:sz w:val="21"/>
              </w:rPr>
              <w:t>预测地</w:t>
            </w:r>
          </w:p>
          <w:p w14:paraId="58F8077B">
            <w:pPr>
              <w:pStyle w:val="19"/>
              <w:snapToGrid w:val="0"/>
              <w:spacing w:before="20" w:line="240" w:lineRule="auto"/>
              <w:ind w:left="0" w:leftChars="0" w:right="0" w:rightChars="0" w:firstLine="0" w:firstLineChars="0"/>
              <w:jc w:val="center"/>
              <w:rPr>
                <w:rFonts w:ascii="Times New Roman" w:eastAsia="Times New Roman"/>
                <w:sz w:val="21"/>
              </w:rPr>
            </w:pPr>
            <w:r>
              <w:rPr>
                <w:rFonts w:ascii="Times New Roman" w:eastAsia="Times New Roman"/>
                <w:spacing w:val="-3"/>
                <w:sz w:val="21"/>
              </w:rPr>
              <w:t>面塌陷</w:t>
            </w:r>
          </w:p>
          <w:p w14:paraId="4766417A">
            <w:pPr>
              <w:pStyle w:val="19"/>
              <w:snapToGrid w:val="0"/>
              <w:spacing w:before="21" w:line="240" w:lineRule="auto"/>
              <w:ind w:left="0" w:leftChars="0" w:right="0" w:rightChars="0" w:firstLine="0" w:firstLineChars="0"/>
              <w:jc w:val="center"/>
              <w:rPr>
                <w:rFonts w:ascii="Times New Roman" w:eastAsia="Times New Roman"/>
                <w:sz w:val="21"/>
              </w:rPr>
            </w:pPr>
            <w:r>
              <w:rPr>
                <w:rFonts w:ascii="Times New Roman" w:eastAsia="Times New Roman"/>
                <w:sz w:val="21"/>
              </w:rPr>
              <w:t>区</w:t>
            </w:r>
          </w:p>
        </w:tc>
        <w:tc>
          <w:tcPr>
            <w:tcW w:w="0" w:type="auto"/>
            <w:vAlign w:val="center"/>
          </w:tcPr>
          <w:p w14:paraId="1C4D7EB5">
            <w:pPr>
              <w:snapToGrid w:val="0"/>
              <w:spacing w:before="53" w:line="240" w:lineRule="auto"/>
              <w:ind w:left="0" w:leftChars="0" w:right="0" w:rightChars="0" w:firstLine="0" w:firstLineChars="0"/>
              <w:jc w:val="center"/>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JC1</w:t>
            </w:r>
          </w:p>
        </w:tc>
        <w:tc>
          <w:tcPr>
            <w:tcW w:w="0" w:type="auto"/>
            <w:vAlign w:val="center"/>
          </w:tcPr>
          <w:p w14:paraId="2E0385BE">
            <w:pPr>
              <w:snapToGrid w:val="0"/>
              <w:spacing w:before="53" w:line="240" w:lineRule="auto"/>
              <w:ind w:left="0" w:leftChars="0" w:right="0" w:rightChars="0" w:firstLine="420" w:firstLineChars="200"/>
              <w:jc w:val="center"/>
              <w:rPr>
                <w:rFonts w:hint="default" w:eastAsia="宋体" w:cs="Times New Roman"/>
                <w:sz w:val="21"/>
                <w:szCs w:val="21"/>
                <w:lang w:val="en-US" w:eastAsia="zh-CN"/>
              </w:rPr>
            </w:pPr>
            <w:r>
              <w:rPr>
                <w:rFonts w:hint="eastAsia" w:eastAsia="宋体" w:cs="Times New Roman"/>
                <w:sz w:val="21"/>
                <w:szCs w:val="21"/>
                <w:lang w:val="en-US" w:eastAsia="zh-CN"/>
              </w:rPr>
              <w:t>********</w:t>
            </w:r>
          </w:p>
        </w:tc>
        <w:tc>
          <w:tcPr>
            <w:tcW w:w="0" w:type="auto"/>
            <w:vAlign w:val="center"/>
          </w:tcPr>
          <w:p w14:paraId="012FF874">
            <w:pPr>
              <w:snapToGrid w:val="0"/>
              <w:spacing w:before="53" w:line="240" w:lineRule="auto"/>
              <w:ind w:left="0" w:leftChars="0" w:right="0" w:rightChars="0" w:firstLine="420" w:firstLineChars="200"/>
              <w:jc w:val="center"/>
              <w:rPr>
                <w:rFonts w:ascii="Times New Roman" w:hAnsi="Times New Roman" w:eastAsia="Times New Roman" w:cs="Times New Roman"/>
                <w:sz w:val="21"/>
                <w:szCs w:val="21"/>
              </w:rPr>
            </w:pPr>
            <w:r>
              <w:rPr>
                <w:rFonts w:hint="eastAsia" w:eastAsia="宋体" w:cs="Times New Roman"/>
                <w:sz w:val="21"/>
                <w:szCs w:val="21"/>
                <w:lang w:val="en-US" w:eastAsia="zh-CN"/>
              </w:rPr>
              <w:t>********</w:t>
            </w:r>
          </w:p>
        </w:tc>
        <w:tc>
          <w:tcPr>
            <w:tcW w:w="0" w:type="auto"/>
            <w:vAlign w:val="center"/>
          </w:tcPr>
          <w:p w14:paraId="03FC53B6">
            <w:pPr>
              <w:snapToGrid w:val="0"/>
              <w:spacing w:before="53" w:line="240" w:lineRule="auto"/>
              <w:ind w:left="0" w:leftChars="0" w:right="0" w:rightChars="0" w:firstLine="0" w:firstLineChars="0"/>
              <w:jc w:val="center"/>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J14</w:t>
            </w:r>
          </w:p>
        </w:tc>
        <w:tc>
          <w:tcPr>
            <w:tcW w:w="0" w:type="auto"/>
            <w:vAlign w:val="center"/>
          </w:tcPr>
          <w:p w14:paraId="12276FDE">
            <w:pPr>
              <w:snapToGrid w:val="0"/>
              <w:spacing w:before="53" w:line="240" w:lineRule="auto"/>
              <w:ind w:left="0" w:leftChars="0" w:right="0" w:rightChars="0" w:firstLine="420" w:firstLineChars="200"/>
              <w:jc w:val="center"/>
              <w:rPr>
                <w:rFonts w:ascii="Times New Roman" w:hAnsi="Times New Roman" w:eastAsia="Times New Roman" w:cs="Times New Roman"/>
                <w:sz w:val="21"/>
                <w:szCs w:val="21"/>
              </w:rPr>
            </w:pPr>
            <w:r>
              <w:rPr>
                <w:rFonts w:hint="eastAsia" w:eastAsia="宋体" w:cs="Times New Roman"/>
                <w:sz w:val="21"/>
                <w:szCs w:val="21"/>
                <w:lang w:val="en-US" w:eastAsia="zh-CN"/>
              </w:rPr>
              <w:t>********</w:t>
            </w:r>
          </w:p>
        </w:tc>
        <w:tc>
          <w:tcPr>
            <w:tcW w:w="1454" w:type="dxa"/>
            <w:vAlign w:val="center"/>
          </w:tcPr>
          <w:p w14:paraId="5C7E5457">
            <w:pPr>
              <w:snapToGrid w:val="0"/>
              <w:spacing w:before="53" w:line="240" w:lineRule="auto"/>
              <w:ind w:left="0" w:leftChars="0" w:right="0" w:rightChars="0" w:firstLine="420" w:firstLineChars="200"/>
              <w:jc w:val="center"/>
              <w:rPr>
                <w:rFonts w:ascii="Times New Roman" w:hAnsi="Times New Roman" w:eastAsia="Times New Roman" w:cs="Times New Roman"/>
                <w:sz w:val="21"/>
                <w:szCs w:val="21"/>
              </w:rPr>
            </w:pPr>
            <w:r>
              <w:rPr>
                <w:rFonts w:hint="eastAsia" w:eastAsia="宋体" w:cs="Times New Roman"/>
                <w:sz w:val="21"/>
                <w:szCs w:val="21"/>
                <w:lang w:val="en-US" w:eastAsia="zh-CN"/>
              </w:rPr>
              <w:t>********</w:t>
            </w:r>
          </w:p>
        </w:tc>
      </w:tr>
      <w:tr w14:paraId="46725F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Merge w:val="continue"/>
            <w:tcBorders>
              <w:top w:val="nil"/>
              <w:bottom w:val="nil"/>
            </w:tcBorders>
            <w:vAlign w:val="center"/>
          </w:tcPr>
          <w:p w14:paraId="2C9A32CF">
            <w:pPr>
              <w:snapToGrid w:val="0"/>
              <w:spacing w:line="240" w:lineRule="auto"/>
              <w:ind w:left="0" w:leftChars="0" w:right="0" w:rightChars="0" w:firstLine="0" w:firstLineChars="0"/>
              <w:jc w:val="center"/>
              <w:rPr>
                <w:rFonts w:ascii="Times New Roman" w:eastAsia="Times New Roman"/>
                <w:sz w:val="21"/>
              </w:rPr>
            </w:pPr>
          </w:p>
        </w:tc>
        <w:tc>
          <w:tcPr>
            <w:tcW w:w="0" w:type="auto"/>
            <w:vAlign w:val="center"/>
          </w:tcPr>
          <w:p w14:paraId="2CB7C178">
            <w:pPr>
              <w:snapToGrid w:val="0"/>
              <w:spacing w:before="55" w:line="240" w:lineRule="auto"/>
              <w:ind w:left="0" w:leftChars="0" w:right="0" w:rightChars="0" w:firstLine="0" w:firstLineChars="0"/>
              <w:jc w:val="center"/>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JC2</w:t>
            </w:r>
          </w:p>
        </w:tc>
        <w:tc>
          <w:tcPr>
            <w:tcW w:w="0" w:type="auto"/>
            <w:vAlign w:val="center"/>
          </w:tcPr>
          <w:p w14:paraId="4EDECDEA">
            <w:pPr>
              <w:snapToGrid w:val="0"/>
              <w:spacing w:before="53" w:line="240" w:lineRule="auto"/>
              <w:ind w:left="0" w:leftChars="0" w:right="0" w:rightChars="0" w:firstLine="420" w:firstLineChars="200"/>
              <w:jc w:val="center"/>
              <w:rPr>
                <w:rFonts w:hint="eastAsia" w:eastAsia="宋体" w:cs="Times New Roman"/>
                <w:sz w:val="21"/>
                <w:szCs w:val="21"/>
                <w:lang w:val="en-US" w:eastAsia="zh-CN"/>
              </w:rPr>
            </w:pPr>
            <w:r>
              <w:rPr>
                <w:rFonts w:hint="eastAsia" w:eastAsia="宋体" w:cs="Times New Roman"/>
                <w:sz w:val="21"/>
                <w:szCs w:val="21"/>
                <w:lang w:val="en-US" w:eastAsia="zh-CN"/>
              </w:rPr>
              <w:t>********</w:t>
            </w:r>
          </w:p>
        </w:tc>
        <w:tc>
          <w:tcPr>
            <w:tcW w:w="0" w:type="auto"/>
            <w:vAlign w:val="center"/>
          </w:tcPr>
          <w:p w14:paraId="39FC08A3">
            <w:pPr>
              <w:snapToGrid w:val="0"/>
              <w:spacing w:before="55" w:line="240" w:lineRule="auto"/>
              <w:ind w:left="0" w:leftChars="0" w:right="0" w:rightChars="0" w:firstLine="420" w:firstLineChars="200"/>
              <w:jc w:val="center"/>
              <w:rPr>
                <w:rFonts w:ascii="Times New Roman" w:hAnsi="Times New Roman" w:eastAsia="Times New Roman" w:cs="Times New Roman"/>
                <w:sz w:val="21"/>
                <w:szCs w:val="21"/>
              </w:rPr>
            </w:pPr>
            <w:r>
              <w:rPr>
                <w:rFonts w:hint="eastAsia" w:eastAsia="宋体" w:cs="Times New Roman"/>
                <w:sz w:val="21"/>
                <w:szCs w:val="21"/>
                <w:lang w:val="en-US" w:eastAsia="zh-CN"/>
              </w:rPr>
              <w:t>********</w:t>
            </w:r>
          </w:p>
        </w:tc>
        <w:tc>
          <w:tcPr>
            <w:tcW w:w="0" w:type="auto"/>
            <w:vAlign w:val="center"/>
          </w:tcPr>
          <w:p w14:paraId="1AF4C0CC">
            <w:pPr>
              <w:snapToGrid w:val="0"/>
              <w:spacing w:before="55" w:line="240" w:lineRule="auto"/>
              <w:ind w:left="0" w:leftChars="0" w:right="0" w:rightChars="0" w:firstLine="0" w:firstLineChars="0"/>
              <w:jc w:val="center"/>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J15</w:t>
            </w:r>
          </w:p>
        </w:tc>
        <w:tc>
          <w:tcPr>
            <w:tcW w:w="0" w:type="auto"/>
            <w:vAlign w:val="center"/>
          </w:tcPr>
          <w:p w14:paraId="7A396757">
            <w:pPr>
              <w:snapToGrid w:val="0"/>
              <w:spacing w:before="55" w:line="240" w:lineRule="auto"/>
              <w:ind w:left="0" w:leftChars="0" w:right="0" w:rightChars="0" w:firstLine="420" w:firstLineChars="200"/>
              <w:jc w:val="center"/>
              <w:rPr>
                <w:rFonts w:ascii="Times New Roman" w:hAnsi="Times New Roman" w:eastAsia="Times New Roman" w:cs="Times New Roman"/>
                <w:sz w:val="21"/>
                <w:szCs w:val="21"/>
              </w:rPr>
            </w:pPr>
            <w:r>
              <w:rPr>
                <w:rFonts w:hint="eastAsia" w:eastAsia="宋体" w:cs="Times New Roman"/>
                <w:sz w:val="21"/>
                <w:szCs w:val="21"/>
                <w:lang w:val="en-US" w:eastAsia="zh-CN"/>
              </w:rPr>
              <w:t>********</w:t>
            </w:r>
          </w:p>
        </w:tc>
        <w:tc>
          <w:tcPr>
            <w:tcW w:w="1454" w:type="dxa"/>
            <w:vAlign w:val="center"/>
          </w:tcPr>
          <w:p w14:paraId="42637E73">
            <w:pPr>
              <w:snapToGrid w:val="0"/>
              <w:spacing w:before="55" w:line="240" w:lineRule="auto"/>
              <w:ind w:left="0" w:leftChars="0" w:right="0" w:rightChars="0" w:firstLine="420" w:firstLineChars="200"/>
              <w:jc w:val="center"/>
              <w:rPr>
                <w:rFonts w:ascii="Times New Roman" w:hAnsi="Times New Roman" w:eastAsia="Times New Roman" w:cs="Times New Roman"/>
                <w:sz w:val="21"/>
                <w:szCs w:val="21"/>
              </w:rPr>
            </w:pPr>
            <w:r>
              <w:rPr>
                <w:rFonts w:hint="eastAsia" w:eastAsia="宋体" w:cs="Times New Roman"/>
                <w:sz w:val="21"/>
                <w:szCs w:val="21"/>
                <w:lang w:val="en-US" w:eastAsia="zh-CN"/>
              </w:rPr>
              <w:t>********</w:t>
            </w:r>
          </w:p>
        </w:tc>
      </w:tr>
      <w:tr w14:paraId="25D201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Merge w:val="continue"/>
            <w:tcBorders>
              <w:top w:val="nil"/>
              <w:bottom w:val="nil"/>
            </w:tcBorders>
            <w:vAlign w:val="center"/>
          </w:tcPr>
          <w:p w14:paraId="247A063E">
            <w:pPr>
              <w:snapToGrid w:val="0"/>
              <w:spacing w:line="240" w:lineRule="auto"/>
              <w:ind w:left="0" w:leftChars="0" w:right="0" w:rightChars="0" w:firstLine="0" w:firstLineChars="0"/>
              <w:jc w:val="center"/>
              <w:rPr>
                <w:rFonts w:ascii="Times New Roman" w:eastAsia="Times New Roman"/>
                <w:sz w:val="21"/>
              </w:rPr>
            </w:pPr>
          </w:p>
        </w:tc>
        <w:tc>
          <w:tcPr>
            <w:tcW w:w="0" w:type="auto"/>
            <w:vAlign w:val="center"/>
          </w:tcPr>
          <w:p w14:paraId="72F1665A">
            <w:pPr>
              <w:snapToGrid w:val="0"/>
              <w:spacing w:before="54" w:line="240" w:lineRule="auto"/>
              <w:ind w:left="0" w:leftChars="0" w:right="0" w:rightChars="0" w:firstLine="0" w:firstLineChars="0"/>
              <w:jc w:val="center"/>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JC3</w:t>
            </w:r>
          </w:p>
        </w:tc>
        <w:tc>
          <w:tcPr>
            <w:tcW w:w="0" w:type="auto"/>
            <w:vAlign w:val="center"/>
          </w:tcPr>
          <w:p w14:paraId="575F9735">
            <w:pPr>
              <w:snapToGrid w:val="0"/>
              <w:spacing w:before="53" w:line="240" w:lineRule="auto"/>
              <w:ind w:left="0" w:leftChars="0" w:right="0" w:rightChars="0" w:firstLine="420" w:firstLineChars="200"/>
              <w:jc w:val="center"/>
              <w:rPr>
                <w:rFonts w:hint="eastAsia" w:eastAsia="宋体" w:cs="Times New Roman"/>
                <w:sz w:val="21"/>
                <w:szCs w:val="21"/>
                <w:lang w:val="en-US" w:eastAsia="zh-CN"/>
              </w:rPr>
            </w:pPr>
            <w:r>
              <w:rPr>
                <w:rFonts w:hint="eastAsia" w:eastAsia="宋体" w:cs="Times New Roman"/>
                <w:sz w:val="21"/>
                <w:szCs w:val="21"/>
                <w:lang w:val="en-US" w:eastAsia="zh-CN"/>
              </w:rPr>
              <w:t>********</w:t>
            </w:r>
          </w:p>
        </w:tc>
        <w:tc>
          <w:tcPr>
            <w:tcW w:w="0" w:type="auto"/>
            <w:vAlign w:val="center"/>
          </w:tcPr>
          <w:p w14:paraId="74B46C11">
            <w:pPr>
              <w:snapToGrid w:val="0"/>
              <w:spacing w:before="54" w:line="240" w:lineRule="auto"/>
              <w:ind w:left="0" w:leftChars="0" w:right="0" w:rightChars="0" w:firstLine="420" w:firstLineChars="200"/>
              <w:jc w:val="center"/>
              <w:rPr>
                <w:rFonts w:ascii="Times New Roman" w:hAnsi="Times New Roman" w:eastAsia="Times New Roman" w:cs="Times New Roman"/>
                <w:sz w:val="21"/>
                <w:szCs w:val="21"/>
              </w:rPr>
            </w:pPr>
            <w:r>
              <w:rPr>
                <w:rFonts w:hint="eastAsia" w:eastAsia="宋体" w:cs="Times New Roman"/>
                <w:sz w:val="21"/>
                <w:szCs w:val="21"/>
                <w:lang w:val="en-US" w:eastAsia="zh-CN"/>
              </w:rPr>
              <w:t>********</w:t>
            </w:r>
          </w:p>
        </w:tc>
        <w:tc>
          <w:tcPr>
            <w:tcW w:w="0" w:type="auto"/>
            <w:vAlign w:val="center"/>
          </w:tcPr>
          <w:p w14:paraId="355E167D">
            <w:pPr>
              <w:snapToGrid w:val="0"/>
              <w:spacing w:before="55" w:line="240" w:lineRule="auto"/>
              <w:ind w:left="0" w:leftChars="0" w:right="0" w:rightChars="0" w:firstLine="0" w:firstLineChars="0"/>
              <w:jc w:val="center"/>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J16</w:t>
            </w:r>
          </w:p>
        </w:tc>
        <w:tc>
          <w:tcPr>
            <w:tcW w:w="0" w:type="auto"/>
            <w:vAlign w:val="center"/>
          </w:tcPr>
          <w:p w14:paraId="6B224215">
            <w:pPr>
              <w:snapToGrid w:val="0"/>
              <w:spacing w:before="55" w:line="240" w:lineRule="auto"/>
              <w:ind w:left="0" w:leftChars="0" w:right="0" w:rightChars="0" w:firstLine="420" w:firstLineChars="200"/>
              <w:jc w:val="center"/>
              <w:rPr>
                <w:rFonts w:ascii="Times New Roman" w:hAnsi="Times New Roman" w:eastAsia="Times New Roman" w:cs="Times New Roman"/>
                <w:sz w:val="21"/>
                <w:szCs w:val="21"/>
              </w:rPr>
            </w:pPr>
            <w:r>
              <w:rPr>
                <w:rFonts w:hint="eastAsia" w:eastAsia="宋体" w:cs="Times New Roman"/>
                <w:sz w:val="21"/>
                <w:szCs w:val="21"/>
                <w:lang w:val="en-US" w:eastAsia="zh-CN"/>
              </w:rPr>
              <w:t>********</w:t>
            </w:r>
          </w:p>
        </w:tc>
        <w:tc>
          <w:tcPr>
            <w:tcW w:w="1454" w:type="dxa"/>
            <w:vAlign w:val="center"/>
          </w:tcPr>
          <w:p w14:paraId="7AC91E5D">
            <w:pPr>
              <w:snapToGrid w:val="0"/>
              <w:spacing w:before="55" w:line="240" w:lineRule="auto"/>
              <w:ind w:left="0" w:leftChars="0" w:right="0" w:rightChars="0" w:firstLine="420" w:firstLineChars="200"/>
              <w:jc w:val="center"/>
              <w:rPr>
                <w:rFonts w:ascii="Times New Roman" w:hAnsi="Times New Roman" w:eastAsia="Times New Roman" w:cs="Times New Roman"/>
                <w:sz w:val="21"/>
                <w:szCs w:val="21"/>
              </w:rPr>
            </w:pPr>
            <w:r>
              <w:rPr>
                <w:rFonts w:hint="eastAsia" w:eastAsia="宋体" w:cs="Times New Roman"/>
                <w:sz w:val="21"/>
                <w:szCs w:val="21"/>
                <w:lang w:val="en-US" w:eastAsia="zh-CN"/>
              </w:rPr>
              <w:t>********</w:t>
            </w:r>
          </w:p>
        </w:tc>
      </w:tr>
      <w:tr w14:paraId="1BCBCB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Merge w:val="continue"/>
            <w:tcBorders>
              <w:top w:val="nil"/>
              <w:bottom w:val="nil"/>
            </w:tcBorders>
            <w:vAlign w:val="center"/>
          </w:tcPr>
          <w:p w14:paraId="11280608">
            <w:pPr>
              <w:snapToGrid w:val="0"/>
              <w:spacing w:line="240" w:lineRule="auto"/>
              <w:ind w:left="0" w:leftChars="0" w:right="0" w:rightChars="0" w:firstLine="0" w:firstLineChars="0"/>
              <w:jc w:val="center"/>
              <w:rPr>
                <w:rFonts w:ascii="Times New Roman" w:eastAsia="Times New Roman"/>
                <w:sz w:val="21"/>
              </w:rPr>
            </w:pPr>
          </w:p>
        </w:tc>
        <w:tc>
          <w:tcPr>
            <w:tcW w:w="0" w:type="auto"/>
            <w:vAlign w:val="center"/>
          </w:tcPr>
          <w:p w14:paraId="6AFF9FFE">
            <w:pPr>
              <w:snapToGrid w:val="0"/>
              <w:spacing w:before="55" w:line="240" w:lineRule="auto"/>
              <w:ind w:left="0" w:leftChars="0" w:right="0" w:rightChars="0" w:firstLine="0" w:firstLineChars="0"/>
              <w:jc w:val="center"/>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JC4</w:t>
            </w:r>
          </w:p>
          <w:p w14:paraId="77E3A542">
            <w:pPr>
              <w:snapToGrid w:val="0"/>
              <w:spacing w:before="90" w:line="240" w:lineRule="auto"/>
              <w:ind w:left="0" w:leftChars="0" w:right="0" w:rightChars="0" w:firstLine="0" w:firstLineChars="0"/>
              <w:jc w:val="center"/>
              <w:rPr>
                <w:rFonts w:ascii="Times New Roman" w:hAnsi="Arial Unicode MS" w:eastAsia="Times New Roman" w:cs="Arial Unicode MS"/>
                <w:sz w:val="21"/>
                <w:szCs w:val="21"/>
              </w:rPr>
            </w:pPr>
            <w:r>
              <w:rPr>
                <w:rFonts w:ascii="Times New Roman" w:hAnsi="Arial Unicode MS" w:eastAsia="Times New Roman" w:cs="Arial Unicode MS"/>
                <w:spacing w:val="9"/>
                <w:sz w:val="21"/>
                <w:szCs w:val="21"/>
              </w:rPr>
              <w:t>（基准点）</w:t>
            </w:r>
          </w:p>
        </w:tc>
        <w:tc>
          <w:tcPr>
            <w:tcW w:w="0" w:type="auto"/>
            <w:vAlign w:val="center"/>
          </w:tcPr>
          <w:p w14:paraId="59A842BD">
            <w:pPr>
              <w:snapToGrid w:val="0"/>
              <w:spacing w:before="53" w:line="240" w:lineRule="auto"/>
              <w:ind w:left="0" w:leftChars="0" w:right="0" w:rightChars="0" w:firstLine="420" w:firstLineChars="200"/>
              <w:jc w:val="center"/>
              <w:rPr>
                <w:rFonts w:hint="eastAsia" w:eastAsia="宋体" w:cs="Times New Roman"/>
                <w:sz w:val="21"/>
                <w:szCs w:val="21"/>
                <w:lang w:val="en-US" w:eastAsia="zh-CN"/>
              </w:rPr>
            </w:pPr>
            <w:r>
              <w:rPr>
                <w:rFonts w:hint="eastAsia" w:eastAsia="宋体" w:cs="Times New Roman"/>
                <w:sz w:val="21"/>
                <w:szCs w:val="21"/>
                <w:lang w:val="en-US" w:eastAsia="zh-CN"/>
              </w:rPr>
              <w:t>********</w:t>
            </w:r>
          </w:p>
        </w:tc>
        <w:tc>
          <w:tcPr>
            <w:tcW w:w="0" w:type="auto"/>
            <w:vAlign w:val="center"/>
          </w:tcPr>
          <w:p w14:paraId="427E2527">
            <w:pPr>
              <w:snapToGrid w:val="0"/>
              <w:spacing w:before="223" w:line="240" w:lineRule="auto"/>
              <w:ind w:left="0" w:leftChars="0" w:right="0" w:rightChars="0" w:firstLine="420" w:firstLineChars="200"/>
              <w:jc w:val="center"/>
              <w:rPr>
                <w:rFonts w:ascii="Times New Roman" w:hAnsi="Times New Roman" w:eastAsia="Times New Roman" w:cs="Times New Roman"/>
                <w:sz w:val="21"/>
                <w:szCs w:val="21"/>
              </w:rPr>
            </w:pPr>
            <w:r>
              <w:rPr>
                <w:rFonts w:hint="eastAsia" w:eastAsia="宋体" w:cs="Times New Roman"/>
                <w:sz w:val="21"/>
                <w:szCs w:val="21"/>
                <w:lang w:val="en-US" w:eastAsia="zh-CN"/>
              </w:rPr>
              <w:t>********</w:t>
            </w:r>
          </w:p>
        </w:tc>
        <w:tc>
          <w:tcPr>
            <w:tcW w:w="0" w:type="auto"/>
            <w:vAlign w:val="center"/>
          </w:tcPr>
          <w:p w14:paraId="080B73F2">
            <w:pPr>
              <w:snapToGrid w:val="0"/>
              <w:spacing w:before="219" w:line="240" w:lineRule="auto"/>
              <w:ind w:left="0" w:leftChars="0" w:right="0" w:rightChars="0" w:firstLine="0" w:firstLineChars="0"/>
              <w:jc w:val="center"/>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J17</w:t>
            </w:r>
          </w:p>
        </w:tc>
        <w:tc>
          <w:tcPr>
            <w:tcW w:w="0" w:type="auto"/>
            <w:vAlign w:val="center"/>
          </w:tcPr>
          <w:p w14:paraId="0951F3A6">
            <w:pPr>
              <w:snapToGrid w:val="0"/>
              <w:spacing w:before="219" w:line="240" w:lineRule="auto"/>
              <w:ind w:left="0" w:leftChars="0" w:right="0" w:rightChars="0" w:firstLine="420" w:firstLineChars="200"/>
              <w:jc w:val="center"/>
              <w:rPr>
                <w:rFonts w:ascii="Times New Roman" w:hAnsi="Times New Roman" w:eastAsia="Times New Roman" w:cs="Times New Roman"/>
                <w:sz w:val="21"/>
                <w:szCs w:val="21"/>
              </w:rPr>
            </w:pPr>
            <w:r>
              <w:rPr>
                <w:rFonts w:hint="eastAsia" w:eastAsia="宋体" w:cs="Times New Roman"/>
                <w:sz w:val="21"/>
                <w:szCs w:val="21"/>
                <w:lang w:val="en-US" w:eastAsia="zh-CN"/>
              </w:rPr>
              <w:t>********</w:t>
            </w:r>
          </w:p>
        </w:tc>
        <w:tc>
          <w:tcPr>
            <w:tcW w:w="1454" w:type="dxa"/>
            <w:vAlign w:val="center"/>
          </w:tcPr>
          <w:p w14:paraId="7BCCB731">
            <w:pPr>
              <w:snapToGrid w:val="0"/>
              <w:spacing w:before="219" w:line="240" w:lineRule="auto"/>
              <w:ind w:left="0" w:leftChars="0" w:right="0" w:rightChars="0" w:firstLine="420" w:firstLineChars="200"/>
              <w:jc w:val="center"/>
              <w:rPr>
                <w:rFonts w:ascii="Times New Roman" w:hAnsi="Times New Roman" w:eastAsia="Times New Roman" w:cs="Times New Roman"/>
                <w:sz w:val="21"/>
                <w:szCs w:val="21"/>
              </w:rPr>
            </w:pPr>
            <w:r>
              <w:rPr>
                <w:rFonts w:hint="eastAsia" w:eastAsia="宋体" w:cs="Times New Roman"/>
                <w:sz w:val="21"/>
                <w:szCs w:val="21"/>
                <w:lang w:val="en-US" w:eastAsia="zh-CN"/>
              </w:rPr>
              <w:t>********</w:t>
            </w:r>
          </w:p>
        </w:tc>
      </w:tr>
      <w:tr w14:paraId="742A0A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Merge w:val="continue"/>
            <w:tcBorders>
              <w:top w:val="nil"/>
              <w:bottom w:val="nil"/>
            </w:tcBorders>
            <w:vAlign w:val="center"/>
          </w:tcPr>
          <w:p w14:paraId="70CDB667">
            <w:pPr>
              <w:snapToGrid w:val="0"/>
              <w:spacing w:line="240" w:lineRule="auto"/>
              <w:ind w:left="0" w:leftChars="0" w:right="0" w:rightChars="0" w:firstLine="0" w:firstLineChars="0"/>
              <w:jc w:val="center"/>
              <w:rPr>
                <w:rFonts w:ascii="Times New Roman" w:eastAsia="Times New Roman"/>
                <w:sz w:val="21"/>
              </w:rPr>
            </w:pPr>
          </w:p>
        </w:tc>
        <w:tc>
          <w:tcPr>
            <w:tcW w:w="0" w:type="auto"/>
            <w:vAlign w:val="center"/>
          </w:tcPr>
          <w:p w14:paraId="1FFAC802">
            <w:pPr>
              <w:snapToGrid w:val="0"/>
              <w:spacing w:before="56" w:line="240" w:lineRule="auto"/>
              <w:ind w:left="0" w:leftChars="0" w:right="0" w:rightChars="0" w:firstLine="0" w:firstLineChars="0"/>
              <w:jc w:val="center"/>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JC5</w:t>
            </w:r>
          </w:p>
        </w:tc>
        <w:tc>
          <w:tcPr>
            <w:tcW w:w="0" w:type="auto"/>
            <w:vAlign w:val="center"/>
          </w:tcPr>
          <w:p w14:paraId="455F66AD">
            <w:pPr>
              <w:snapToGrid w:val="0"/>
              <w:spacing w:before="53" w:line="240" w:lineRule="auto"/>
              <w:ind w:left="0" w:leftChars="0" w:right="0" w:rightChars="0" w:firstLine="420" w:firstLineChars="200"/>
              <w:jc w:val="center"/>
              <w:rPr>
                <w:rFonts w:hint="eastAsia" w:eastAsia="宋体" w:cs="Times New Roman"/>
                <w:sz w:val="21"/>
                <w:szCs w:val="21"/>
                <w:lang w:val="en-US" w:eastAsia="zh-CN"/>
              </w:rPr>
            </w:pPr>
            <w:r>
              <w:rPr>
                <w:rFonts w:hint="eastAsia" w:eastAsia="宋体" w:cs="Times New Roman"/>
                <w:sz w:val="21"/>
                <w:szCs w:val="21"/>
                <w:lang w:val="en-US" w:eastAsia="zh-CN"/>
              </w:rPr>
              <w:t>********</w:t>
            </w:r>
          </w:p>
        </w:tc>
        <w:tc>
          <w:tcPr>
            <w:tcW w:w="0" w:type="auto"/>
            <w:vAlign w:val="center"/>
          </w:tcPr>
          <w:p w14:paraId="107B5D9D">
            <w:pPr>
              <w:snapToGrid w:val="0"/>
              <w:spacing w:before="56" w:line="240" w:lineRule="auto"/>
              <w:ind w:left="0" w:leftChars="0" w:right="0" w:rightChars="0" w:firstLine="420" w:firstLineChars="200"/>
              <w:jc w:val="center"/>
              <w:rPr>
                <w:rFonts w:ascii="Times New Roman" w:hAnsi="Times New Roman" w:eastAsia="Times New Roman" w:cs="Times New Roman"/>
                <w:sz w:val="21"/>
                <w:szCs w:val="21"/>
              </w:rPr>
            </w:pPr>
            <w:r>
              <w:rPr>
                <w:rFonts w:hint="eastAsia" w:eastAsia="宋体" w:cs="Times New Roman"/>
                <w:sz w:val="21"/>
                <w:szCs w:val="21"/>
                <w:lang w:val="en-US" w:eastAsia="zh-CN"/>
              </w:rPr>
              <w:t>********</w:t>
            </w:r>
          </w:p>
        </w:tc>
        <w:tc>
          <w:tcPr>
            <w:tcW w:w="0" w:type="auto"/>
            <w:vAlign w:val="center"/>
          </w:tcPr>
          <w:p w14:paraId="3F3D00CE">
            <w:pPr>
              <w:snapToGrid w:val="0"/>
              <w:spacing w:before="56" w:line="240" w:lineRule="auto"/>
              <w:ind w:left="0" w:leftChars="0" w:right="0" w:rightChars="0" w:firstLine="0" w:firstLineChars="0"/>
              <w:jc w:val="center"/>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J18</w:t>
            </w:r>
          </w:p>
        </w:tc>
        <w:tc>
          <w:tcPr>
            <w:tcW w:w="0" w:type="auto"/>
            <w:vAlign w:val="center"/>
          </w:tcPr>
          <w:p w14:paraId="38134D92">
            <w:pPr>
              <w:snapToGrid w:val="0"/>
              <w:spacing w:before="56" w:line="240" w:lineRule="auto"/>
              <w:ind w:left="0" w:leftChars="0" w:right="0" w:rightChars="0" w:firstLine="420" w:firstLineChars="200"/>
              <w:jc w:val="center"/>
              <w:rPr>
                <w:rFonts w:ascii="Times New Roman" w:hAnsi="Times New Roman" w:eastAsia="Times New Roman" w:cs="Times New Roman"/>
                <w:sz w:val="21"/>
                <w:szCs w:val="21"/>
              </w:rPr>
            </w:pPr>
            <w:r>
              <w:rPr>
                <w:rFonts w:hint="eastAsia" w:eastAsia="宋体" w:cs="Times New Roman"/>
                <w:sz w:val="21"/>
                <w:szCs w:val="21"/>
                <w:lang w:val="en-US" w:eastAsia="zh-CN"/>
              </w:rPr>
              <w:t>********</w:t>
            </w:r>
          </w:p>
        </w:tc>
        <w:tc>
          <w:tcPr>
            <w:tcW w:w="1454" w:type="dxa"/>
            <w:vAlign w:val="center"/>
          </w:tcPr>
          <w:p w14:paraId="6EE94824">
            <w:pPr>
              <w:snapToGrid w:val="0"/>
              <w:spacing w:before="56" w:line="240" w:lineRule="auto"/>
              <w:ind w:left="0" w:leftChars="0" w:right="0" w:rightChars="0" w:firstLine="420" w:firstLineChars="200"/>
              <w:jc w:val="center"/>
              <w:rPr>
                <w:rFonts w:ascii="Times New Roman" w:hAnsi="Times New Roman" w:eastAsia="Times New Roman" w:cs="Times New Roman"/>
                <w:sz w:val="21"/>
                <w:szCs w:val="21"/>
              </w:rPr>
            </w:pPr>
            <w:r>
              <w:rPr>
                <w:rFonts w:hint="eastAsia" w:eastAsia="宋体" w:cs="Times New Roman"/>
                <w:sz w:val="21"/>
                <w:szCs w:val="21"/>
                <w:lang w:val="en-US" w:eastAsia="zh-CN"/>
              </w:rPr>
              <w:t>********</w:t>
            </w:r>
          </w:p>
        </w:tc>
      </w:tr>
      <w:tr w14:paraId="78E696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Merge w:val="continue"/>
            <w:tcBorders>
              <w:top w:val="nil"/>
              <w:bottom w:val="nil"/>
            </w:tcBorders>
            <w:vAlign w:val="center"/>
          </w:tcPr>
          <w:p w14:paraId="14E8A73B">
            <w:pPr>
              <w:snapToGrid w:val="0"/>
              <w:spacing w:line="240" w:lineRule="auto"/>
              <w:ind w:left="0" w:leftChars="0" w:right="0" w:rightChars="0" w:firstLine="0" w:firstLineChars="0"/>
              <w:jc w:val="center"/>
              <w:rPr>
                <w:rFonts w:ascii="Times New Roman" w:eastAsia="Times New Roman"/>
                <w:sz w:val="21"/>
              </w:rPr>
            </w:pPr>
          </w:p>
        </w:tc>
        <w:tc>
          <w:tcPr>
            <w:tcW w:w="0" w:type="auto"/>
            <w:vAlign w:val="center"/>
          </w:tcPr>
          <w:p w14:paraId="160AB823">
            <w:pPr>
              <w:snapToGrid w:val="0"/>
              <w:spacing w:before="55" w:line="240" w:lineRule="auto"/>
              <w:ind w:left="0" w:leftChars="0" w:right="0" w:rightChars="0" w:firstLine="0" w:firstLineChars="0"/>
              <w:jc w:val="center"/>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JC6</w:t>
            </w:r>
          </w:p>
        </w:tc>
        <w:tc>
          <w:tcPr>
            <w:tcW w:w="0" w:type="auto"/>
            <w:vAlign w:val="center"/>
          </w:tcPr>
          <w:p w14:paraId="1FF4FEC7">
            <w:pPr>
              <w:snapToGrid w:val="0"/>
              <w:spacing w:before="53" w:line="240" w:lineRule="auto"/>
              <w:ind w:left="0" w:leftChars="0" w:right="0" w:rightChars="0" w:firstLine="420" w:firstLineChars="200"/>
              <w:jc w:val="center"/>
              <w:rPr>
                <w:rFonts w:hint="eastAsia" w:eastAsia="宋体" w:cs="Times New Roman"/>
                <w:sz w:val="21"/>
                <w:szCs w:val="21"/>
                <w:lang w:val="en-US" w:eastAsia="zh-CN"/>
              </w:rPr>
            </w:pPr>
            <w:r>
              <w:rPr>
                <w:rFonts w:hint="eastAsia" w:eastAsia="宋体" w:cs="Times New Roman"/>
                <w:sz w:val="21"/>
                <w:szCs w:val="21"/>
                <w:lang w:val="en-US" w:eastAsia="zh-CN"/>
              </w:rPr>
              <w:t>********</w:t>
            </w:r>
          </w:p>
        </w:tc>
        <w:tc>
          <w:tcPr>
            <w:tcW w:w="0" w:type="auto"/>
            <w:vAlign w:val="center"/>
          </w:tcPr>
          <w:p w14:paraId="214C5659">
            <w:pPr>
              <w:snapToGrid w:val="0"/>
              <w:spacing w:before="56" w:line="240" w:lineRule="auto"/>
              <w:ind w:left="0" w:leftChars="0" w:right="0" w:rightChars="0" w:firstLine="420" w:firstLineChars="200"/>
              <w:jc w:val="center"/>
              <w:rPr>
                <w:rFonts w:ascii="Times New Roman" w:hAnsi="Times New Roman" w:eastAsia="Times New Roman" w:cs="Times New Roman"/>
                <w:sz w:val="21"/>
                <w:szCs w:val="21"/>
              </w:rPr>
            </w:pPr>
            <w:r>
              <w:rPr>
                <w:rFonts w:hint="eastAsia" w:eastAsia="宋体" w:cs="Times New Roman"/>
                <w:sz w:val="21"/>
                <w:szCs w:val="21"/>
                <w:lang w:val="en-US" w:eastAsia="zh-CN"/>
              </w:rPr>
              <w:t>********</w:t>
            </w:r>
          </w:p>
        </w:tc>
        <w:tc>
          <w:tcPr>
            <w:tcW w:w="0" w:type="auto"/>
            <w:vAlign w:val="center"/>
          </w:tcPr>
          <w:p w14:paraId="02486628">
            <w:pPr>
              <w:snapToGrid w:val="0"/>
              <w:spacing w:before="56" w:line="240" w:lineRule="auto"/>
              <w:ind w:left="0" w:leftChars="0" w:right="0" w:rightChars="0" w:firstLine="0" w:firstLineChars="0"/>
              <w:jc w:val="center"/>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J19</w:t>
            </w:r>
          </w:p>
        </w:tc>
        <w:tc>
          <w:tcPr>
            <w:tcW w:w="0" w:type="auto"/>
            <w:vAlign w:val="center"/>
          </w:tcPr>
          <w:p w14:paraId="7F765562">
            <w:pPr>
              <w:snapToGrid w:val="0"/>
              <w:spacing w:before="56" w:line="240" w:lineRule="auto"/>
              <w:ind w:left="0" w:leftChars="0" w:right="0" w:rightChars="0" w:firstLine="420" w:firstLineChars="200"/>
              <w:jc w:val="center"/>
              <w:rPr>
                <w:rFonts w:ascii="Times New Roman" w:hAnsi="Times New Roman" w:eastAsia="Times New Roman" w:cs="Times New Roman"/>
                <w:sz w:val="21"/>
                <w:szCs w:val="21"/>
              </w:rPr>
            </w:pPr>
            <w:r>
              <w:rPr>
                <w:rFonts w:hint="eastAsia" w:eastAsia="宋体" w:cs="Times New Roman"/>
                <w:sz w:val="21"/>
                <w:szCs w:val="21"/>
                <w:lang w:val="en-US" w:eastAsia="zh-CN"/>
              </w:rPr>
              <w:t>********</w:t>
            </w:r>
          </w:p>
        </w:tc>
        <w:tc>
          <w:tcPr>
            <w:tcW w:w="1454" w:type="dxa"/>
            <w:vAlign w:val="center"/>
          </w:tcPr>
          <w:p w14:paraId="24BF1C88">
            <w:pPr>
              <w:snapToGrid w:val="0"/>
              <w:spacing w:before="56" w:line="240" w:lineRule="auto"/>
              <w:ind w:left="0" w:leftChars="0" w:right="0" w:rightChars="0" w:firstLine="420" w:firstLineChars="200"/>
              <w:jc w:val="center"/>
              <w:rPr>
                <w:rFonts w:ascii="Times New Roman" w:hAnsi="Times New Roman" w:eastAsia="Times New Roman" w:cs="Times New Roman"/>
                <w:sz w:val="21"/>
                <w:szCs w:val="21"/>
              </w:rPr>
            </w:pPr>
            <w:r>
              <w:rPr>
                <w:rFonts w:hint="eastAsia" w:eastAsia="宋体" w:cs="Times New Roman"/>
                <w:sz w:val="21"/>
                <w:szCs w:val="21"/>
                <w:lang w:val="en-US" w:eastAsia="zh-CN"/>
              </w:rPr>
              <w:t>********</w:t>
            </w:r>
          </w:p>
        </w:tc>
      </w:tr>
      <w:tr w14:paraId="2B5FD4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Merge w:val="continue"/>
            <w:tcBorders>
              <w:top w:val="nil"/>
              <w:bottom w:val="nil"/>
            </w:tcBorders>
            <w:vAlign w:val="center"/>
          </w:tcPr>
          <w:p w14:paraId="2C26EAA3">
            <w:pPr>
              <w:snapToGrid w:val="0"/>
              <w:spacing w:line="240" w:lineRule="auto"/>
              <w:ind w:left="0" w:leftChars="0" w:right="0" w:rightChars="0" w:firstLine="0" w:firstLineChars="0"/>
              <w:jc w:val="center"/>
              <w:rPr>
                <w:rFonts w:ascii="Times New Roman" w:eastAsia="Times New Roman"/>
                <w:sz w:val="21"/>
              </w:rPr>
            </w:pPr>
          </w:p>
        </w:tc>
        <w:tc>
          <w:tcPr>
            <w:tcW w:w="0" w:type="auto"/>
            <w:vAlign w:val="center"/>
          </w:tcPr>
          <w:p w14:paraId="237C846A">
            <w:pPr>
              <w:snapToGrid w:val="0"/>
              <w:spacing w:before="57" w:line="240" w:lineRule="auto"/>
              <w:ind w:left="0" w:leftChars="0" w:right="0" w:rightChars="0" w:firstLine="0" w:firstLineChars="0"/>
              <w:jc w:val="center"/>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JC7</w:t>
            </w:r>
          </w:p>
        </w:tc>
        <w:tc>
          <w:tcPr>
            <w:tcW w:w="0" w:type="auto"/>
            <w:vAlign w:val="center"/>
          </w:tcPr>
          <w:p w14:paraId="0BAAC0D1">
            <w:pPr>
              <w:snapToGrid w:val="0"/>
              <w:spacing w:before="53" w:line="240" w:lineRule="auto"/>
              <w:ind w:left="0" w:leftChars="0" w:right="0" w:rightChars="0" w:firstLine="420" w:firstLineChars="200"/>
              <w:jc w:val="center"/>
              <w:rPr>
                <w:rFonts w:hint="eastAsia" w:eastAsia="宋体" w:cs="Times New Roman"/>
                <w:sz w:val="21"/>
                <w:szCs w:val="21"/>
                <w:lang w:val="en-US" w:eastAsia="zh-CN"/>
              </w:rPr>
            </w:pPr>
            <w:r>
              <w:rPr>
                <w:rFonts w:hint="eastAsia" w:eastAsia="宋体" w:cs="Times New Roman"/>
                <w:sz w:val="21"/>
                <w:szCs w:val="21"/>
                <w:lang w:val="en-US" w:eastAsia="zh-CN"/>
              </w:rPr>
              <w:t>********</w:t>
            </w:r>
          </w:p>
        </w:tc>
        <w:tc>
          <w:tcPr>
            <w:tcW w:w="0" w:type="auto"/>
            <w:vAlign w:val="center"/>
          </w:tcPr>
          <w:p w14:paraId="776024B3">
            <w:pPr>
              <w:snapToGrid w:val="0"/>
              <w:spacing w:before="57" w:line="240" w:lineRule="auto"/>
              <w:ind w:left="0" w:leftChars="0" w:right="0" w:rightChars="0" w:firstLine="420" w:firstLineChars="200"/>
              <w:jc w:val="center"/>
              <w:rPr>
                <w:rFonts w:ascii="Times New Roman" w:hAnsi="Times New Roman" w:eastAsia="Times New Roman" w:cs="Times New Roman"/>
                <w:sz w:val="21"/>
                <w:szCs w:val="21"/>
              </w:rPr>
            </w:pPr>
            <w:r>
              <w:rPr>
                <w:rFonts w:hint="eastAsia" w:eastAsia="宋体" w:cs="Times New Roman"/>
                <w:sz w:val="21"/>
                <w:szCs w:val="21"/>
                <w:lang w:val="en-US" w:eastAsia="zh-CN"/>
              </w:rPr>
              <w:t>********</w:t>
            </w:r>
          </w:p>
        </w:tc>
        <w:tc>
          <w:tcPr>
            <w:tcW w:w="0" w:type="auto"/>
            <w:vAlign w:val="center"/>
          </w:tcPr>
          <w:p w14:paraId="08217669">
            <w:pPr>
              <w:snapToGrid w:val="0"/>
              <w:spacing w:before="57" w:line="240" w:lineRule="auto"/>
              <w:ind w:left="0" w:leftChars="0" w:right="0" w:rightChars="0" w:firstLine="0" w:firstLineChars="0"/>
              <w:jc w:val="center"/>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J20</w:t>
            </w:r>
          </w:p>
        </w:tc>
        <w:tc>
          <w:tcPr>
            <w:tcW w:w="0" w:type="auto"/>
            <w:vAlign w:val="center"/>
          </w:tcPr>
          <w:p w14:paraId="252DE545">
            <w:pPr>
              <w:snapToGrid w:val="0"/>
              <w:spacing w:before="57" w:line="240" w:lineRule="auto"/>
              <w:ind w:left="0" w:leftChars="0" w:right="0" w:rightChars="0" w:firstLine="420" w:firstLineChars="200"/>
              <w:jc w:val="center"/>
              <w:rPr>
                <w:rFonts w:ascii="Times New Roman" w:hAnsi="Times New Roman" w:eastAsia="Times New Roman" w:cs="Times New Roman"/>
                <w:sz w:val="21"/>
                <w:szCs w:val="21"/>
              </w:rPr>
            </w:pPr>
            <w:r>
              <w:rPr>
                <w:rFonts w:hint="eastAsia" w:eastAsia="宋体" w:cs="Times New Roman"/>
                <w:sz w:val="21"/>
                <w:szCs w:val="21"/>
                <w:lang w:val="en-US" w:eastAsia="zh-CN"/>
              </w:rPr>
              <w:t>********</w:t>
            </w:r>
          </w:p>
        </w:tc>
        <w:tc>
          <w:tcPr>
            <w:tcW w:w="1454" w:type="dxa"/>
            <w:vAlign w:val="center"/>
          </w:tcPr>
          <w:p w14:paraId="6BEEFBBF">
            <w:pPr>
              <w:snapToGrid w:val="0"/>
              <w:spacing w:before="57" w:line="240" w:lineRule="auto"/>
              <w:ind w:left="0" w:leftChars="0" w:right="0" w:rightChars="0" w:firstLine="420" w:firstLineChars="200"/>
              <w:jc w:val="center"/>
              <w:rPr>
                <w:rFonts w:ascii="Times New Roman" w:hAnsi="Times New Roman" w:eastAsia="Times New Roman" w:cs="Times New Roman"/>
                <w:sz w:val="21"/>
                <w:szCs w:val="21"/>
              </w:rPr>
            </w:pPr>
            <w:r>
              <w:rPr>
                <w:rFonts w:hint="eastAsia" w:eastAsia="宋体" w:cs="Times New Roman"/>
                <w:sz w:val="21"/>
                <w:szCs w:val="21"/>
                <w:lang w:val="en-US" w:eastAsia="zh-CN"/>
              </w:rPr>
              <w:t>********</w:t>
            </w:r>
          </w:p>
        </w:tc>
      </w:tr>
      <w:tr w14:paraId="26F595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Merge w:val="continue"/>
            <w:tcBorders>
              <w:top w:val="nil"/>
              <w:bottom w:val="nil"/>
            </w:tcBorders>
            <w:vAlign w:val="center"/>
          </w:tcPr>
          <w:p w14:paraId="32B6E4EA">
            <w:pPr>
              <w:snapToGrid w:val="0"/>
              <w:spacing w:line="240" w:lineRule="auto"/>
              <w:ind w:left="0" w:leftChars="0" w:right="0" w:rightChars="0" w:firstLine="0" w:firstLineChars="0"/>
              <w:jc w:val="center"/>
              <w:rPr>
                <w:rFonts w:ascii="Times New Roman" w:eastAsia="Times New Roman"/>
                <w:sz w:val="21"/>
              </w:rPr>
            </w:pPr>
          </w:p>
        </w:tc>
        <w:tc>
          <w:tcPr>
            <w:tcW w:w="0" w:type="auto"/>
            <w:vAlign w:val="center"/>
          </w:tcPr>
          <w:p w14:paraId="30325275">
            <w:pPr>
              <w:snapToGrid w:val="0"/>
              <w:spacing w:before="56" w:line="240" w:lineRule="auto"/>
              <w:ind w:left="0" w:leftChars="0" w:right="0" w:rightChars="0" w:firstLine="0" w:firstLineChars="0"/>
              <w:jc w:val="center"/>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JC8</w:t>
            </w:r>
          </w:p>
        </w:tc>
        <w:tc>
          <w:tcPr>
            <w:tcW w:w="0" w:type="auto"/>
            <w:vAlign w:val="center"/>
          </w:tcPr>
          <w:p w14:paraId="2A4B53E4">
            <w:pPr>
              <w:snapToGrid w:val="0"/>
              <w:spacing w:before="53" w:line="240" w:lineRule="auto"/>
              <w:ind w:left="0" w:leftChars="0" w:right="0" w:rightChars="0" w:firstLine="420" w:firstLineChars="200"/>
              <w:jc w:val="center"/>
              <w:rPr>
                <w:rFonts w:hint="eastAsia" w:eastAsia="宋体" w:cs="Times New Roman"/>
                <w:sz w:val="21"/>
                <w:szCs w:val="21"/>
                <w:lang w:val="en-US" w:eastAsia="zh-CN"/>
              </w:rPr>
            </w:pPr>
            <w:r>
              <w:rPr>
                <w:rFonts w:hint="eastAsia" w:eastAsia="宋体" w:cs="Times New Roman"/>
                <w:sz w:val="21"/>
                <w:szCs w:val="21"/>
                <w:lang w:val="en-US" w:eastAsia="zh-CN"/>
              </w:rPr>
              <w:t>********</w:t>
            </w:r>
          </w:p>
        </w:tc>
        <w:tc>
          <w:tcPr>
            <w:tcW w:w="0" w:type="auto"/>
            <w:vAlign w:val="center"/>
          </w:tcPr>
          <w:p w14:paraId="030E48B2">
            <w:pPr>
              <w:snapToGrid w:val="0"/>
              <w:spacing w:before="57" w:line="240" w:lineRule="auto"/>
              <w:ind w:left="0" w:leftChars="0" w:right="0" w:rightChars="0" w:firstLine="420" w:firstLineChars="200"/>
              <w:jc w:val="center"/>
              <w:rPr>
                <w:rFonts w:ascii="Times New Roman" w:hAnsi="Times New Roman" w:eastAsia="Times New Roman" w:cs="Times New Roman"/>
                <w:sz w:val="21"/>
                <w:szCs w:val="21"/>
              </w:rPr>
            </w:pPr>
            <w:r>
              <w:rPr>
                <w:rFonts w:hint="eastAsia" w:eastAsia="宋体" w:cs="Times New Roman"/>
                <w:sz w:val="21"/>
                <w:szCs w:val="21"/>
                <w:lang w:val="en-US" w:eastAsia="zh-CN"/>
              </w:rPr>
              <w:t>********</w:t>
            </w:r>
          </w:p>
        </w:tc>
        <w:tc>
          <w:tcPr>
            <w:tcW w:w="0" w:type="auto"/>
            <w:vAlign w:val="center"/>
          </w:tcPr>
          <w:p w14:paraId="49B48680">
            <w:pPr>
              <w:snapToGrid w:val="0"/>
              <w:spacing w:before="57" w:line="240" w:lineRule="auto"/>
              <w:ind w:left="0" w:leftChars="0" w:right="0" w:rightChars="0" w:firstLine="0" w:firstLineChars="0"/>
              <w:jc w:val="center"/>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J21</w:t>
            </w:r>
          </w:p>
        </w:tc>
        <w:tc>
          <w:tcPr>
            <w:tcW w:w="0" w:type="auto"/>
            <w:vAlign w:val="center"/>
          </w:tcPr>
          <w:p w14:paraId="31D706F4">
            <w:pPr>
              <w:snapToGrid w:val="0"/>
              <w:spacing w:before="57" w:line="240" w:lineRule="auto"/>
              <w:ind w:left="0" w:leftChars="0" w:right="0" w:rightChars="0" w:firstLine="420" w:firstLineChars="200"/>
              <w:jc w:val="center"/>
              <w:rPr>
                <w:rFonts w:ascii="Times New Roman" w:hAnsi="Times New Roman" w:eastAsia="Times New Roman" w:cs="Times New Roman"/>
                <w:sz w:val="21"/>
                <w:szCs w:val="21"/>
              </w:rPr>
            </w:pPr>
            <w:r>
              <w:rPr>
                <w:rFonts w:hint="eastAsia" w:eastAsia="宋体" w:cs="Times New Roman"/>
                <w:sz w:val="21"/>
                <w:szCs w:val="21"/>
                <w:lang w:val="en-US" w:eastAsia="zh-CN"/>
              </w:rPr>
              <w:t>********</w:t>
            </w:r>
          </w:p>
        </w:tc>
        <w:tc>
          <w:tcPr>
            <w:tcW w:w="1454" w:type="dxa"/>
            <w:vAlign w:val="center"/>
          </w:tcPr>
          <w:p w14:paraId="6B7C6801">
            <w:pPr>
              <w:snapToGrid w:val="0"/>
              <w:spacing w:before="57" w:line="240" w:lineRule="auto"/>
              <w:ind w:left="0" w:leftChars="0" w:right="0" w:rightChars="0" w:firstLine="420" w:firstLineChars="200"/>
              <w:jc w:val="center"/>
              <w:rPr>
                <w:rFonts w:ascii="Times New Roman" w:hAnsi="Times New Roman" w:eastAsia="Times New Roman" w:cs="Times New Roman"/>
                <w:sz w:val="21"/>
                <w:szCs w:val="21"/>
              </w:rPr>
            </w:pPr>
            <w:r>
              <w:rPr>
                <w:rFonts w:hint="eastAsia" w:eastAsia="宋体" w:cs="Times New Roman"/>
                <w:sz w:val="21"/>
                <w:szCs w:val="21"/>
                <w:lang w:val="en-US" w:eastAsia="zh-CN"/>
              </w:rPr>
              <w:t>********</w:t>
            </w:r>
          </w:p>
        </w:tc>
      </w:tr>
      <w:tr w14:paraId="09F1C1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Merge w:val="continue"/>
            <w:tcBorders>
              <w:top w:val="nil"/>
              <w:bottom w:val="nil"/>
            </w:tcBorders>
            <w:vAlign w:val="center"/>
          </w:tcPr>
          <w:p w14:paraId="2707B4C4">
            <w:pPr>
              <w:snapToGrid w:val="0"/>
              <w:spacing w:line="240" w:lineRule="auto"/>
              <w:ind w:left="0" w:leftChars="0" w:right="0" w:rightChars="0" w:firstLine="0" w:firstLineChars="0"/>
              <w:jc w:val="center"/>
              <w:rPr>
                <w:rFonts w:ascii="Times New Roman" w:eastAsia="Times New Roman"/>
                <w:sz w:val="21"/>
              </w:rPr>
            </w:pPr>
          </w:p>
        </w:tc>
        <w:tc>
          <w:tcPr>
            <w:tcW w:w="0" w:type="auto"/>
            <w:vAlign w:val="center"/>
          </w:tcPr>
          <w:p w14:paraId="6F18CDDB">
            <w:pPr>
              <w:snapToGrid w:val="0"/>
              <w:spacing w:before="58" w:line="240" w:lineRule="auto"/>
              <w:ind w:left="0" w:leftChars="0" w:right="0" w:rightChars="0" w:firstLine="0" w:firstLineChars="0"/>
              <w:jc w:val="center"/>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J9</w:t>
            </w:r>
          </w:p>
        </w:tc>
        <w:tc>
          <w:tcPr>
            <w:tcW w:w="0" w:type="auto"/>
            <w:vAlign w:val="center"/>
          </w:tcPr>
          <w:p w14:paraId="1E582FF3">
            <w:pPr>
              <w:snapToGrid w:val="0"/>
              <w:spacing w:before="53" w:line="240" w:lineRule="auto"/>
              <w:ind w:left="0" w:leftChars="0" w:right="0" w:rightChars="0" w:firstLine="420" w:firstLineChars="200"/>
              <w:jc w:val="center"/>
              <w:rPr>
                <w:rFonts w:hint="eastAsia" w:eastAsia="宋体" w:cs="Times New Roman"/>
                <w:sz w:val="21"/>
                <w:szCs w:val="21"/>
                <w:lang w:val="en-US" w:eastAsia="zh-CN"/>
              </w:rPr>
            </w:pPr>
            <w:r>
              <w:rPr>
                <w:rFonts w:hint="eastAsia" w:eastAsia="宋体" w:cs="Times New Roman"/>
                <w:sz w:val="21"/>
                <w:szCs w:val="21"/>
                <w:lang w:val="en-US" w:eastAsia="zh-CN"/>
              </w:rPr>
              <w:t>********</w:t>
            </w:r>
          </w:p>
        </w:tc>
        <w:tc>
          <w:tcPr>
            <w:tcW w:w="0" w:type="auto"/>
            <w:vAlign w:val="center"/>
          </w:tcPr>
          <w:p w14:paraId="15892F3C">
            <w:pPr>
              <w:snapToGrid w:val="0"/>
              <w:spacing w:before="58" w:line="240" w:lineRule="auto"/>
              <w:ind w:left="0" w:leftChars="0" w:right="0" w:rightChars="0" w:firstLine="420" w:firstLineChars="200"/>
              <w:jc w:val="center"/>
              <w:rPr>
                <w:rFonts w:ascii="Times New Roman" w:hAnsi="Times New Roman" w:eastAsia="Times New Roman" w:cs="Times New Roman"/>
                <w:sz w:val="21"/>
                <w:szCs w:val="21"/>
              </w:rPr>
            </w:pPr>
            <w:r>
              <w:rPr>
                <w:rFonts w:hint="eastAsia" w:eastAsia="宋体" w:cs="Times New Roman"/>
                <w:sz w:val="21"/>
                <w:szCs w:val="21"/>
                <w:lang w:val="en-US" w:eastAsia="zh-CN"/>
              </w:rPr>
              <w:t>********</w:t>
            </w:r>
          </w:p>
        </w:tc>
        <w:tc>
          <w:tcPr>
            <w:tcW w:w="0" w:type="auto"/>
            <w:vAlign w:val="center"/>
          </w:tcPr>
          <w:p w14:paraId="03CFBB83">
            <w:pPr>
              <w:snapToGrid w:val="0"/>
              <w:spacing w:before="58" w:line="240" w:lineRule="auto"/>
              <w:ind w:left="0" w:leftChars="0" w:right="0" w:rightChars="0" w:firstLine="0" w:firstLineChars="0"/>
              <w:jc w:val="center"/>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J22</w:t>
            </w:r>
          </w:p>
        </w:tc>
        <w:tc>
          <w:tcPr>
            <w:tcW w:w="0" w:type="auto"/>
            <w:vAlign w:val="center"/>
          </w:tcPr>
          <w:p w14:paraId="70DA5A11">
            <w:pPr>
              <w:snapToGrid w:val="0"/>
              <w:spacing w:before="58" w:line="240" w:lineRule="auto"/>
              <w:ind w:left="0" w:leftChars="0" w:right="0" w:rightChars="0" w:firstLine="420" w:firstLineChars="200"/>
              <w:jc w:val="center"/>
              <w:rPr>
                <w:rFonts w:ascii="Times New Roman" w:hAnsi="Times New Roman" w:eastAsia="Times New Roman" w:cs="Times New Roman"/>
                <w:sz w:val="21"/>
                <w:szCs w:val="21"/>
              </w:rPr>
            </w:pPr>
            <w:r>
              <w:rPr>
                <w:rFonts w:hint="eastAsia" w:eastAsia="宋体" w:cs="Times New Roman"/>
                <w:sz w:val="21"/>
                <w:szCs w:val="21"/>
                <w:lang w:val="en-US" w:eastAsia="zh-CN"/>
              </w:rPr>
              <w:t>********</w:t>
            </w:r>
          </w:p>
        </w:tc>
        <w:tc>
          <w:tcPr>
            <w:tcW w:w="1454" w:type="dxa"/>
            <w:vAlign w:val="center"/>
          </w:tcPr>
          <w:p w14:paraId="3CD0022F">
            <w:pPr>
              <w:snapToGrid w:val="0"/>
              <w:spacing w:before="58" w:line="240" w:lineRule="auto"/>
              <w:ind w:left="0" w:leftChars="0" w:right="0" w:rightChars="0" w:firstLine="420" w:firstLineChars="200"/>
              <w:jc w:val="center"/>
              <w:rPr>
                <w:rFonts w:ascii="Times New Roman" w:hAnsi="Times New Roman" w:eastAsia="Times New Roman" w:cs="Times New Roman"/>
                <w:sz w:val="21"/>
                <w:szCs w:val="21"/>
              </w:rPr>
            </w:pPr>
            <w:r>
              <w:rPr>
                <w:rFonts w:hint="eastAsia" w:eastAsia="宋体" w:cs="Times New Roman"/>
                <w:sz w:val="21"/>
                <w:szCs w:val="21"/>
                <w:lang w:val="en-US" w:eastAsia="zh-CN"/>
              </w:rPr>
              <w:t>********</w:t>
            </w:r>
          </w:p>
        </w:tc>
      </w:tr>
      <w:tr w14:paraId="178E8E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Merge w:val="continue"/>
            <w:tcBorders>
              <w:top w:val="nil"/>
              <w:bottom w:val="nil"/>
            </w:tcBorders>
            <w:vAlign w:val="center"/>
          </w:tcPr>
          <w:p w14:paraId="73849CE0">
            <w:pPr>
              <w:snapToGrid w:val="0"/>
              <w:spacing w:line="240" w:lineRule="auto"/>
              <w:ind w:left="0" w:leftChars="0" w:right="0" w:rightChars="0" w:firstLine="0" w:firstLineChars="0"/>
              <w:jc w:val="center"/>
              <w:rPr>
                <w:rFonts w:ascii="Times New Roman" w:eastAsia="Times New Roman"/>
                <w:sz w:val="21"/>
              </w:rPr>
            </w:pPr>
          </w:p>
        </w:tc>
        <w:tc>
          <w:tcPr>
            <w:tcW w:w="0" w:type="auto"/>
            <w:vAlign w:val="center"/>
          </w:tcPr>
          <w:p w14:paraId="514C1155">
            <w:pPr>
              <w:snapToGrid w:val="0"/>
              <w:spacing w:before="58" w:line="240" w:lineRule="auto"/>
              <w:ind w:left="0" w:leftChars="0" w:right="0" w:rightChars="0" w:firstLine="0" w:firstLineChars="0"/>
              <w:jc w:val="center"/>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J10</w:t>
            </w:r>
          </w:p>
        </w:tc>
        <w:tc>
          <w:tcPr>
            <w:tcW w:w="0" w:type="auto"/>
            <w:vAlign w:val="center"/>
          </w:tcPr>
          <w:p w14:paraId="57AC78F9">
            <w:pPr>
              <w:snapToGrid w:val="0"/>
              <w:spacing w:before="58" w:line="240" w:lineRule="auto"/>
              <w:ind w:left="0" w:leftChars="0" w:right="0" w:rightChars="0" w:firstLine="420" w:firstLineChars="200"/>
              <w:jc w:val="center"/>
              <w:rPr>
                <w:rFonts w:ascii="Times New Roman" w:hAnsi="Times New Roman" w:eastAsia="Times New Roman" w:cs="Times New Roman"/>
                <w:sz w:val="21"/>
                <w:szCs w:val="21"/>
              </w:rPr>
            </w:pPr>
            <w:r>
              <w:rPr>
                <w:rFonts w:hint="eastAsia" w:eastAsia="宋体" w:cs="Times New Roman"/>
                <w:sz w:val="21"/>
                <w:szCs w:val="21"/>
                <w:lang w:val="en-US" w:eastAsia="zh-CN"/>
              </w:rPr>
              <w:t>********</w:t>
            </w:r>
          </w:p>
        </w:tc>
        <w:tc>
          <w:tcPr>
            <w:tcW w:w="0" w:type="auto"/>
            <w:vAlign w:val="center"/>
          </w:tcPr>
          <w:p w14:paraId="53E8BC73">
            <w:pPr>
              <w:snapToGrid w:val="0"/>
              <w:spacing w:before="58" w:line="240" w:lineRule="auto"/>
              <w:ind w:left="0" w:leftChars="0" w:right="0" w:rightChars="0" w:firstLine="420" w:firstLineChars="200"/>
              <w:jc w:val="center"/>
              <w:rPr>
                <w:rFonts w:ascii="Times New Roman" w:hAnsi="Times New Roman" w:eastAsia="Times New Roman" w:cs="Times New Roman"/>
                <w:sz w:val="21"/>
                <w:szCs w:val="21"/>
              </w:rPr>
            </w:pPr>
            <w:r>
              <w:rPr>
                <w:rFonts w:hint="eastAsia" w:eastAsia="宋体" w:cs="Times New Roman"/>
                <w:sz w:val="21"/>
                <w:szCs w:val="21"/>
                <w:lang w:val="en-US" w:eastAsia="zh-CN"/>
              </w:rPr>
              <w:t>********</w:t>
            </w:r>
          </w:p>
        </w:tc>
        <w:tc>
          <w:tcPr>
            <w:tcW w:w="0" w:type="auto"/>
            <w:vAlign w:val="center"/>
          </w:tcPr>
          <w:p w14:paraId="7264B5D9">
            <w:pPr>
              <w:snapToGrid w:val="0"/>
              <w:spacing w:before="58" w:line="240" w:lineRule="auto"/>
              <w:ind w:left="0" w:leftChars="0" w:right="0" w:rightChars="0" w:firstLine="0" w:firstLineChars="0"/>
              <w:jc w:val="center"/>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J23</w:t>
            </w:r>
          </w:p>
        </w:tc>
        <w:tc>
          <w:tcPr>
            <w:tcW w:w="0" w:type="auto"/>
            <w:vAlign w:val="center"/>
          </w:tcPr>
          <w:p w14:paraId="1FDDBA37">
            <w:pPr>
              <w:snapToGrid w:val="0"/>
              <w:spacing w:before="58" w:line="240" w:lineRule="auto"/>
              <w:ind w:left="0" w:leftChars="0" w:right="0" w:rightChars="0" w:firstLine="420" w:firstLineChars="200"/>
              <w:jc w:val="center"/>
              <w:rPr>
                <w:rFonts w:ascii="Times New Roman" w:hAnsi="Times New Roman" w:eastAsia="Times New Roman" w:cs="Times New Roman"/>
                <w:sz w:val="21"/>
                <w:szCs w:val="21"/>
              </w:rPr>
            </w:pPr>
            <w:r>
              <w:rPr>
                <w:rFonts w:hint="eastAsia" w:eastAsia="宋体" w:cs="Times New Roman"/>
                <w:sz w:val="21"/>
                <w:szCs w:val="21"/>
                <w:lang w:val="en-US" w:eastAsia="zh-CN"/>
              </w:rPr>
              <w:t>********</w:t>
            </w:r>
          </w:p>
        </w:tc>
        <w:tc>
          <w:tcPr>
            <w:tcW w:w="1454" w:type="dxa"/>
            <w:vAlign w:val="center"/>
          </w:tcPr>
          <w:p w14:paraId="5878D96D">
            <w:pPr>
              <w:snapToGrid w:val="0"/>
              <w:spacing w:before="58" w:line="240" w:lineRule="auto"/>
              <w:ind w:left="0" w:leftChars="0" w:right="0" w:rightChars="0" w:firstLine="420" w:firstLineChars="200"/>
              <w:jc w:val="center"/>
              <w:rPr>
                <w:rFonts w:ascii="Times New Roman" w:hAnsi="Times New Roman" w:eastAsia="Times New Roman" w:cs="Times New Roman"/>
                <w:sz w:val="21"/>
                <w:szCs w:val="21"/>
              </w:rPr>
            </w:pPr>
            <w:r>
              <w:rPr>
                <w:rFonts w:hint="eastAsia" w:eastAsia="宋体" w:cs="Times New Roman"/>
                <w:sz w:val="21"/>
                <w:szCs w:val="21"/>
                <w:lang w:val="en-US" w:eastAsia="zh-CN"/>
              </w:rPr>
              <w:t>********</w:t>
            </w:r>
          </w:p>
        </w:tc>
      </w:tr>
      <w:tr w14:paraId="796296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Merge w:val="continue"/>
            <w:tcBorders>
              <w:top w:val="nil"/>
              <w:bottom w:val="nil"/>
            </w:tcBorders>
            <w:vAlign w:val="center"/>
          </w:tcPr>
          <w:p w14:paraId="2DC67ABE">
            <w:pPr>
              <w:snapToGrid w:val="0"/>
              <w:spacing w:line="240" w:lineRule="auto"/>
              <w:ind w:left="0" w:leftChars="0" w:right="0" w:rightChars="0" w:firstLine="0" w:firstLineChars="0"/>
              <w:jc w:val="center"/>
              <w:rPr>
                <w:rFonts w:ascii="Times New Roman" w:eastAsia="Times New Roman"/>
                <w:sz w:val="21"/>
              </w:rPr>
            </w:pPr>
          </w:p>
        </w:tc>
        <w:tc>
          <w:tcPr>
            <w:tcW w:w="0" w:type="auto"/>
            <w:vAlign w:val="center"/>
          </w:tcPr>
          <w:p w14:paraId="2FC52504">
            <w:pPr>
              <w:snapToGrid w:val="0"/>
              <w:spacing w:before="59" w:line="240" w:lineRule="auto"/>
              <w:ind w:left="0" w:leftChars="0" w:right="0" w:rightChars="0" w:firstLine="0" w:firstLineChars="0"/>
              <w:jc w:val="center"/>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J11</w:t>
            </w:r>
          </w:p>
        </w:tc>
        <w:tc>
          <w:tcPr>
            <w:tcW w:w="0" w:type="auto"/>
            <w:vAlign w:val="center"/>
          </w:tcPr>
          <w:p w14:paraId="6204EBBC">
            <w:pPr>
              <w:snapToGrid w:val="0"/>
              <w:spacing w:before="59" w:line="240" w:lineRule="auto"/>
              <w:ind w:left="0" w:leftChars="0" w:right="0" w:rightChars="0" w:firstLine="420" w:firstLineChars="200"/>
              <w:jc w:val="center"/>
              <w:rPr>
                <w:rFonts w:ascii="Times New Roman" w:hAnsi="Times New Roman" w:eastAsia="Times New Roman" w:cs="Times New Roman"/>
                <w:sz w:val="21"/>
                <w:szCs w:val="21"/>
              </w:rPr>
            </w:pPr>
            <w:r>
              <w:rPr>
                <w:rFonts w:hint="eastAsia" w:eastAsia="宋体" w:cs="Times New Roman"/>
                <w:sz w:val="21"/>
                <w:szCs w:val="21"/>
                <w:lang w:val="en-US" w:eastAsia="zh-CN"/>
              </w:rPr>
              <w:t>********</w:t>
            </w:r>
          </w:p>
        </w:tc>
        <w:tc>
          <w:tcPr>
            <w:tcW w:w="0" w:type="auto"/>
            <w:vAlign w:val="center"/>
          </w:tcPr>
          <w:p w14:paraId="5F19E57A">
            <w:pPr>
              <w:snapToGrid w:val="0"/>
              <w:spacing w:before="59" w:line="240" w:lineRule="auto"/>
              <w:ind w:left="0" w:leftChars="0" w:right="0" w:rightChars="0" w:firstLine="420" w:firstLineChars="200"/>
              <w:jc w:val="center"/>
              <w:rPr>
                <w:rFonts w:ascii="Times New Roman" w:hAnsi="Times New Roman" w:eastAsia="Times New Roman" w:cs="Times New Roman"/>
                <w:sz w:val="21"/>
                <w:szCs w:val="21"/>
              </w:rPr>
            </w:pPr>
            <w:r>
              <w:rPr>
                <w:rFonts w:hint="eastAsia" w:eastAsia="宋体" w:cs="Times New Roman"/>
                <w:sz w:val="21"/>
                <w:szCs w:val="21"/>
                <w:lang w:val="en-US" w:eastAsia="zh-CN"/>
              </w:rPr>
              <w:t>********</w:t>
            </w:r>
          </w:p>
        </w:tc>
        <w:tc>
          <w:tcPr>
            <w:tcW w:w="0" w:type="auto"/>
            <w:vAlign w:val="center"/>
          </w:tcPr>
          <w:p w14:paraId="37F9973B">
            <w:pPr>
              <w:snapToGrid w:val="0"/>
              <w:spacing w:before="59" w:line="240" w:lineRule="auto"/>
              <w:ind w:left="0" w:leftChars="0" w:right="0" w:rightChars="0" w:firstLine="0" w:firstLineChars="0"/>
              <w:jc w:val="center"/>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J24</w:t>
            </w:r>
          </w:p>
        </w:tc>
        <w:tc>
          <w:tcPr>
            <w:tcW w:w="0" w:type="auto"/>
            <w:vAlign w:val="center"/>
          </w:tcPr>
          <w:p w14:paraId="4E250069">
            <w:pPr>
              <w:snapToGrid w:val="0"/>
              <w:spacing w:before="59" w:line="240" w:lineRule="auto"/>
              <w:ind w:left="0" w:leftChars="0" w:right="0" w:rightChars="0" w:firstLine="420" w:firstLineChars="200"/>
              <w:jc w:val="center"/>
              <w:rPr>
                <w:rFonts w:ascii="Times New Roman" w:hAnsi="Times New Roman" w:eastAsia="Times New Roman" w:cs="Times New Roman"/>
                <w:sz w:val="21"/>
                <w:szCs w:val="21"/>
              </w:rPr>
            </w:pPr>
            <w:r>
              <w:rPr>
                <w:rFonts w:hint="eastAsia" w:eastAsia="宋体" w:cs="Times New Roman"/>
                <w:sz w:val="21"/>
                <w:szCs w:val="21"/>
                <w:lang w:val="en-US" w:eastAsia="zh-CN"/>
              </w:rPr>
              <w:t>********</w:t>
            </w:r>
          </w:p>
        </w:tc>
        <w:tc>
          <w:tcPr>
            <w:tcW w:w="1454" w:type="dxa"/>
            <w:vAlign w:val="center"/>
          </w:tcPr>
          <w:p w14:paraId="4BF31A01">
            <w:pPr>
              <w:snapToGrid w:val="0"/>
              <w:spacing w:before="59" w:line="240" w:lineRule="auto"/>
              <w:ind w:left="0" w:leftChars="0" w:right="0" w:rightChars="0" w:firstLine="420" w:firstLineChars="200"/>
              <w:jc w:val="center"/>
              <w:rPr>
                <w:rFonts w:ascii="Times New Roman" w:hAnsi="Times New Roman" w:eastAsia="Times New Roman" w:cs="Times New Roman"/>
                <w:sz w:val="21"/>
                <w:szCs w:val="21"/>
              </w:rPr>
            </w:pPr>
            <w:r>
              <w:rPr>
                <w:rFonts w:hint="eastAsia" w:eastAsia="宋体" w:cs="Times New Roman"/>
                <w:sz w:val="21"/>
                <w:szCs w:val="21"/>
                <w:lang w:val="en-US" w:eastAsia="zh-CN"/>
              </w:rPr>
              <w:t>********</w:t>
            </w:r>
          </w:p>
        </w:tc>
      </w:tr>
      <w:tr w14:paraId="331C41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Merge w:val="continue"/>
            <w:tcBorders>
              <w:top w:val="nil"/>
              <w:bottom w:val="nil"/>
            </w:tcBorders>
            <w:vAlign w:val="center"/>
          </w:tcPr>
          <w:p w14:paraId="156DCD26">
            <w:pPr>
              <w:snapToGrid w:val="0"/>
              <w:spacing w:line="240" w:lineRule="auto"/>
              <w:ind w:left="0" w:leftChars="0" w:right="0" w:rightChars="0" w:firstLine="0" w:firstLineChars="0"/>
              <w:jc w:val="center"/>
              <w:rPr>
                <w:rFonts w:ascii="Times New Roman" w:eastAsia="Times New Roman"/>
                <w:sz w:val="21"/>
              </w:rPr>
            </w:pPr>
          </w:p>
        </w:tc>
        <w:tc>
          <w:tcPr>
            <w:tcW w:w="0" w:type="auto"/>
            <w:vAlign w:val="center"/>
          </w:tcPr>
          <w:p w14:paraId="02A5D8CF">
            <w:pPr>
              <w:snapToGrid w:val="0"/>
              <w:spacing w:before="58" w:line="240" w:lineRule="auto"/>
              <w:ind w:left="0" w:leftChars="0" w:right="0" w:rightChars="0" w:firstLine="0" w:firstLineChars="0"/>
              <w:jc w:val="center"/>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J12</w:t>
            </w:r>
          </w:p>
        </w:tc>
        <w:tc>
          <w:tcPr>
            <w:tcW w:w="0" w:type="auto"/>
            <w:vAlign w:val="center"/>
          </w:tcPr>
          <w:p w14:paraId="7DE5498A">
            <w:pPr>
              <w:snapToGrid w:val="0"/>
              <w:spacing w:before="58" w:line="240" w:lineRule="auto"/>
              <w:ind w:left="0" w:leftChars="0" w:right="0" w:rightChars="0" w:firstLine="420" w:firstLineChars="200"/>
              <w:jc w:val="center"/>
              <w:rPr>
                <w:rFonts w:ascii="Times New Roman" w:hAnsi="Times New Roman" w:eastAsia="Times New Roman" w:cs="Times New Roman"/>
                <w:sz w:val="21"/>
                <w:szCs w:val="21"/>
              </w:rPr>
            </w:pPr>
            <w:r>
              <w:rPr>
                <w:rFonts w:hint="eastAsia" w:eastAsia="宋体" w:cs="Times New Roman"/>
                <w:sz w:val="21"/>
                <w:szCs w:val="21"/>
                <w:lang w:val="en-US" w:eastAsia="zh-CN"/>
              </w:rPr>
              <w:t>********</w:t>
            </w:r>
          </w:p>
        </w:tc>
        <w:tc>
          <w:tcPr>
            <w:tcW w:w="0" w:type="auto"/>
            <w:vAlign w:val="center"/>
          </w:tcPr>
          <w:p w14:paraId="1B860718">
            <w:pPr>
              <w:snapToGrid w:val="0"/>
              <w:spacing w:before="58" w:line="240" w:lineRule="auto"/>
              <w:ind w:left="0" w:leftChars="0" w:right="0" w:rightChars="0" w:firstLine="420" w:firstLineChars="200"/>
              <w:jc w:val="center"/>
              <w:rPr>
                <w:rFonts w:ascii="Times New Roman" w:hAnsi="Times New Roman" w:eastAsia="Times New Roman" w:cs="Times New Roman"/>
                <w:sz w:val="21"/>
                <w:szCs w:val="21"/>
              </w:rPr>
            </w:pPr>
            <w:r>
              <w:rPr>
                <w:rFonts w:hint="eastAsia" w:eastAsia="宋体" w:cs="Times New Roman"/>
                <w:sz w:val="21"/>
                <w:szCs w:val="21"/>
                <w:lang w:val="en-US" w:eastAsia="zh-CN"/>
              </w:rPr>
              <w:t>********</w:t>
            </w:r>
          </w:p>
        </w:tc>
        <w:tc>
          <w:tcPr>
            <w:tcW w:w="0" w:type="auto"/>
            <w:vAlign w:val="center"/>
          </w:tcPr>
          <w:p w14:paraId="0B8C9F7C">
            <w:pPr>
              <w:snapToGrid w:val="0"/>
              <w:spacing w:before="58" w:line="240" w:lineRule="auto"/>
              <w:ind w:left="0" w:leftChars="0" w:right="0" w:rightChars="0" w:firstLine="0" w:firstLineChars="0"/>
              <w:jc w:val="center"/>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J25</w:t>
            </w:r>
          </w:p>
        </w:tc>
        <w:tc>
          <w:tcPr>
            <w:tcW w:w="0" w:type="auto"/>
            <w:vAlign w:val="center"/>
          </w:tcPr>
          <w:p w14:paraId="5CA9251C">
            <w:pPr>
              <w:snapToGrid w:val="0"/>
              <w:spacing w:before="58" w:line="240" w:lineRule="auto"/>
              <w:ind w:left="0" w:leftChars="0" w:right="0" w:rightChars="0" w:firstLine="420" w:firstLineChars="200"/>
              <w:jc w:val="center"/>
              <w:rPr>
                <w:rFonts w:ascii="Times New Roman" w:hAnsi="Times New Roman" w:eastAsia="Times New Roman" w:cs="Times New Roman"/>
                <w:sz w:val="21"/>
                <w:szCs w:val="21"/>
              </w:rPr>
            </w:pPr>
            <w:r>
              <w:rPr>
                <w:rFonts w:hint="eastAsia" w:eastAsia="宋体" w:cs="Times New Roman"/>
                <w:sz w:val="21"/>
                <w:szCs w:val="21"/>
                <w:lang w:val="en-US" w:eastAsia="zh-CN"/>
              </w:rPr>
              <w:t>********</w:t>
            </w:r>
          </w:p>
        </w:tc>
        <w:tc>
          <w:tcPr>
            <w:tcW w:w="1454" w:type="dxa"/>
            <w:vAlign w:val="center"/>
          </w:tcPr>
          <w:p w14:paraId="18F9175F">
            <w:pPr>
              <w:snapToGrid w:val="0"/>
              <w:spacing w:before="58" w:line="240" w:lineRule="auto"/>
              <w:ind w:left="0" w:leftChars="0" w:right="0" w:rightChars="0" w:firstLine="420" w:firstLineChars="200"/>
              <w:jc w:val="center"/>
              <w:rPr>
                <w:rFonts w:ascii="Times New Roman" w:hAnsi="Times New Roman" w:eastAsia="Times New Roman" w:cs="Times New Roman"/>
                <w:sz w:val="21"/>
                <w:szCs w:val="21"/>
              </w:rPr>
            </w:pPr>
            <w:r>
              <w:rPr>
                <w:rFonts w:hint="eastAsia" w:eastAsia="宋体" w:cs="Times New Roman"/>
                <w:sz w:val="21"/>
                <w:szCs w:val="21"/>
                <w:lang w:val="en-US" w:eastAsia="zh-CN"/>
              </w:rPr>
              <w:t>********</w:t>
            </w:r>
          </w:p>
        </w:tc>
      </w:tr>
      <w:tr w14:paraId="128A97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913" w:type="dxa"/>
            <w:vMerge w:val="continue"/>
            <w:tcBorders>
              <w:top w:val="nil"/>
            </w:tcBorders>
            <w:vAlign w:val="center"/>
          </w:tcPr>
          <w:p w14:paraId="1AD8D26D">
            <w:pPr>
              <w:snapToGrid w:val="0"/>
              <w:spacing w:line="240" w:lineRule="auto"/>
              <w:ind w:left="0" w:leftChars="0" w:right="0" w:rightChars="0" w:firstLine="0" w:firstLineChars="0"/>
              <w:jc w:val="center"/>
              <w:rPr>
                <w:rFonts w:ascii="Times New Roman" w:eastAsia="Times New Roman"/>
                <w:sz w:val="21"/>
              </w:rPr>
            </w:pPr>
          </w:p>
        </w:tc>
        <w:tc>
          <w:tcPr>
            <w:tcW w:w="1380" w:type="dxa"/>
            <w:vAlign w:val="center"/>
          </w:tcPr>
          <w:p w14:paraId="2353E500">
            <w:pPr>
              <w:snapToGrid w:val="0"/>
              <w:spacing w:before="59" w:line="240" w:lineRule="auto"/>
              <w:ind w:left="0" w:leftChars="0" w:right="0" w:rightChars="0" w:firstLine="0" w:firstLineChars="0"/>
              <w:jc w:val="center"/>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J13</w:t>
            </w:r>
          </w:p>
        </w:tc>
        <w:tc>
          <w:tcPr>
            <w:tcW w:w="1317" w:type="dxa"/>
            <w:vAlign w:val="center"/>
          </w:tcPr>
          <w:p w14:paraId="560CDE2D">
            <w:pPr>
              <w:snapToGrid w:val="0"/>
              <w:spacing w:before="59" w:line="240" w:lineRule="auto"/>
              <w:ind w:left="0" w:leftChars="0" w:right="0" w:rightChars="0" w:firstLine="420" w:firstLineChars="200"/>
              <w:jc w:val="center"/>
              <w:rPr>
                <w:rFonts w:ascii="Times New Roman" w:hAnsi="Times New Roman" w:eastAsia="Times New Roman" w:cs="Times New Roman"/>
                <w:sz w:val="21"/>
                <w:szCs w:val="21"/>
              </w:rPr>
            </w:pPr>
            <w:r>
              <w:rPr>
                <w:rFonts w:hint="eastAsia" w:eastAsia="宋体" w:cs="Times New Roman"/>
                <w:sz w:val="21"/>
                <w:szCs w:val="21"/>
                <w:lang w:val="en-US" w:eastAsia="zh-CN"/>
              </w:rPr>
              <w:t>********</w:t>
            </w:r>
          </w:p>
        </w:tc>
        <w:tc>
          <w:tcPr>
            <w:tcW w:w="1444" w:type="dxa"/>
            <w:vAlign w:val="center"/>
          </w:tcPr>
          <w:p w14:paraId="02F531B7">
            <w:pPr>
              <w:snapToGrid w:val="0"/>
              <w:spacing w:before="59" w:line="240" w:lineRule="auto"/>
              <w:ind w:left="0" w:leftChars="0" w:right="0" w:rightChars="0" w:firstLine="420" w:firstLineChars="200"/>
              <w:jc w:val="center"/>
              <w:rPr>
                <w:rFonts w:ascii="Times New Roman" w:hAnsi="Times New Roman" w:eastAsia="Times New Roman" w:cs="Times New Roman"/>
                <w:sz w:val="21"/>
                <w:szCs w:val="21"/>
              </w:rPr>
            </w:pPr>
            <w:r>
              <w:rPr>
                <w:rFonts w:hint="eastAsia" w:eastAsia="宋体" w:cs="Times New Roman"/>
                <w:sz w:val="21"/>
                <w:szCs w:val="21"/>
                <w:lang w:val="en-US" w:eastAsia="zh-CN"/>
              </w:rPr>
              <w:t>********</w:t>
            </w:r>
          </w:p>
        </w:tc>
        <w:tc>
          <w:tcPr>
            <w:tcW w:w="540" w:type="dxa"/>
            <w:vAlign w:val="center"/>
          </w:tcPr>
          <w:p w14:paraId="798D0379">
            <w:pPr>
              <w:snapToGrid w:val="0"/>
              <w:spacing w:line="240" w:lineRule="auto"/>
              <w:ind w:left="0" w:leftChars="0" w:right="0" w:rightChars="0" w:firstLine="0" w:firstLineChars="0"/>
              <w:jc w:val="center"/>
              <w:rPr>
                <w:rFonts w:ascii="Times New Roman" w:eastAsia="Times New Roman"/>
                <w:sz w:val="21"/>
              </w:rPr>
            </w:pPr>
          </w:p>
        </w:tc>
        <w:tc>
          <w:tcPr>
            <w:tcW w:w="1317" w:type="dxa"/>
            <w:vAlign w:val="center"/>
          </w:tcPr>
          <w:p w14:paraId="4EC9E063">
            <w:pPr>
              <w:snapToGrid w:val="0"/>
              <w:spacing w:line="240" w:lineRule="auto"/>
              <w:ind w:left="0" w:leftChars="0" w:right="0" w:rightChars="0" w:firstLine="0" w:firstLineChars="0"/>
              <w:jc w:val="center"/>
              <w:rPr>
                <w:rFonts w:ascii="Times New Roman" w:eastAsia="Times New Roman"/>
                <w:sz w:val="21"/>
              </w:rPr>
            </w:pPr>
          </w:p>
        </w:tc>
        <w:tc>
          <w:tcPr>
            <w:tcW w:w="1454" w:type="dxa"/>
            <w:vAlign w:val="center"/>
          </w:tcPr>
          <w:p w14:paraId="0683BD47">
            <w:pPr>
              <w:snapToGrid w:val="0"/>
              <w:spacing w:line="240" w:lineRule="auto"/>
              <w:ind w:left="0" w:leftChars="0" w:right="0" w:rightChars="0" w:firstLine="0" w:firstLineChars="0"/>
              <w:jc w:val="center"/>
              <w:rPr>
                <w:rFonts w:ascii="Times New Roman" w:eastAsia="Times New Roman"/>
                <w:sz w:val="21"/>
              </w:rPr>
            </w:pPr>
          </w:p>
        </w:tc>
      </w:tr>
    </w:tbl>
    <w:p w14:paraId="76101CC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2637" w:firstLineChars="1300"/>
        <w:jc w:val="left"/>
        <w:textAlignment w:val="auto"/>
        <w:rPr>
          <w:rFonts w:hint="eastAsia" w:asciiTheme="minorEastAsia" w:hAnsiTheme="minorEastAsia" w:eastAsiaTheme="minorEastAsia" w:cstheme="minorEastAsia"/>
          <w:b/>
          <w:bCs/>
          <w:spacing w:val="-4"/>
          <w:sz w:val="21"/>
          <w:szCs w:val="21"/>
          <w:lang w:val="en-US" w:eastAsia="zh-CN"/>
        </w:rPr>
      </w:pPr>
    </w:p>
    <w:p w14:paraId="0B116FA5">
      <w:pPr>
        <w:pStyle w:val="5"/>
        <w:spacing w:line="360" w:lineRule="auto"/>
        <w:ind w:firstLine="464"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lang w:val="en-US" w:eastAsia="zh-CN"/>
        </w:rPr>
        <w:t>2、</w:t>
      </w:r>
      <w:r>
        <w:rPr>
          <w:rFonts w:hint="eastAsia" w:asciiTheme="minorEastAsia" w:hAnsiTheme="minorEastAsia" w:eastAsiaTheme="minorEastAsia" w:cstheme="minorEastAsia"/>
          <w:spacing w:val="-4"/>
          <w:sz w:val="24"/>
          <w:szCs w:val="24"/>
        </w:rPr>
        <w:t>监测内容</w:t>
      </w:r>
    </w:p>
    <w:p w14:paraId="23275BE3">
      <w:pPr>
        <w:pStyle w:val="5"/>
        <w:spacing w:line="360" w:lineRule="auto"/>
        <w:ind w:firstLine="476" w:firstLineChars="200"/>
        <w:rPr>
          <w:rFonts w:hint="eastAsia" w:asciiTheme="minorEastAsia" w:hAnsiTheme="minorEastAsia" w:eastAsiaTheme="minorEastAsia" w:cstheme="minorEastAsia"/>
          <w:spacing w:val="-1"/>
          <w:sz w:val="24"/>
          <w:szCs w:val="24"/>
        </w:rPr>
      </w:pPr>
      <w:r>
        <w:rPr>
          <w:rFonts w:hint="eastAsia" w:asciiTheme="minorEastAsia" w:hAnsiTheme="minorEastAsia" w:eastAsiaTheme="minorEastAsia" w:cstheme="minorEastAsia"/>
          <w:spacing w:val="-1"/>
          <w:sz w:val="24"/>
          <w:szCs w:val="24"/>
        </w:rPr>
        <w:t>地面塌陷地质灾害，地面塌陷坑、地裂缝及地表变形情况。</w:t>
      </w:r>
    </w:p>
    <w:p w14:paraId="438493EE">
      <w:pPr>
        <w:pStyle w:val="5"/>
        <w:spacing w:line="360" w:lineRule="auto"/>
        <w:ind w:left="0" w:right="0" w:firstLine="464"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lang w:val="en-US" w:eastAsia="zh-CN"/>
        </w:rPr>
        <w:t>3、</w:t>
      </w:r>
      <w:r>
        <w:rPr>
          <w:rFonts w:hint="eastAsia" w:asciiTheme="minorEastAsia" w:hAnsiTheme="minorEastAsia" w:eastAsiaTheme="minorEastAsia" w:cstheme="minorEastAsia"/>
          <w:spacing w:val="-4"/>
          <w:sz w:val="24"/>
          <w:szCs w:val="24"/>
        </w:rPr>
        <w:t>监测方法</w:t>
      </w:r>
    </w:p>
    <w:p w14:paraId="51490D68">
      <w:pPr>
        <w:pStyle w:val="5"/>
        <w:spacing w:line="360" w:lineRule="auto"/>
        <w:ind w:left="0" w:right="0" w:firstLine="476"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采用人工肉眼巡视监测和设备（RTK全站仪、RTK）监测相结合的方法，由矿方确定2名专业监测人员，定时对采空区上方地表变形情况进行测量、记录、分</w:t>
      </w:r>
      <w:r>
        <w:rPr>
          <w:rFonts w:hint="eastAsia" w:asciiTheme="minorEastAsia" w:hAnsiTheme="minorEastAsia" w:eastAsiaTheme="minorEastAsia" w:cstheme="minorEastAsia"/>
          <w:spacing w:val="3"/>
          <w:sz w:val="24"/>
          <w:szCs w:val="24"/>
        </w:rPr>
        <w:t>析、总结、汇报。采矿可能引发的预测地面塌（沉）陷范围内</w:t>
      </w:r>
      <w:r>
        <w:rPr>
          <w:rFonts w:hint="eastAsia" w:asciiTheme="minorEastAsia" w:hAnsiTheme="minorEastAsia" w:eastAsiaTheme="minorEastAsia" w:cstheme="minorEastAsia"/>
          <w:spacing w:val="2"/>
          <w:sz w:val="24"/>
          <w:szCs w:val="24"/>
        </w:rPr>
        <w:t>适当距离设立监测</w:t>
      </w:r>
      <w:r>
        <w:rPr>
          <w:rFonts w:hint="eastAsia" w:asciiTheme="minorEastAsia" w:hAnsiTheme="minorEastAsia" w:eastAsiaTheme="minorEastAsia" w:cstheme="minorEastAsia"/>
          <w:spacing w:val="-1"/>
          <w:sz w:val="24"/>
          <w:szCs w:val="24"/>
        </w:rPr>
        <w:t>标桩进行监测，基准点布设在预测地面塌陷区外围20m处，监测点有限布设在地</w:t>
      </w:r>
      <w:r>
        <w:rPr>
          <w:rFonts w:hint="eastAsia" w:asciiTheme="minorEastAsia" w:hAnsiTheme="minorEastAsia" w:eastAsiaTheme="minorEastAsia" w:cstheme="minorEastAsia"/>
          <w:spacing w:val="-3"/>
          <w:sz w:val="24"/>
          <w:szCs w:val="24"/>
        </w:rPr>
        <w:t>表变形的敏感及不稳定的待测区域。</w:t>
      </w:r>
    </w:p>
    <w:p w14:paraId="79B7EEF0">
      <w:pPr>
        <w:pStyle w:val="5"/>
        <w:spacing w:line="360" w:lineRule="auto"/>
        <w:ind w:left="0" w:right="0" w:firstLine="472"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lang w:val="en-US" w:eastAsia="zh-CN"/>
        </w:rPr>
        <w:t>4、</w:t>
      </w:r>
      <w:r>
        <w:rPr>
          <w:rFonts w:hint="eastAsia" w:asciiTheme="minorEastAsia" w:hAnsiTheme="minorEastAsia" w:eastAsiaTheme="minorEastAsia" w:cstheme="minorEastAsia"/>
          <w:spacing w:val="-2"/>
          <w:sz w:val="24"/>
          <w:szCs w:val="24"/>
        </w:rPr>
        <w:t>监测频率</w:t>
      </w:r>
    </w:p>
    <w:p w14:paraId="2358B48E">
      <w:pPr>
        <w:pStyle w:val="5"/>
        <w:spacing w:line="360" w:lineRule="auto"/>
        <w:ind w:left="0" w:right="0" w:firstLine="472"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正常情况下，每月监测1次；如在汛期、雨季，应加密监</w:t>
      </w:r>
      <w:r>
        <w:rPr>
          <w:rFonts w:hint="eastAsia" w:asciiTheme="minorEastAsia" w:hAnsiTheme="minorEastAsia" w:eastAsiaTheme="minorEastAsia" w:cstheme="minorEastAsia"/>
          <w:spacing w:val="-3"/>
          <w:sz w:val="24"/>
          <w:szCs w:val="24"/>
        </w:rPr>
        <w:t>测；根据实际情况，</w:t>
      </w:r>
      <w:r>
        <w:rPr>
          <w:rFonts w:hint="eastAsia" w:asciiTheme="minorEastAsia" w:hAnsiTheme="minorEastAsia" w:eastAsiaTheme="minorEastAsia" w:cstheme="minorEastAsia"/>
          <w:spacing w:val="-2"/>
          <w:sz w:val="24"/>
          <w:szCs w:val="24"/>
        </w:rPr>
        <w:t>对于存在隐患的不稳定地段则应进行连续跟踪监测。</w:t>
      </w:r>
    </w:p>
    <w:p w14:paraId="7B912E08">
      <w:pPr>
        <w:pStyle w:val="5"/>
        <w:spacing w:line="360" w:lineRule="auto"/>
        <w:ind w:left="0" w:right="0" w:firstLine="472"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lang w:val="en-US" w:eastAsia="zh-CN"/>
        </w:rPr>
        <w:t>5、</w:t>
      </w:r>
      <w:r>
        <w:rPr>
          <w:rFonts w:hint="eastAsia" w:asciiTheme="minorEastAsia" w:hAnsiTheme="minorEastAsia" w:eastAsiaTheme="minorEastAsia" w:cstheme="minorEastAsia"/>
          <w:spacing w:val="-2"/>
          <w:sz w:val="24"/>
          <w:szCs w:val="24"/>
        </w:rPr>
        <w:t>技术要求</w:t>
      </w:r>
    </w:p>
    <w:p w14:paraId="1F68EA82">
      <w:pPr>
        <w:pStyle w:val="5"/>
        <w:spacing w:line="360" w:lineRule="auto"/>
        <w:ind w:left="0" w:right="0" w:firstLine="480" w:firstLineChars="200"/>
        <w:jc w:val="left"/>
        <w:rPr>
          <w:rFonts w:hint="eastAsia" w:asciiTheme="minorEastAsia" w:hAnsiTheme="minorEastAsia" w:eastAsiaTheme="minorEastAsia" w:cstheme="minorEastAsia"/>
          <w:spacing w:val="-1"/>
          <w:sz w:val="24"/>
          <w:szCs w:val="24"/>
        </w:rPr>
      </w:pPr>
      <w:r>
        <w:rPr>
          <w:rFonts w:hint="eastAsia" w:asciiTheme="minorEastAsia" w:hAnsiTheme="minorEastAsia" w:eastAsiaTheme="minorEastAsia" w:cstheme="minorEastAsia"/>
          <w:sz w:val="24"/>
          <w:szCs w:val="24"/>
        </w:rPr>
        <w:t>每次的观测应做好记录，分析预测地表移动规律，</w:t>
      </w:r>
      <w:r>
        <w:rPr>
          <w:rFonts w:hint="eastAsia" w:asciiTheme="minorEastAsia" w:hAnsiTheme="minorEastAsia" w:eastAsiaTheme="minorEastAsia" w:cstheme="minorEastAsia"/>
          <w:spacing w:val="-1"/>
          <w:sz w:val="24"/>
          <w:szCs w:val="24"/>
        </w:rPr>
        <w:t>及时进行地面塌陷地质灾</w:t>
      </w:r>
      <w:r>
        <w:rPr>
          <w:rFonts w:hint="eastAsia" w:asciiTheme="minorEastAsia" w:hAnsiTheme="minorEastAsia" w:eastAsiaTheme="minorEastAsia" w:cstheme="minorEastAsia"/>
          <w:sz w:val="24"/>
          <w:szCs w:val="24"/>
        </w:rPr>
        <w:t>害预警。如发生地面塌陷地质灾害，第一时间上报至</w:t>
      </w:r>
      <w:r>
        <w:rPr>
          <w:rFonts w:hint="eastAsia" w:asciiTheme="minorEastAsia" w:hAnsiTheme="minorEastAsia" w:eastAsiaTheme="minorEastAsia" w:cstheme="minorEastAsia"/>
          <w:spacing w:val="-1"/>
          <w:sz w:val="24"/>
          <w:szCs w:val="24"/>
        </w:rPr>
        <w:t>当地自然资源主管部门及安监部门，及时采取防治措施。</w:t>
      </w:r>
    </w:p>
    <w:p w14:paraId="0B03228D">
      <w:pPr>
        <w:pStyle w:val="5"/>
        <w:spacing w:before="48" w:line="221"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lang w:val="en-US" w:eastAsia="zh-CN"/>
        </w:rPr>
        <w:t>6、</w:t>
      </w:r>
      <w:r>
        <w:rPr>
          <w:rFonts w:hint="eastAsia" w:asciiTheme="minorEastAsia" w:hAnsiTheme="minorEastAsia" w:eastAsiaTheme="minorEastAsia" w:cstheme="minorEastAsia"/>
          <w:spacing w:val="-3"/>
          <w:sz w:val="24"/>
          <w:szCs w:val="24"/>
        </w:rPr>
        <w:t>监测时限</w:t>
      </w:r>
    </w:p>
    <w:p w14:paraId="36D6736C">
      <w:pPr>
        <w:pStyle w:val="5"/>
        <w:spacing w:line="360" w:lineRule="auto"/>
        <w:ind w:left="0" w:right="0" w:firstLine="456" w:firstLineChars="200"/>
        <w:jc w:val="left"/>
        <w:rPr>
          <w:rFonts w:hint="eastAsia" w:asciiTheme="minorEastAsia" w:hAnsiTheme="minorEastAsia" w:eastAsiaTheme="minorEastAsia" w:cstheme="minorEastAsia"/>
          <w:spacing w:val="-7"/>
          <w:sz w:val="24"/>
          <w:szCs w:val="24"/>
        </w:rPr>
      </w:pPr>
      <w:r>
        <w:rPr>
          <w:rFonts w:hint="eastAsia" w:asciiTheme="minorEastAsia" w:hAnsiTheme="minorEastAsia" w:eastAsiaTheme="minorEastAsia" w:cstheme="minorEastAsia"/>
          <w:spacing w:val="-6"/>
          <w:sz w:val="24"/>
          <w:szCs w:val="24"/>
        </w:rPr>
        <w:t>矿山生产期间和综合治理期内，自</w:t>
      </w:r>
      <w:r>
        <w:rPr>
          <w:rFonts w:hint="eastAsia" w:asciiTheme="minorEastAsia" w:hAnsiTheme="minorEastAsia" w:eastAsiaTheme="minorEastAsia" w:cstheme="minorEastAsia"/>
          <w:spacing w:val="-6"/>
          <w:sz w:val="24"/>
          <w:szCs w:val="24"/>
          <w:lang w:val="en-US" w:eastAsia="zh-CN"/>
        </w:rPr>
        <w:t>2026年1月1</w:t>
      </w:r>
      <w:r>
        <w:rPr>
          <w:rFonts w:hint="eastAsia" w:asciiTheme="minorEastAsia" w:hAnsiTheme="minorEastAsia" w:eastAsiaTheme="minorEastAsia" w:cstheme="minorEastAsia"/>
          <w:spacing w:val="-7"/>
          <w:sz w:val="24"/>
          <w:szCs w:val="24"/>
        </w:rPr>
        <w:t>日至</w:t>
      </w:r>
      <w:r>
        <w:rPr>
          <w:rFonts w:hint="eastAsia" w:asciiTheme="minorEastAsia" w:hAnsiTheme="minorEastAsia" w:eastAsiaTheme="minorEastAsia" w:cstheme="minorEastAsia"/>
          <w:spacing w:val="-7"/>
          <w:sz w:val="24"/>
          <w:szCs w:val="24"/>
          <w:lang w:val="en-US" w:eastAsia="zh-CN"/>
        </w:rPr>
        <w:t>2026</w:t>
      </w:r>
      <w:r>
        <w:rPr>
          <w:rFonts w:hint="eastAsia" w:asciiTheme="minorEastAsia" w:hAnsiTheme="minorEastAsia" w:eastAsiaTheme="minorEastAsia" w:cstheme="minorEastAsia"/>
          <w:spacing w:val="-7"/>
          <w:sz w:val="24"/>
          <w:szCs w:val="24"/>
        </w:rPr>
        <w:t>年</w:t>
      </w:r>
      <w:r>
        <w:rPr>
          <w:rFonts w:hint="eastAsia" w:asciiTheme="minorEastAsia" w:hAnsiTheme="minorEastAsia" w:eastAsiaTheme="minorEastAsia" w:cstheme="minorEastAsia"/>
          <w:spacing w:val="-50"/>
          <w:sz w:val="24"/>
          <w:szCs w:val="24"/>
          <w:lang w:val="en-US" w:eastAsia="zh-CN"/>
        </w:rPr>
        <w:t>12</w:t>
      </w:r>
      <w:r>
        <w:rPr>
          <w:rFonts w:hint="eastAsia" w:asciiTheme="minorEastAsia" w:hAnsiTheme="minorEastAsia" w:eastAsiaTheme="minorEastAsia" w:cstheme="minorEastAsia"/>
          <w:spacing w:val="-7"/>
          <w:sz w:val="24"/>
          <w:szCs w:val="24"/>
        </w:rPr>
        <w:t>月</w:t>
      </w:r>
      <w:r>
        <w:rPr>
          <w:rFonts w:hint="eastAsia" w:asciiTheme="minorEastAsia" w:hAnsiTheme="minorEastAsia" w:eastAsiaTheme="minorEastAsia" w:cstheme="minorEastAsia"/>
          <w:spacing w:val="-7"/>
          <w:sz w:val="24"/>
          <w:szCs w:val="24"/>
          <w:lang w:val="en-US" w:eastAsia="zh-CN"/>
        </w:rPr>
        <w:t>31</w:t>
      </w:r>
      <w:r>
        <w:rPr>
          <w:rFonts w:hint="eastAsia" w:asciiTheme="minorEastAsia" w:hAnsiTheme="minorEastAsia" w:eastAsiaTheme="minorEastAsia" w:cstheme="minorEastAsia"/>
          <w:spacing w:val="-7"/>
          <w:sz w:val="24"/>
          <w:szCs w:val="24"/>
        </w:rPr>
        <w:t>日。</w:t>
      </w:r>
    </w:p>
    <w:p w14:paraId="6AA629EC">
      <w:pPr>
        <w:pStyle w:val="5"/>
        <w:keepNext w:val="0"/>
        <w:keepLines w:val="0"/>
        <w:pageBreakBefore w:val="0"/>
        <w:widowControl w:val="0"/>
        <w:kinsoku/>
        <w:wordWrap/>
        <w:overflowPunct/>
        <w:topLinePunct w:val="0"/>
        <w:autoSpaceDE/>
        <w:autoSpaceDN/>
        <w:bidi w:val="0"/>
        <w:adjustRightInd w:val="0"/>
        <w:snapToGrid w:val="0"/>
        <w:spacing w:line="240" w:lineRule="auto"/>
        <w:ind w:left="0" w:right="0" w:firstLine="2482" w:firstLineChars="1200"/>
        <w:jc w:val="left"/>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pacing w:val="-2"/>
          <w:sz w:val="21"/>
          <w:szCs w:val="21"/>
        </w:rPr>
        <w:t>表6-</w:t>
      </w:r>
      <w:r>
        <w:rPr>
          <w:rFonts w:hint="eastAsia" w:asciiTheme="minorEastAsia" w:hAnsiTheme="minorEastAsia" w:eastAsiaTheme="minorEastAsia" w:cstheme="minorEastAsia"/>
          <w:b/>
          <w:bCs/>
          <w:spacing w:val="-2"/>
          <w:sz w:val="21"/>
          <w:szCs w:val="21"/>
          <w:lang w:val="en-US" w:eastAsia="zh-CN"/>
        </w:rPr>
        <w:t>2</w:t>
      </w:r>
      <w:r>
        <w:rPr>
          <w:rFonts w:hint="eastAsia" w:asciiTheme="minorEastAsia" w:hAnsiTheme="minorEastAsia" w:eastAsiaTheme="minorEastAsia" w:cstheme="minorEastAsia"/>
          <w:b/>
          <w:bCs/>
          <w:spacing w:val="-2"/>
          <w:sz w:val="21"/>
          <w:szCs w:val="21"/>
        </w:rPr>
        <w:t>地面塌陷观测记录表</w:t>
      </w:r>
    </w:p>
    <w:tbl>
      <w:tblPr>
        <w:tblStyle w:val="20"/>
        <w:tblW w:w="5004"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289"/>
        <w:gridCol w:w="1405"/>
        <w:gridCol w:w="1408"/>
        <w:gridCol w:w="707"/>
        <w:gridCol w:w="701"/>
        <w:gridCol w:w="1413"/>
        <w:gridCol w:w="1396"/>
      </w:tblGrid>
      <w:tr w14:paraId="71D5A0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75" w:type="pct"/>
            <w:vAlign w:val="top"/>
          </w:tcPr>
          <w:p w14:paraId="7E771C9E">
            <w:pPr>
              <w:pStyle w:val="19"/>
              <w:keepNext w:val="0"/>
              <w:keepLines w:val="0"/>
              <w:pageBreakBefore w:val="0"/>
              <w:widowControl w:val="0"/>
              <w:kinsoku/>
              <w:wordWrap/>
              <w:overflowPunct/>
              <w:topLinePunct w:val="0"/>
              <w:autoSpaceDE/>
              <w:autoSpaceDN/>
              <w:bidi w:val="0"/>
              <w:adjustRightInd w:val="0"/>
              <w:snapToGrid w:val="0"/>
              <w:spacing w:before="69" w:line="240" w:lineRule="auto"/>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
              </w:rPr>
              <w:t>矿区名称</w:t>
            </w:r>
          </w:p>
        </w:tc>
        <w:tc>
          <w:tcPr>
            <w:tcW w:w="2115" w:type="pct"/>
            <w:gridSpan w:val="3"/>
            <w:vAlign w:val="top"/>
          </w:tcPr>
          <w:p w14:paraId="14E5BB5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rPr>
            </w:pPr>
          </w:p>
        </w:tc>
        <w:tc>
          <w:tcPr>
            <w:tcW w:w="1270" w:type="pct"/>
            <w:gridSpan w:val="2"/>
            <w:vAlign w:val="top"/>
          </w:tcPr>
          <w:p w14:paraId="12AC0EC5">
            <w:pPr>
              <w:pStyle w:val="19"/>
              <w:keepNext w:val="0"/>
              <w:keepLines w:val="0"/>
              <w:pageBreakBefore w:val="0"/>
              <w:widowControl w:val="0"/>
              <w:kinsoku/>
              <w:wordWrap/>
              <w:overflowPunct/>
              <w:topLinePunct w:val="0"/>
              <w:autoSpaceDE/>
              <w:autoSpaceDN/>
              <w:bidi w:val="0"/>
              <w:adjustRightInd w:val="0"/>
              <w:snapToGrid w:val="0"/>
              <w:spacing w:before="69" w:line="240" w:lineRule="auto"/>
              <w:ind w:left="117"/>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4"/>
              </w:rPr>
              <w:t>天气</w:t>
            </w:r>
          </w:p>
        </w:tc>
        <w:tc>
          <w:tcPr>
            <w:tcW w:w="839" w:type="pct"/>
            <w:vAlign w:val="top"/>
          </w:tcPr>
          <w:p w14:paraId="348D534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rPr>
            </w:pPr>
          </w:p>
        </w:tc>
      </w:tr>
      <w:tr w14:paraId="24F5B7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75" w:type="pct"/>
            <w:vAlign w:val="top"/>
          </w:tcPr>
          <w:p w14:paraId="4CABEBE0">
            <w:pPr>
              <w:pStyle w:val="19"/>
              <w:keepNext w:val="0"/>
              <w:keepLines w:val="0"/>
              <w:pageBreakBefore w:val="0"/>
              <w:widowControl w:val="0"/>
              <w:kinsoku/>
              <w:wordWrap/>
              <w:overflowPunct/>
              <w:topLinePunct w:val="0"/>
              <w:autoSpaceDE/>
              <w:autoSpaceDN/>
              <w:bidi w:val="0"/>
              <w:adjustRightInd w:val="0"/>
              <w:snapToGrid w:val="0"/>
              <w:spacing w:before="32" w:line="240" w:lineRule="auto"/>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
              </w:rPr>
              <w:t>记录点号</w:t>
            </w:r>
          </w:p>
        </w:tc>
        <w:tc>
          <w:tcPr>
            <w:tcW w:w="4224" w:type="pct"/>
            <w:gridSpan w:val="6"/>
            <w:vAlign w:val="top"/>
          </w:tcPr>
          <w:p w14:paraId="6B22321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rPr>
            </w:pPr>
          </w:p>
        </w:tc>
      </w:tr>
      <w:tr w14:paraId="2B0CB6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75" w:type="pct"/>
            <w:vAlign w:val="top"/>
          </w:tcPr>
          <w:p w14:paraId="7642FDCC">
            <w:pPr>
              <w:pStyle w:val="19"/>
              <w:keepNext w:val="0"/>
              <w:keepLines w:val="0"/>
              <w:pageBreakBefore w:val="0"/>
              <w:widowControl w:val="0"/>
              <w:kinsoku/>
              <w:wordWrap/>
              <w:overflowPunct/>
              <w:topLinePunct w:val="0"/>
              <w:autoSpaceDE/>
              <w:autoSpaceDN/>
              <w:bidi w:val="0"/>
              <w:adjustRightInd w:val="0"/>
              <w:snapToGrid w:val="0"/>
              <w:spacing w:before="33" w:line="240" w:lineRule="auto"/>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
              </w:rPr>
              <w:t>仪器型号</w:t>
            </w:r>
          </w:p>
        </w:tc>
        <w:tc>
          <w:tcPr>
            <w:tcW w:w="2115" w:type="pct"/>
            <w:gridSpan w:val="3"/>
            <w:vAlign w:val="top"/>
          </w:tcPr>
          <w:p w14:paraId="40C4847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rPr>
            </w:pPr>
          </w:p>
        </w:tc>
        <w:tc>
          <w:tcPr>
            <w:tcW w:w="1270" w:type="pct"/>
            <w:gridSpan w:val="2"/>
            <w:vAlign w:val="top"/>
          </w:tcPr>
          <w:p w14:paraId="74C84BBB">
            <w:pPr>
              <w:pStyle w:val="19"/>
              <w:keepNext w:val="0"/>
              <w:keepLines w:val="0"/>
              <w:pageBreakBefore w:val="0"/>
              <w:widowControl w:val="0"/>
              <w:kinsoku/>
              <w:wordWrap/>
              <w:overflowPunct/>
              <w:topLinePunct w:val="0"/>
              <w:autoSpaceDE/>
              <w:autoSpaceDN/>
              <w:bidi w:val="0"/>
              <w:adjustRightInd w:val="0"/>
              <w:snapToGrid w:val="0"/>
              <w:spacing w:before="33" w:line="240" w:lineRule="auto"/>
              <w:ind w:left="114"/>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3"/>
              </w:rPr>
              <w:t>测量人</w:t>
            </w:r>
          </w:p>
        </w:tc>
        <w:tc>
          <w:tcPr>
            <w:tcW w:w="839" w:type="pct"/>
            <w:vAlign w:val="top"/>
          </w:tcPr>
          <w:p w14:paraId="498255A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rPr>
            </w:pPr>
          </w:p>
        </w:tc>
      </w:tr>
      <w:tr w14:paraId="4F6435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75" w:type="pct"/>
            <w:vAlign w:val="top"/>
          </w:tcPr>
          <w:p w14:paraId="23143EBC">
            <w:pPr>
              <w:pStyle w:val="19"/>
              <w:keepNext w:val="0"/>
              <w:keepLines w:val="0"/>
              <w:pageBreakBefore w:val="0"/>
              <w:widowControl w:val="0"/>
              <w:kinsoku/>
              <w:wordWrap/>
              <w:overflowPunct/>
              <w:topLinePunct w:val="0"/>
              <w:autoSpaceDE/>
              <w:autoSpaceDN/>
              <w:bidi w:val="0"/>
              <w:adjustRightInd w:val="0"/>
              <w:snapToGrid w:val="0"/>
              <w:spacing w:before="33" w:line="240" w:lineRule="auto"/>
              <w:ind w:left="0" w:leftChars="0" w:firstLine="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
              </w:rPr>
              <w:t>记录点坐标</w:t>
            </w:r>
          </w:p>
        </w:tc>
        <w:tc>
          <w:tcPr>
            <w:tcW w:w="4224" w:type="pct"/>
            <w:gridSpan w:val="6"/>
            <w:vAlign w:val="top"/>
          </w:tcPr>
          <w:p w14:paraId="5BDBC5A0">
            <w:pPr>
              <w:keepNext w:val="0"/>
              <w:keepLines w:val="0"/>
              <w:pageBreakBefore w:val="0"/>
              <w:widowControl w:val="0"/>
              <w:kinsoku/>
              <w:wordWrap/>
              <w:overflowPunct/>
              <w:topLinePunct w:val="0"/>
              <w:autoSpaceDE/>
              <w:autoSpaceDN/>
              <w:bidi w:val="0"/>
              <w:adjustRightInd w:val="0"/>
              <w:snapToGrid w:val="0"/>
              <w:spacing w:before="75" w:line="240" w:lineRule="auto"/>
              <w:ind w:left="10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X:Y:H:</w:t>
            </w:r>
          </w:p>
        </w:tc>
      </w:tr>
      <w:tr w14:paraId="617532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75" w:type="pct"/>
            <w:vMerge w:val="restart"/>
            <w:tcBorders>
              <w:bottom w:val="nil"/>
            </w:tcBorders>
            <w:vAlign w:val="top"/>
          </w:tcPr>
          <w:p w14:paraId="2DB03BB1">
            <w:pPr>
              <w:pStyle w:val="19"/>
              <w:keepNext w:val="0"/>
              <w:keepLines w:val="0"/>
              <w:pageBreakBefore w:val="0"/>
              <w:widowControl w:val="0"/>
              <w:kinsoku/>
              <w:wordWrap/>
              <w:overflowPunct/>
              <w:topLinePunct w:val="0"/>
              <w:autoSpaceDE/>
              <w:autoSpaceDN/>
              <w:bidi w:val="0"/>
              <w:adjustRightInd w:val="0"/>
              <w:snapToGrid w:val="0"/>
              <w:spacing w:before="175" w:line="240" w:lineRule="auto"/>
              <w:ind w:left="0" w:leftChars="0" w:firstLine="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
              </w:rPr>
              <w:t>记录点情况</w:t>
            </w:r>
          </w:p>
        </w:tc>
        <w:tc>
          <w:tcPr>
            <w:tcW w:w="844" w:type="pct"/>
            <w:vAlign w:val="top"/>
          </w:tcPr>
          <w:p w14:paraId="7D18F31B">
            <w:pPr>
              <w:pStyle w:val="19"/>
              <w:keepNext w:val="0"/>
              <w:keepLines w:val="0"/>
              <w:pageBreakBefore w:val="0"/>
              <w:widowControl w:val="0"/>
              <w:kinsoku/>
              <w:wordWrap/>
              <w:overflowPunct/>
              <w:topLinePunct w:val="0"/>
              <w:autoSpaceDE/>
              <w:autoSpaceDN/>
              <w:bidi w:val="0"/>
              <w:adjustRightInd w:val="0"/>
              <w:snapToGrid w:val="0"/>
              <w:spacing w:before="33" w:line="240" w:lineRule="auto"/>
              <w:ind w:left="0" w:leftChars="0" w:firstLine="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
              </w:rPr>
              <w:t>监测点原高程</w:t>
            </w:r>
          </w:p>
        </w:tc>
        <w:tc>
          <w:tcPr>
            <w:tcW w:w="846" w:type="pct"/>
            <w:vAlign w:val="top"/>
          </w:tcPr>
          <w:p w14:paraId="6C00060A">
            <w:pPr>
              <w:pStyle w:val="19"/>
              <w:keepNext w:val="0"/>
              <w:keepLines w:val="0"/>
              <w:pageBreakBefore w:val="0"/>
              <w:widowControl w:val="0"/>
              <w:kinsoku/>
              <w:wordWrap/>
              <w:overflowPunct/>
              <w:topLinePunct w:val="0"/>
              <w:autoSpaceDE/>
              <w:autoSpaceDN/>
              <w:bidi w:val="0"/>
              <w:adjustRightInd w:val="0"/>
              <w:snapToGrid w:val="0"/>
              <w:spacing w:before="33" w:line="240" w:lineRule="auto"/>
              <w:ind w:left="0" w:leftChars="0" w:firstLine="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
              </w:rPr>
              <w:t>本次测量高程</w:t>
            </w:r>
          </w:p>
        </w:tc>
        <w:tc>
          <w:tcPr>
            <w:tcW w:w="846" w:type="pct"/>
            <w:gridSpan w:val="2"/>
            <w:vAlign w:val="top"/>
          </w:tcPr>
          <w:p w14:paraId="1631E053">
            <w:pPr>
              <w:pStyle w:val="19"/>
              <w:keepNext w:val="0"/>
              <w:keepLines w:val="0"/>
              <w:pageBreakBefore w:val="0"/>
              <w:widowControl w:val="0"/>
              <w:kinsoku/>
              <w:wordWrap/>
              <w:overflowPunct/>
              <w:topLinePunct w:val="0"/>
              <w:autoSpaceDE/>
              <w:autoSpaceDN/>
              <w:bidi w:val="0"/>
              <w:adjustRightInd w:val="0"/>
              <w:snapToGrid w:val="0"/>
              <w:spacing w:before="33" w:line="240" w:lineRule="auto"/>
              <w:ind w:left="0" w:leftChars="0" w:firstLine="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
              </w:rPr>
              <w:t>垂直变化情况</w:t>
            </w:r>
          </w:p>
        </w:tc>
        <w:tc>
          <w:tcPr>
            <w:tcW w:w="849" w:type="pct"/>
            <w:vAlign w:val="top"/>
          </w:tcPr>
          <w:p w14:paraId="2B259558">
            <w:pPr>
              <w:pStyle w:val="19"/>
              <w:keepNext w:val="0"/>
              <w:keepLines w:val="0"/>
              <w:pageBreakBefore w:val="0"/>
              <w:widowControl w:val="0"/>
              <w:kinsoku/>
              <w:wordWrap/>
              <w:overflowPunct/>
              <w:topLinePunct w:val="0"/>
              <w:autoSpaceDE/>
              <w:autoSpaceDN/>
              <w:bidi w:val="0"/>
              <w:adjustRightInd w:val="0"/>
              <w:snapToGrid w:val="0"/>
              <w:spacing w:before="33" w:line="240" w:lineRule="auto"/>
              <w:ind w:left="0" w:leftChars="0" w:firstLine="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
              </w:rPr>
              <w:t>地表变化情况</w:t>
            </w:r>
          </w:p>
        </w:tc>
        <w:tc>
          <w:tcPr>
            <w:tcW w:w="839" w:type="pct"/>
            <w:vAlign w:val="top"/>
          </w:tcPr>
          <w:p w14:paraId="5517A7B6">
            <w:pPr>
              <w:pStyle w:val="19"/>
              <w:keepNext w:val="0"/>
              <w:keepLines w:val="0"/>
              <w:pageBreakBefore w:val="0"/>
              <w:widowControl w:val="0"/>
              <w:kinsoku/>
              <w:wordWrap/>
              <w:overflowPunct/>
              <w:topLinePunct w:val="0"/>
              <w:autoSpaceDE/>
              <w:autoSpaceDN/>
              <w:bidi w:val="0"/>
              <w:adjustRightInd w:val="0"/>
              <w:snapToGrid w:val="0"/>
              <w:spacing w:before="33" w:line="240" w:lineRule="auto"/>
              <w:ind w:left="0" w:leftChars="0" w:firstLine="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
              </w:rPr>
              <w:t>其他情况说明</w:t>
            </w:r>
          </w:p>
        </w:tc>
      </w:tr>
      <w:tr w14:paraId="438165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75" w:type="pct"/>
            <w:vMerge w:val="continue"/>
            <w:tcBorders>
              <w:top w:val="nil"/>
            </w:tcBorders>
            <w:vAlign w:val="top"/>
          </w:tcPr>
          <w:p w14:paraId="0C5D7D7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rPr>
            </w:pPr>
          </w:p>
        </w:tc>
        <w:tc>
          <w:tcPr>
            <w:tcW w:w="844" w:type="pct"/>
            <w:vAlign w:val="top"/>
          </w:tcPr>
          <w:p w14:paraId="7F0BDAA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rPr>
            </w:pPr>
          </w:p>
        </w:tc>
        <w:tc>
          <w:tcPr>
            <w:tcW w:w="846" w:type="pct"/>
            <w:vAlign w:val="top"/>
          </w:tcPr>
          <w:p w14:paraId="5D70868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rPr>
            </w:pPr>
          </w:p>
        </w:tc>
        <w:tc>
          <w:tcPr>
            <w:tcW w:w="846" w:type="pct"/>
            <w:gridSpan w:val="2"/>
            <w:vAlign w:val="top"/>
          </w:tcPr>
          <w:p w14:paraId="697D6B3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rPr>
            </w:pPr>
          </w:p>
        </w:tc>
        <w:tc>
          <w:tcPr>
            <w:tcW w:w="849" w:type="pct"/>
            <w:vAlign w:val="top"/>
          </w:tcPr>
          <w:p w14:paraId="26D8BD4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rPr>
            </w:pPr>
          </w:p>
        </w:tc>
        <w:tc>
          <w:tcPr>
            <w:tcW w:w="839" w:type="pct"/>
            <w:vAlign w:val="top"/>
          </w:tcPr>
          <w:p w14:paraId="65F7990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rPr>
            </w:pPr>
          </w:p>
        </w:tc>
      </w:tr>
    </w:tbl>
    <w:p w14:paraId="3B08D994">
      <w:pPr>
        <w:pStyle w:val="5"/>
        <w:spacing w:before="31" w:line="360" w:lineRule="auto"/>
        <w:ind w:left="542"/>
        <w:rPr>
          <w:sz w:val="21"/>
          <w:szCs w:val="21"/>
        </w:rPr>
      </w:pPr>
      <w:r>
        <w:rPr>
          <w:spacing w:val="-1"/>
          <w:sz w:val="21"/>
          <w:szCs w:val="21"/>
        </w:rPr>
        <w:t>填表人：</w:t>
      </w:r>
      <w:r>
        <w:rPr>
          <w:rFonts w:hint="eastAsia"/>
          <w:spacing w:val="-1"/>
          <w:sz w:val="21"/>
          <w:szCs w:val="21"/>
          <w:lang w:val="en-US" w:eastAsia="zh-CN"/>
        </w:rPr>
        <w:t xml:space="preserve">     </w:t>
      </w:r>
      <w:r>
        <w:rPr>
          <w:spacing w:val="-1"/>
          <w:sz w:val="21"/>
          <w:szCs w:val="21"/>
        </w:rPr>
        <w:t>审核人：</w:t>
      </w:r>
      <w:r>
        <w:rPr>
          <w:rFonts w:hint="eastAsia"/>
          <w:spacing w:val="-1"/>
          <w:sz w:val="21"/>
          <w:szCs w:val="21"/>
          <w:lang w:val="en-US" w:eastAsia="zh-CN"/>
        </w:rPr>
        <w:t xml:space="preserve">        </w:t>
      </w:r>
      <w:r>
        <w:rPr>
          <w:spacing w:val="-1"/>
          <w:sz w:val="21"/>
          <w:szCs w:val="21"/>
        </w:rPr>
        <w:t>填表日期：</w:t>
      </w:r>
      <w:r>
        <w:rPr>
          <w:rFonts w:hint="eastAsia"/>
          <w:spacing w:val="-1"/>
          <w:sz w:val="21"/>
          <w:szCs w:val="21"/>
          <w:lang w:val="en-US" w:eastAsia="zh-CN"/>
        </w:rPr>
        <w:t xml:space="preserve">  </w:t>
      </w:r>
      <w:r>
        <w:rPr>
          <w:spacing w:val="-1"/>
          <w:sz w:val="21"/>
          <w:szCs w:val="21"/>
        </w:rPr>
        <w:t>年</w:t>
      </w:r>
      <w:r>
        <w:rPr>
          <w:rFonts w:hint="eastAsia"/>
          <w:spacing w:val="-1"/>
          <w:sz w:val="21"/>
          <w:szCs w:val="21"/>
          <w:lang w:val="en-US" w:eastAsia="zh-CN"/>
        </w:rPr>
        <w:t xml:space="preserve">   </w:t>
      </w:r>
      <w:r>
        <w:rPr>
          <w:spacing w:val="-1"/>
          <w:sz w:val="21"/>
          <w:szCs w:val="21"/>
        </w:rPr>
        <w:t>月</w:t>
      </w:r>
      <w:r>
        <w:rPr>
          <w:rFonts w:hint="eastAsia"/>
          <w:spacing w:val="-1"/>
          <w:sz w:val="21"/>
          <w:szCs w:val="21"/>
          <w:lang w:val="en-US" w:eastAsia="zh-CN"/>
        </w:rPr>
        <w:t xml:space="preserve">   </w:t>
      </w:r>
      <w:r>
        <w:rPr>
          <w:spacing w:val="-1"/>
          <w:sz w:val="21"/>
          <w:szCs w:val="21"/>
        </w:rPr>
        <w:t>日</w:t>
      </w:r>
    </w:p>
    <w:p w14:paraId="3810657F">
      <w:pPr>
        <w:pStyle w:val="5"/>
        <w:spacing w:line="360" w:lineRule="auto"/>
        <w:ind w:left="0" w:leftChars="0" w:right="0" w:firstLine="47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lang w:eastAsia="zh-CN"/>
        </w:rPr>
        <w:t>（</w:t>
      </w:r>
      <w:r>
        <w:rPr>
          <w:rFonts w:hint="eastAsia" w:asciiTheme="minorEastAsia" w:hAnsiTheme="minorEastAsia" w:eastAsiaTheme="minorEastAsia" w:cstheme="minorEastAsia"/>
          <w:spacing w:val="-2"/>
          <w:sz w:val="24"/>
          <w:szCs w:val="24"/>
          <w:lang w:val="en-US" w:eastAsia="zh-CN"/>
        </w:rPr>
        <w:t>二</w:t>
      </w:r>
      <w:r>
        <w:rPr>
          <w:rFonts w:hint="eastAsia" w:asciiTheme="minorEastAsia" w:hAnsiTheme="minorEastAsia" w:eastAsiaTheme="minorEastAsia" w:cstheme="minorEastAsia"/>
          <w:spacing w:val="-2"/>
          <w:sz w:val="24"/>
          <w:szCs w:val="24"/>
          <w:lang w:eastAsia="zh-CN"/>
        </w:rPr>
        <w:t>）</w:t>
      </w:r>
      <w:r>
        <w:rPr>
          <w:rFonts w:hint="eastAsia" w:asciiTheme="minorEastAsia" w:hAnsiTheme="minorEastAsia" w:eastAsiaTheme="minorEastAsia" w:cstheme="minorEastAsia"/>
          <w:spacing w:val="-2"/>
          <w:sz w:val="24"/>
          <w:szCs w:val="24"/>
        </w:rPr>
        <w:t>含水层监测</w:t>
      </w:r>
    </w:p>
    <w:p w14:paraId="1CD1B008">
      <w:pPr>
        <w:pStyle w:val="5"/>
        <w:spacing w:line="360" w:lineRule="auto"/>
        <w:ind w:left="0" w:right="0" w:firstLine="468"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lang w:val="en-US" w:eastAsia="zh-CN"/>
        </w:rPr>
        <w:t>1、</w:t>
      </w:r>
      <w:r>
        <w:rPr>
          <w:rFonts w:hint="eastAsia" w:asciiTheme="minorEastAsia" w:hAnsiTheme="minorEastAsia" w:eastAsiaTheme="minorEastAsia" w:cstheme="minorEastAsia"/>
          <w:spacing w:val="-3"/>
          <w:sz w:val="24"/>
          <w:szCs w:val="24"/>
        </w:rPr>
        <w:t>监测点的布设</w:t>
      </w:r>
    </w:p>
    <w:p w14:paraId="1E1091E5">
      <w:pPr>
        <w:pStyle w:val="5"/>
        <w:spacing w:line="360" w:lineRule="auto"/>
        <w:ind w:left="0" w:right="0" w:firstLine="480" w:firstLineChars="200"/>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z w:val="24"/>
          <w:szCs w:val="24"/>
        </w:rPr>
        <w:t>矿区内水源井、尾矿库下游各布置3个动态监测</w:t>
      </w:r>
      <w:r>
        <w:rPr>
          <w:rFonts w:hint="eastAsia" w:asciiTheme="minorEastAsia" w:hAnsiTheme="minorEastAsia" w:eastAsiaTheme="minorEastAsia" w:cstheme="minorEastAsia"/>
          <w:spacing w:val="-1"/>
          <w:sz w:val="24"/>
          <w:szCs w:val="24"/>
        </w:rPr>
        <w:t>点，观测地下水水位，并采</w:t>
      </w:r>
      <w:r>
        <w:rPr>
          <w:rFonts w:hint="eastAsia" w:asciiTheme="minorEastAsia" w:hAnsiTheme="minorEastAsia" w:eastAsiaTheme="minorEastAsia" w:cstheme="minorEastAsia"/>
          <w:spacing w:val="-2"/>
          <w:sz w:val="24"/>
          <w:szCs w:val="24"/>
        </w:rPr>
        <w:t>集地下水水样。</w:t>
      </w:r>
    </w:p>
    <w:p w14:paraId="0E788D38">
      <w:pPr>
        <w:pStyle w:val="5"/>
        <w:spacing w:before="88" w:line="189" w:lineRule="auto"/>
        <w:ind w:firstLine="2895" w:firstLineChars="1400"/>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pacing w:val="-2"/>
          <w:sz w:val="21"/>
          <w:szCs w:val="21"/>
        </w:rPr>
        <w:t>表6-</w:t>
      </w:r>
      <w:r>
        <w:rPr>
          <w:rFonts w:hint="eastAsia" w:asciiTheme="minorEastAsia" w:hAnsiTheme="minorEastAsia" w:eastAsiaTheme="minorEastAsia" w:cstheme="minorEastAsia"/>
          <w:b/>
          <w:bCs/>
          <w:spacing w:val="-2"/>
          <w:sz w:val="21"/>
          <w:szCs w:val="21"/>
          <w:lang w:val="en-US" w:eastAsia="zh-CN"/>
        </w:rPr>
        <w:t>3</w:t>
      </w:r>
      <w:r>
        <w:rPr>
          <w:rFonts w:hint="eastAsia" w:asciiTheme="minorEastAsia" w:hAnsiTheme="minorEastAsia" w:eastAsiaTheme="minorEastAsia" w:cstheme="minorEastAsia"/>
          <w:b/>
          <w:bCs/>
          <w:spacing w:val="-2"/>
          <w:sz w:val="21"/>
          <w:szCs w:val="21"/>
        </w:rPr>
        <w:t>水文监测点坐标表</w:t>
      </w:r>
    </w:p>
    <w:tbl>
      <w:tblPr>
        <w:tblStyle w:val="20"/>
        <w:tblW w:w="508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4"/>
        <w:gridCol w:w="1653"/>
        <w:gridCol w:w="1546"/>
        <w:gridCol w:w="792"/>
        <w:gridCol w:w="2065"/>
        <w:gridCol w:w="1839"/>
      </w:tblGrid>
      <w:tr w14:paraId="4A21F2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5000" w:type="pct"/>
            <w:gridSpan w:val="6"/>
            <w:vAlign w:val="top"/>
          </w:tcPr>
          <w:p w14:paraId="11E02199">
            <w:pPr>
              <w:pStyle w:val="19"/>
              <w:keepNext w:val="0"/>
              <w:keepLines w:val="0"/>
              <w:pageBreakBefore w:val="0"/>
              <w:widowControl w:val="0"/>
              <w:kinsoku/>
              <w:wordWrap/>
              <w:overflowPunct/>
              <w:topLinePunct w:val="0"/>
              <w:autoSpaceDE/>
              <w:autoSpaceDN/>
              <w:bidi w:val="0"/>
              <w:adjustRightInd w:val="0"/>
              <w:snapToGrid w:val="0"/>
              <w:spacing w:before="9" w:line="241" w:lineRule="auto"/>
              <w:ind w:left="3012"/>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3"/>
              </w:rPr>
              <w:t>2000国家大地坐标系(3度带)</w:t>
            </w:r>
          </w:p>
        </w:tc>
      </w:tr>
      <w:tr w14:paraId="437AE6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333" w:type="pct"/>
            <w:vAlign w:val="top"/>
          </w:tcPr>
          <w:p w14:paraId="25176E02">
            <w:pPr>
              <w:pStyle w:val="19"/>
              <w:keepNext w:val="0"/>
              <w:keepLines w:val="0"/>
              <w:pageBreakBefore w:val="0"/>
              <w:widowControl w:val="0"/>
              <w:kinsoku/>
              <w:wordWrap/>
              <w:overflowPunct/>
              <w:topLinePunct w:val="0"/>
              <w:autoSpaceDE/>
              <w:autoSpaceDN/>
              <w:bidi w:val="0"/>
              <w:adjustRightInd w:val="0"/>
              <w:snapToGrid w:val="0"/>
              <w:spacing w:before="37" w:line="240" w:lineRule="auto"/>
              <w:ind w:left="0" w:leftChars="0" w:firstLine="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3"/>
              </w:rPr>
              <w:t>编号</w:t>
            </w:r>
          </w:p>
        </w:tc>
        <w:tc>
          <w:tcPr>
            <w:tcW w:w="977" w:type="pct"/>
            <w:vAlign w:val="top"/>
          </w:tcPr>
          <w:p w14:paraId="4EEAF4E0">
            <w:pPr>
              <w:pStyle w:val="19"/>
              <w:keepNext w:val="0"/>
              <w:keepLines w:val="0"/>
              <w:pageBreakBefore w:val="0"/>
              <w:widowControl w:val="0"/>
              <w:kinsoku/>
              <w:wordWrap/>
              <w:overflowPunct/>
              <w:topLinePunct w:val="0"/>
              <w:autoSpaceDE/>
              <w:autoSpaceDN/>
              <w:bidi w:val="0"/>
              <w:adjustRightInd w:val="0"/>
              <w:snapToGrid w:val="0"/>
              <w:spacing w:before="74" w:line="180" w:lineRule="auto"/>
              <w:ind w:left="681"/>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X</w:t>
            </w:r>
          </w:p>
        </w:tc>
        <w:tc>
          <w:tcPr>
            <w:tcW w:w="913" w:type="pct"/>
            <w:vAlign w:val="top"/>
          </w:tcPr>
          <w:p w14:paraId="5D8041B6">
            <w:pPr>
              <w:pStyle w:val="19"/>
              <w:keepNext w:val="0"/>
              <w:keepLines w:val="0"/>
              <w:pageBreakBefore w:val="0"/>
              <w:widowControl w:val="0"/>
              <w:kinsoku/>
              <w:wordWrap/>
              <w:overflowPunct/>
              <w:topLinePunct w:val="0"/>
              <w:autoSpaceDE/>
              <w:autoSpaceDN/>
              <w:bidi w:val="0"/>
              <w:adjustRightInd w:val="0"/>
              <w:snapToGrid w:val="0"/>
              <w:spacing w:before="74" w:line="180" w:lineRule="auto"/>
              <w:ind w:left="729"/>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Y</w:t>
            </w:r>
          </w:p>
        </w:tc>
        <w:tc>
          <w:tcPr>
            <w:tcW w:w="467" w:type="pct"/>
            <w:vAlign w:val="top"/>
          </w:tcPr>
          <w:p w14:paraId="7AD5038C">
            <w:pPr>
              <w:pStyle w:val="19"/>
              <w:keepNext w:val="0"/>
              <w:keepLines w:val="0"/>
              <w:pageBreakBefore w:val="0"/>
              <w:widowControl w:val="0"/>
              <w:kinsoku/>
              <w:wordWrap/>
              <w:overflowPunct/>
              <w:topLinePunct w:val="0"/>
              <w:autoSpaceDE/>
              <w:autoSpaceDN/>
              <w:bidi w:val="0"/>
              <w:adjustRightInd w:val="0"/>
              <w:snapToGrid w:val="0"/>
              <w:spacing w:before="37" w:line="212" w:lineRule="auto"/>
              <w:ind w:left="0" w:leftChars="0" w:firstLine="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3"/>
              </w:rPr>
              <w:t>编号</w:t>
            </w:r>
          </w:p>
        </w:tc>
        <w:tc>
          <w:tcPr>
            <w:tcW w:w="1220" w:type="pct"/>
            <w:vAlign w:val="top"/>
          </w:tcPr>
          <w:p w14:paraId="48532BD6">
            <w:pPr>
              <w:pStyle w:val="19"/>
              <w:keepNext w:val="0"/>
              <w:keepLines w:val="0"/>
              <w:pageBreakBefore w:val="0"/>
              <w:widowControl w:val="0"/>
              <w:kinsoku/>
              <w:wordWrap/>
              <w:overflowPunct/>
              <w:topLinePunct w:val="0"/>
              <w:autoSpaceDE/>
              <w:autoSpaceDN/>
              <w:bidi w:val="0"/>
              <w:adjustRightInd w:val="0"/>
              <w:snapToGrid w:val="0"/>
              <w:spacing w:before="74" w:line="180" w:lineRule="auto"/>
              <w:ind w:left="691"/>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X</w:t>
            </w:r>
          </w:p>
        </w:tc>
        <w:tc>
          <w:tcPr>
            <w:tcW w:w="1087" w:type="pct"/>
            <w:vAlign w:val="top"/>
          </w:tcPr>
          <w:p w14:paraId="7D86F923">
            <w:pPr>
              <w:pStyle w:val="19"/>
              <w:keepNext w:val="0"/>
              <w:keepLines w:val="0"/>
              <w:pageBreakBefore w:val="0"/>
              <w:widowControl w:val="0"/>
              <w:kinsoku/>
              <w:wordWrap/>
              <w:overflowPunct/>
              <w:topLinePunct w:val="0"/>
              <w:autoSpaceDE/>
              <w:autoSpaceDN/>
              <w:bidi w:val="0"/>
              <w:adjustRightInd w:val="0"/>
              <w:snapToGrid w:val="0"/>
              <w:spacing w:before="74" w:line="180" w:lineRule="auto"/>
              <w:ind w:left="746"/>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Y</w:t>
            </w:r>
          </w:p>
        </w:tc>
      </w:tr>
      <w:tr w14:paraId="271CB6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333" w:type="pct"/>
            <w:vAlign w:val="top"/>
          </w:tcPr>
          <w:p w14:paraId="77D4CB8B">
            <w:pPr>
              <w:keepNext w:val="0"/>
              <w:keepLines w:val="0"/>
              <w:pageBreakBefore w:val="0"/>
              <w:widowControl w:val="0"/>
              <w:kinsoku/>
              <w:wordWrap/>
              <w:overflowPunct/>
              <w:topLinePunct w:val="0"/>
              <w:autoSpaceDE/>
              <w:autoSpaceDN/>
              <w:bidi w:val="0"/>
              <w:adjustRightInd w:val="0"/>
              <w:snapToGrid w:val="0"/>
              <w:spacing w:before="77" w:line="186" w:lineRule="auto"/>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SJC1</w:t>
            </w:r>
          </w:p>
        </w:tc>
        <w:tc>
          <w:tcPr>
            <w:tcW w:w="977" w:type="pct"/>
            <w:vAlign w:val="top"/>
          </w:tcPr>
          <w:p w14:paraId="7B05D6A0">
            <w:pPr>
              <w:keepNext w:val="0"/>
              <w:keepLines w:val="0"/>
              <w:pageBreakBefore w:val="0"/>
              <w:widowControl w:val="0"/>
              <w:kinsoku/>
              <w:wordWrap/>
              <w:overflowPunct/>
              <w:topLinePunct w:val="0"/>
              <w:autoSpaceDE/>
              <w:autoSpaceDN/>
              <w:bidi w:val="0"/>
              <w:adjustRightInd w:val="0"/>
              <w:snapToGrid w:val="0"/>
              <w:spacing w:before="72" w:line="240" w:lineRule="auto"/>
              <w:ind w:left="210" w:firstLine="0" w:firstLineChars="0"/>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c>
          <w:tcPr>
            <w:tcW w:w="913" w:type="pct"/>
            <w:vAlign w:val="top"/>
          </w:tcPr>
          <w:p w14:paraId="66638546">
            <w:pPr>
              <w:keepNext w:val="0"/>
              <w:keepLines w:val="0"/>
              <w:pageBreakBefore w:val="0"/>
              <w:widowControl w:val="0"/>
              <w:kinsoku/>
              <w:wordWrap/>
              <w:overflowPunct/>
              <w:topLinePunct w:val="0"/>
              <w:autoSpaceDE/>
              <w:autoSpaceDN/>
              <w:bidi w:val="0"/>
              <w:adjustRightInd w:val="0"/>
              <w:snapToGrid w:val="0"/>
              <w:spacing w:before="72" w:line="240" w:lineRule="auto"/>
              <w:ind w:left="21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w:t>
            </w:r>
          </w:p>
        </w:tc>
        <w:tc>
          <w:tcPr>
            <w:tcW w:w="467" w:type="pct"/>
            <w:vAlign w:val="top"/>
          </w:tcPr>
          <w:p w14:paraId="0FACE8BB">
            <w:pPr>
              <w:keepNext w:val="0"/>
              <w:keepLines w:val="0"/>
              <w:pageBreakBefore w:val="0"/>
              <w:widowControl w:val="0"/>
              <w:kinsoku/>
              <w:wordWrap/>
              <w:overflowPunct/>
              <w:topLinePunct w:val="0"/>
              <w:autoSpaceDE/>
              <w:autoSpaceDN/>
              <w:bidi w:val="0"/>
              <w:adjustRightInd w:val="0"/>
              <w:snapToGrid w:val="0"/>
              <w:spacing w:before="77" w:line="186" w:lineRule="auto"/>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SJC4</w:t>
            </w:r>
          </w:p>
        </w:tc>
        <w:tc>
          <w:tcPr>
            <w:tcW w:w="1220" w:type="pct"/>
            <w:vAlign w:val="top"/>
          </w:tcPr>
          <w:p w14:paraId="719464EA">
            <w:pPr>
              <w:keepNext w:val="0"/>
              <w:keepLines w:val="0"/>
              <w:pageBreakBefore w:val="0"/>
              <w:widowControl w:val="0"/>
              <w:kinsoku/>
              <w:wordWrap/>
              <w:overflowPunct/>
              <w:topLinePunct w:val="0"/>
              <w:autoSpaceDE/>
              <w:autoSpaceDN/>
              <w:bidi w:val="0"/>
              <w:adjustRightInd w:val="0"/>
              <w:snapToGrid w:val="0"/>
              <w:spacing w:before="72" w:line="240" w:lineRule="auto"/>
              <w:ind w:left="210" w:firstLine="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c>
          <w:tcPr>
            <w:tcW w:w="1087" w:type="pct"/>
            <w:vAlign w:val="top"/>
          </w:tcPr>
          <w:p w14:paraId="40C77E6B">
            <w:pPr>
              <w:keepNext w:val="0"/>
              <w:keepLines w:val="0"/>
              <w:pageBreakBefore w:val="0"/>
              <w:widowControl w:val="0"/>
              <w:kinsoku/>
              <w:wordWrap/>
              <w:overflowPunct/>
              <w:topLinePunct w:val="0"/>
              <w:autoSpaceDE/>
              <w:autoSpaceDN/>
              <w:bidi w:val="0"/>
              <w:adjustRightInd w:val="0"/>
              <w:snapToGrid w:val="0"/>
              <w:spacing w:before="72" w:line="240" w:lineRule="auto"/>
              <w:ind w:left="210" w:firstLine="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r>
      <w:tr w14:paraId="0B18C9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333" w:type="pct"/>
            <w:vAlign w:val="top"/>
          </w:tcPr>
          <w:p w14:paraId="26EECF32">
            <w:pPr>
              <w:keepNext w:val="0"/>
              <w:keepLines w:val="0"/>
              <w:pageBreakBefore w:val="0"/>
              <w:widowControl w:val="0"/>
              <w:kinsoku/>
              <w:wordWrap/>
              <w:overflowPunct/>
              <w:topLinePunct w:val="0"/>
              <w:autoSpaceDE/>
              <w:autoSpaceDN/>
              <w:bidi w:val="0"/>
              <w:adjustRightInd w:val="0"/>
              <w:snapToGrid w:val="0"/>
              <w:spacing w:before="77" w:line="186" w:lineRule="auto"/>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SJC2</w:t>
            </w:r>
          </w:p>
        </w:tc>
        <w:tc>
          <w:tcPr>
            <w:tcW w:w="977" w:type="pct"/>
            <w:vAlign w:val="top"/>
          </w:tcPr>
          <w:p w14:paraId="0B1B9FE6">
            <w:pPr>
              <w:keepNext w:val="0"/>
              <w:keepLines w:val="0"/>
              <w:pageBreakBefore w:val="0"/>
              <w:widowControl w:val="0"/>
              <w:kinsoku/>
              <w:wordWrap/>
              <w:overflowPunct/>
              <w:topLinePunct w:val="0"/>
              <w:autoSpaceDE/>
              <w:autoSpaceDN/>
              <w:bidi w:val="0"/>
              <w:adjustRightInd w:val="0"/>
              <w:snapToGrid w:val="0"/>
              <w:spacing w:before="72" w:line="240" w:lineRule="auto"/>
              <w:ind w:left="210" w:firstLine="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c>
          <w:tcPr>
            <w:tcW w:w="913" w:type="pct"/>
            <w:vAlign w:val="top"/>
          </w:tcPr>
          <w:p w14:paraId="355BEEAE">
            <w:pPr>
              <w:keepNext w:val="0"/>
              <w:keepLines w:val="0"/>
              <w:pageBreakBefore w:val="0"/>
              <w:widowControl w:val="0"/>
              <w:kinsoku/>
              <w:wordWrap/>
              <w:overflowPunct/>
              <w:topLinePunct w:val="0"/>
              <w:autoSpaceDE/>
              <w:autoSpaceDN/>
              <w:bidi w:val="0"/>
              <w:adjustRightInd w:val="0"/>
              <w:snapToGrid w:val="0"/>
              <w:spacing w:before="72" w:line="240" w:lineRule="auto"/>
              <w:ind w:left="210" w:firstLine="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c>
          <w:tcPr>
            <w:tcW w:w="467" w:type="pct"/>
            <w:vAlign w:val="top"/>
          </w:tcPr>
          <w:p w14:paraId="26E3F60C">
            <w:pPr>
              <w:keepNext w:val="0"/>
              <w:keepLines w:val="0"/>
              <w:pageBreakBefore w:val="0"/>
              <w:widowControl w:val="0"/>
              <w:kinsoku/>
              <w:wordWrap/>
              <w:overflowPunct/>
              <w:topLinePunct w:val="0"/>
              <w:autoSpaceDE/>
              <w:autoSpaceDN/>
              <w:bidi w:val="0"/>
              <w:adjustRightInd w:val="0"/>
              <w:snapToGrid w:val="0"/>
              <w:spacing w:before="77" w:line="186" w:lineRule="auto"/>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SJC5</w:t>
            </w:r>
          </w:p>
        </w:tc>
        <w:tc>
          <w:tcPr>
            <w:tcW w:w="1220" w:type="pct"/>
            <w:vAlign w:val="top"/>
          </w:tcPr>
          <w:p w14:paraId="13E66982">
            <w:pPr>
              <w:keepNext w:val="0"/>
              <w:keepLines w:val="0"/>
              <w:pageBreakBefore w:val="0"/>
              <w:widowControl w:val="0"/>
              <w:kinsoku/>
              <w:wordWrap/>
              <w:overflowPunct/>
              <w:topLinePunct w:val="0"/>
              <w:autoSpaceDE/>
              <w:autoSpaceDN/>
              <w:bidi w:val="0"/>
              <w:adjustRightInd w:val="0"/>
              <w:snapToGrid w:val="0"/>
              <w:spacing w:before="72" w:line="240" w:lineRule="auto"/>
              <w:ind w:left="210" w:firstLine="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c>
          <w:tcPr>
            <w:tcW w:w="1087" w:type="pct"/>
            <w:vAlign w:val="top"/>
          </w:tcPr>
          <w:p w14:paraId="3709F564">
            <w:pPr>
              <w:keepNext w:val="0"/>
              <w:keepLines w:val="0"/>
              <w:pageBreakBefore w:val="0"/>
              <w:widowControl w:val="0"/>
              <w:kinsoku/>
              <w:wordWrap/>
              <w:overflowPunct/>
              <w:topLinePunct w:val="0"/>
              <w:autoSpaceDE/>
              <w:autoSpaceDN/>
              <w:bidi w:val="0"/>
              <w:adjustRightInd w:val="0"/>
              <w:snapToGrid w:val="0"/>
              <w:spacing w:before="72" w:line="240" w:lineRule="auto"/>
              <w:ind w:left="210" w:firstLine="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r>
      <w:tr w14:paraId="2410ED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333" w:type="pct"/>
            <w:vAlign w:val="top"/>
          </w:tcPr>
          <w:p w14:paraId="67E0DFD8">
            <w:pPr>
              <w:keepNext w:val="0"/>
              <w:keepLines w:val="0"/>
              <w:pageBreakBefore w:val="0"/>
              <w:widowControl w:val="0"/>
              <w:kinsoku/>
              <w:wordWrap/>
              <w:overflowPunct/>
              <w:topLinePunct w:val="0"/>
              <w:autoSpaceDE/>
              <w:autoSpaceDN/>
              <w:bidi w:val="0"/>
              <w:adjustRightInd w:val="0"/>
              <w:snapToGrid w:val="0"/>
              <w:spacing w:before="78" w:line="186" w:lineRule="auto"/>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SJC3</w:t>
            </w:r>
          </w:p>
        </w:tc>
        <w:tc>
          <w:tcPr>
            <w:tcW w:w="977" w:type="pct"/>
            <w:vAlign w:val="top"/>
          </w:tcPr>
          <w:p w14:paraId="08C31629">
            <w:pPr>
              <w:keepNext w:val="0"/>
              <w:keepLines w:val="0"/>
              <w:pageBreakBefore w:val="0"/>
              <w:widowControl w:val="0"/>
              <w:kinsoku/>
              <w:wordWrap/>
              <w:overflowPunct/>
              <w:topLinePunct w:val="0"/>
              <w:autoSpaceDE/>
              <w:autoSpaceDN/>
              <w:bidi w:val="0"/>
              <w:adjustRightInd w:val="0"/>
              <w:snapToGrid w:val="0"/>
              <w:spacing w:before="72" w:line="240" w:lineRule="auto"/>
              <w:ind w:left="210" w:firstLine="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c>
          <w:tcPr>
            <w:tcW w:w="913" w:type="pct"/>
            <w:vAlign w:val="top"/>
          </w:tcPr>
          <w:p w14:paraId="32D0EFA0">
            <w:pPr>
              <w:keepNext w:val="0"/>
              <w:keepLines w:val="0"/>
              <w:pageBreakBefore w:val="0"/>
              <w:widowControl w:val="0"/>
              <w:kinsoku/>
              <w:wordWrap/>
              <w:overflowPunct/>
              <w:topLinePunct w:val="0"/>
              <w:autoSpaceDE/>
              <w:autoSpaceDN/>
              <w:bidi w:val="0"/>
              <w:adjustRightInd w:val="0"/>
              <w:snapToGrid w:val="0"/>
              <w:spacing w:before="72" w:line="240" w:lineRule="auto"/>
              <w:ind w:left="210" w:firstLine="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c>
          <w:tcPr>
            <w:tcW w:w="467" w:type="pct"/>
            <w:vAlign w:val="top"/>
          </w:tcPr>
          <w:p w14:paraId="1F5C0432">
            <w:pPr>
              <w:keepNext w:val="0"/>
              <w:keepLines w:val="0"/>
              <w:pageBreakBefore w:val="0"/>
              <w:widowControl w:val="0"/>
              <w:kinsoku/>
              <w:wordWrap/>
              <w:overflowPunct/>
              <w:topLinePunct w:val="0"/>
              <w:autoSpaceDE/>
              <w:autoSpaceDN/>
              <w:bidi w:val="0"/>
              <w:adjustRightInd w:val="0"/>
              <w:snapToGrid w:val="0"/>
              <w:spacing w:before="78" w:line="186" w:lineRule="auto"/>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SJC6</w:t>
            </w:r>
          </w:p>
        </w:tc>
        <w:tc>
          <w:tcPr>
            <w:tcW w:w="1220" w:type="pct"/>
            <w:vAlign w:val="top"/>
          </w:tcPr>
          <w:p w14:paraId="1D19297F">
            <w:pPr>
              <w:keepNext w:val="0"/>
              <w:keepLines w:val="0"/>
              <w:pageBreakBefore w:val="0"/>
              <w:widowControl w:val="0"/>
              <w:kinsoku/>
              <w:wordWrap/>
              <w:overflowPunct/>
              <w:topLinePunct w:val="0"/>
              <w:autoSpaceDE/>
              <w:autoSpaceDN/>
              <w:bidi w:val="0"/>
              <w:adjustRightInd w:val="0"/>
              <w:snapToGrid w:val="0"/>
              <w:spacing w:before="72" w:line="240" w:lineRule="auto"/>
              <w:ind w:left="210" w:firstLine="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c>
          <w:tcPr>
            <w:tcW w:w="1087" w:type="pct"/>
            <w:vAlign w:val="top"/>
          </w:tcPr>
          <w:p w14:paraId="04A88E0B">
            <w:pPr>
              <w:keepNext w:val="0"/>
              <w:keepLines w:val="0"/>
              <w:pageBreakBefore w:val="0"/>
              <w:widowControl w:val="0"/>
              <w:kinsoku/>
              <w:wordWrap/>
              <w:overflowPunct/>
              <w:topLinePunct w:val="0"/>
              <w:autoSpaceDE/>
              <w:autoSpaceDN/>
              <w:bidi w:val="0"/>
              <w:adjustRightInd w:val="0"/>
              <w:snapToGrid w:val="0"/>
              <w:spacing w:before="72" w:line="240" w:lineRule="auto"/>
              <w:ind w:left="210" w:firstLine="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r>
    </w:tbl>
    <w:p w14:paraId="3524D82F">
      <w:pPr>
        <w:pStyle w:val="5"/>
        <w:spacing w:before="36"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lang w:val="en-US" w:eastAsia="zh-CN"/>
        </w:rPr>
        <w:t>2、</w:t>
      </w:r>
      <w:r>
        <w:rPr>
          <w:rFonts w:hint="eastAsia" w:asciiTheme="minorEastAsia" w:hAnsiTheme="minorEastAsia" w:eastAsiaTheme="minorEastAsia" w:cstheme="minorEastAsia"/>
          <w:spacing w:val="-4"/>
          <w:sz w:val="24"/>
          <w:szCs w:val="24"/>
        </w:rPr>
        <w:t>监测内容</w:t>
      </w:r>
    </w:p>
    <w:p w14:paraId="7B0EB75E">
      <w:pPr>
        <w:pStyle w:val="5"/>
        <w:spacing w:line="360" w:lineRule="auto"/>
        <w:ind w:left="0" w:right="0" w:firstLine="49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监测矿区及尾矿库地下水水位、含水层水质变化，包括地下含水层的</w:t>
      </w:r>
      <w:r>
        <w:rPr>
          <w:rFonts w:hint="eastAsia" w:asciiTheme="minorEastAsia" w:hAnsiTheme="minorEastAsia" w:eastAsiaTheme="minorEastAsia" w:cstheme="minorEastAsia"/>
          <w:spacing w:val="2"/>
          <w:sz w:val="24"/>
          <w:szCs w:val="24"/>
        </w:rPr>
        <w:t>水位埋</w:t>
      </w:r>
      <w:r>
        <w:rPr>
          <w:rFonts w:hint="eastAsia" w:asciiTheme="minorEastAsia" w:hAnsiTheme="minorEastAsia" w:eastAsiaTheme="minorEastAsia" w:cstheme="minorEastAsia"/>
          <w:spacing w:val="5"/>
          <w:sz w:val="24"/>
          <w:szCs w:val="24"/>
        </w:rPr>
        <w:t>深、水位标高变化、水质（总硬度、</w:t>
      </w:r>
      <w:r>
        <w:rPr>
          <w:rFonts w:hint="eastAsia" w:asciiTheme="minorEastAsia" w:hAnsiTheme="minorEastAsia" w:eastAsiaTheme="minorEastAsia" w:cstheme="minorEastAsia"/>
          <w:sz w:val="24"/>
          <w:szCs w:val="24"/>
        </w:rPr>
        <w:t>PH</w:t>
      </w:r>
      <w:r>
        <w:rPr>
          <w:rFonts w:hint="eastAsia" w:asciiTheme="minorEastAsia" w:hAnsiTheme="minorEastAsia" w:eastAsiaTheme="minorEastAsia" w:cstheme="minorEastAsia"/>
          <w:spacing w:val="5"/>
          <w:sz w:val="24"/>
          <w:szCs w:val="24"/>
        </w:rPr>
        <w:t>值、总固体、总硬度</w:t>
      </w:r>
      <w:r>
        <w:rPr>
          <w:rFonts w:hint="eastAsia" w:asciiTheme="minorEastAsia" w:hAnsiTheme="minorEastAsia" w:eastAsiaTheme="minorEastAsia" w:cstheme="minorEastAsia"/>
          <w:spacing w:val="4"/>
          <w:sz w:val="24"/>
          <w:szCs w:val="24"/>
        </w:rPr>
        <w:t>、硫酸盐等）及矿</w:t>
      </w:r>
      <w:r>
        <w:rPr>
          <w:rFonts w:hint="eastAsia" w:asciiTheme="minorEastAsia" w:hAnsiTheme="minorEastAsia" w:eastAsiaTheme="minorEastAsia" w:cstheme="minorEastAsia"/>
          <w:spacing w:val="-6"/>
          <w:sz w:val="24"/>
          <w:szCs w:val="24"/>
        </w:rPr>
        <w:t>坑涌水量等。</w:t>
      </w:r>
    </w:p>
    <w:p w14:paraId="374D5C69">
      <w:pPr>
        <w:pStyle w:val="5"/>
        <w:spacing w:line="360" w:lineRule="auto"/>
        <w:ind w:left="0" w:right="0" w:firstLine="468"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lang w:val="en-US" w:eastAsia="zh-CN"/>
        </w:rPr>
        <w:t>3、</w:t>
      </w:r>
      <w:r>
        <w:rPr>
          <w:rFonts w:hint="eastAsia" w:asciiTheme="minorEastAsia" w:hAnsiTheme="minorEastAsia" w:eastAsiaTheme="minorEastAsia" w:cstheme="minorEastAsia"/>
          <w:spacing w:val="-3"/>
          <w:sz w:val="24"/>
          <w:szCs w:val="24"/>
        </w:rPr>
        <w:t>监测方法</w:t>
      </w:r>
    </w:p>
    <w:p w14:paraId="24715FC0">
      <w:pPr>
        <w:pStyle w:val="5"/>
        <w:spacing w:line="360" w:lineRule="auto"/>
        <w:ind w:left="0" w:right="0" w:firstLine="488"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以人工测量为主，对地下水水位进行监测，观测其水文变化情况；对采集的地下水水样进行化验监测。每次监测都要做好观测笔记，记</w:t>
      </w:r>
      <w:r>
        <w:rPr>
          <w:rFonts w:hint="eastAsia" w:asciiTheme="minorEastAsia" w:hAnsiTheme="minorEastAsia" w:eastAsiaTheme="minorEastAsia" w:cstheme="minorEastAsia"/>
          <w:spacing w:val="1"/>
          <w:sz w:val="24"/>
          <w:szCs w:val="24"/>
        </w:rPr>
        <w:t>录观测时间、地点、</w:t>
      </w:r>
      <w:r>
        <w:rPr>
          <w:rFonts w:hint="eastAsia" w:asciiTheme="minorEastAsia" w:hAnsiTheme="minorEastAsia" w:eastAsiaTheme="minorEastAsia" w:cstheme="minorEastAsia"/>
          <w:spacing w:val="3"/>
          <w:sz w:val="24"/>
          <w:szCs w:val="24"/>
        </w:rPr>
        <w:t>水位标高、涌水量以及水质的化验结果，并对引发的变化与</w:t>
      </w:r>
      <w:r>
        <w:rPr>
          <w:rFonts w:hint="eastAsia" w:asciiTheme="minorEastAsia" w:hAnsiTheme="minorEastAsia" w:eastAsiaTheme="minorEastAsia" w:cstheme="minorEastAsia"/>
          <w:spacing w:val="2"/>
          <w:sz w:val="24"/>
          <w:szCs w:val="24"/>
        </w:rPr>
        <w:t>矿山开采活动进行分</w:t>
      </w:r>
      <w:r>
        <w:rPr>
          <w:rFonts w:hint="eastAsia" w:asciiTheme="minorEastAsia" w:hAnsiTheme="minorEastAsia" w:eastAsiaTheme="minorEastAsia" w:cstheme="minorEastAsia"/>
          <w:spacing w:val="-5"/>
          <w:sz w:val="24"/>
          <w:szCs w:val="24"/>
        </w:rPr>
        <w:t>析。</w:t>
      </w:r>
    </w:p>
    <w:p w14:paraId="49D98715">
      <w:pPr>
        <w:pStyle w:val="5"/>
        <w:spacing w:line="360" w:lineRule="auto"/>
        <w:ind w:left="0" w:right="0" w:firstLine="464"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lang w:val="en-US" w:eastAsia="zh-CN"/>
        </w:rPr>
        <w:t>4、</w:t>
      </w:r>
      <w:r>
        <w:rPr>
          <w:rFonts w:hint="eastAsia" w:asciiTheme="minorEastAsia" w:hAnsiTheme="minorEastAsia" w:eastAsiaTheme="minorEastAsia" w:cstheme="minorEastAsia"/>
          <w:spacing w:val="-4"/>
          <w:sz w:val="24"/>
          <w:szCs w:val="24"/>
        </w:rPr>
        <w:t>监测频率</w:t>
      </w:r>
    </w:p>
    <w:p w14:paraId="3B52CBED">
      <w:pPr>
        <w:pStyle w:val="5"/>
        <w:spacing w:line="360" w:lineRule="auto"/>
        <w:ind w:left="0" w:right="0" w:firstLine="456"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水位及涌水量监测每月2次，水质监测按照每个水文年丰水期（7月份）、枯</w:t>
      </w:r>
      <w:r>
        <w:rPr>
          <w:rFonts w:hint="eastAsia" w:asciiTheme="minorEastAsia" w:hAnsiTheme="minorEastAsia" w:eastAsiaTheme="minorEastAsia" w:cstheme="minorEastAsia"/>
          <w:spacing w:val="-7"/>
          <w:sz w:val="24"/>
          <w:szCs w:val="24"/>
        </w:rPr>
        <w:t>水期（3月份）各1次。</w:t>
      </w:r>
    </w:p>
    <w:p w14:paraId="5AB08E56">
      <w:pPr>
        <w:pStyle w:val="5"/>
        <w:spacing w:line="360" w:lineRule="auto"/>
        <w:ind w:left="0" w:right="0" w:firstLine="464"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lang w:val="en-US" w:eastAsia="zh-CN"/>
        </w:rPr>
        <w:t>5、</w:t>
      </w:r>
      <w:r>
        <w:rPr>
          <w:rFonts w:hint="eastAsia" w:asciiTheme="minorEastAsia" w:hAnsiTheme="minorEastAsia" w:eastAsiaTheme="minorEastAsia" w:cstheme="minorEastAsia"/>
          <w:spacing w:val="-4"/>
          <w:sz w:val="24"/>
          <w:szCs w:val="24"/>
        </w:rPr>
        <w:t>技术要求</w:t>
      </w:r>
    </w:p>
    <w:p w14:paraId="13CAB1E4">
      <w:pPr>
        <w:pStyle w:val="5"/>
        <w:spacing w:line="360" w:lineRule="auto"/>
        <w:ind w:left="0" w:right="0"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每次监测都要做好观测笔记，记录观测时间、地点、水位标高、涌水量</w:t>
      </w:r>
      <w:r>
        <w:rPr>
          <w:rFonts w:hint="eastAsia" w:asciiTheme="minorEastAsia" w:hAnsiTheme="minorEastAsia" w:eastAsiaTheme="minorEastAsia" w:cstheme="minorEastAsia"/>
          <w:spacing w:val="2"/>
          <w:sz w:val="24"/>
          <w:szCs w:val="24"/>
        </w:rPr>
        <w:t>以及</w:t>
      </w:r>
      <w:r>
        <w:rPr>
          <w:rFonts w:hint="eastAsia" w:asciiTheme="minorEastAsia" w:hAnsiTheme="minorEastAsia" w:eastAsiaTheme="minorEastAsia" w:cstheme="minorEastAsia"/>
          <w:spacing w:val="-1"/>
          <w:sz w:val="24"/>
          <w:szCs w:val="24"/>
        </w:rPr>
        <w:t>水质的化验结果，并对引发的变化与矿山开采活动进行分析。</w:t>
      </w:r>
    </w:p>
    <w:p w14:paraId="3ED04FD2">
      <w:pPr>
        <w:pStyle w:val="5"/>
        <w:spacing w:line="360" w:lineRule="auto"/>
        <w:ind w:left="0" w:right="0" w:firstLine="444"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9"/>
          <w:sz w:val="24"/>
          <w:szCs w:val="24"/>
          <w:lang w:val="en-US" w:eastAsia="zh-CN"/>
        </w:rPr>
        <w:t>6、</w:t>
      </w:r>
      <w:r>
        <w:rPr>
          <w:rFonts w:hint="eastAsia" w:asciiTheme="minorEastAsia" w:hAnsiTheme="minorEastAsia" w:eastAsiaTheme="minorEastAsia" w:cstheme="minorEastAsia"/>
          <w:spacing w:val="-9"/>
          <w:sz w:val="24"/>
          <w:szCs w:val="24"/>
        </w:rPr>
        <w:t>监测时限：202</w:t>
      </w:r>
      <w:r>
        <w:rPr>
          <w:rFonts w:hint="eastAsia" w:asciiTheme="minorEastAsia" w:hAnsiTheme="minorEastAsia" w:eastAsiaTheme="minorEastAsia" w:cstheme="minorEastAsia"/>
          <w:spacing w:val="-9"/>
          <w:sz w:val="24"/>
          <w:szCs w:val="24"/>
          <w:lang w:val="en-US" w:eastAsia="zh-CN"/>
        </w:rPr>
        <w:t>6</w:t>
      </w:r>
      <w:r>
        <w:rPr>
          <w:rFonts w:hint="eastAsia" w:asciiTheme="minorEastAsia" w:hAnsiTheme="minorEastAsia" w:eastAsiaTheme="minorEastAsia" w:cstheme="minorEastAsia"/>
          <w:spacing w:val="-9"/>
          <w:sz w:val="24"/>
          <w:szCs w:val="24"/>
        </w:rPr>
        <w:t>年</w:t>
      </w:r>
      <w:r>
        <w:rPr>
          <w:rFonts w:hint="eastAsia" w:asciiTheme="minorEastAsia" w:hAnsiTheme="minorEastAsia" w:eastAsiaTheme="minorEastAsia" w:cstheme="minorEastAsia"/>
          <w:spacing w:val="-9"/>
          <w:sz w:val="24"/>
          <w:szCs w:val="24"/>
          <w:lang w:val="en-US" w:eastAsia="zh-CN"/>
        </w:rPr>
        <w:t>1</w:t>
      </w:r>
      <w:r>
        <w:rPr>
          <w:rFonts w:hint="eastAsia" w:asciiTheme="minorEastAsia" w:hAnsiTheme="minorEastAsia" w:eastAsiaTheme="minorEastAsia" w:cstheme="minorEastAsia"/>
          <w:spacing w:val="-9"/>
          <w:sz w:val="24"/>
          <w:szCs w:val="24"/>
        </w:rPr>
        <w:t>月1日至</w:t>
      </w:r>
      <w:r>
        <w:rPr>
          <w:rFonts w:hint="eastAsia" w:asciiTheme="minorEastAsia" w:hAnsiTheme="minorEastAsia" w:eastAsiaTheme="minorEastAsia" w:cstheme="minorEastAsia"/>
          <w:spacing w:val="-9"/>
          <w:sz w:val="24"/>
          <w:szCs w:val="24"/>
          <w:lang w:val="en-US" w:eastAsia="zh-CN"/>
        </w:rPr>
        <w:t>2026</w:t>
      </w:r>
      <w:r>
        <w:rPr>
          <w:rFonts w:hint="eastAsia" w:asciiTheme="minorEastAsia" w:hAnsiTheme="minorEastAsia" w:eastAsiaTheme="minorEastAsia" w:cstheme="minorEastAsia"/>
          <w:spacing w:val="-9"/>
          <w:sz w:val="24"/>
          <w:szCs w:val="24"/>
        </w:rPr>
        <w:t>年</w:t>
      </w:r>
      <w:r>
        <w:rPr>
          <w:rFonts w:hint="eastAsia" w:asciiTheme="minorEastAsia" w:hAnsiTheme="minorEastAsia" w:eastAsiaTheme="minorEastAsia" w:cstheme="minorEastAsia"/>
          <w:spacing w:val="-9"/>
          <w:sz w:val="24"/>
          <w:szCs w:val="24"/>
          <w:lang w:val="en-US" w:eastAsia="zh-CN"/>
        </w:rPr>
        <w:t>12</w:t>
      </w:r>
      <w:r>
        <w:rPr>
          <w:rFonts w:hint="eastAsia" w:asciiTheme="minorEastAsia" w:hAnsiTheme="minorEastAsia" w:eastAsiaTheme="minorEastAsia" w:cstheme="minorEastAsia"/>
          <w:spacing w:val="-9"/>
          <w:sz w:val="24"/>
          <w:szCs w:val="24"/>
        </w:rPr>
        <w:t>月</w:t>
      </w:r>
      <w:r>
        <w:rPr>
          <w:rFonts w:hint="eastAsia" w:asciiTheme="minorEastAsia" w:hAnsiTheme="minorEastAsia" w:eastAsiaTheme="minorEastAsia" w:cstheme="minorEastAsia"/>
          <w:spacing w:val="-9"/>
          <w:sz w:val="24"/>
          <w:szCs w:val="24"/>
          <w:lang w:val="en-US" w:eastAsia="zh-CN"/>
        </w:rPr>
        <w:t>31</w:t>
      </w:r>
      <w:r>
        <w:rPr>
          <w:rFonts w:hint="eastAsia" w:asciiTheme="minorEastAsia" w:hAnsiTheme="minorEastAsia" w:eastAsiaTheme="minorEastAsia" w:cstheme="minorEastAsia"/>
          <w:spacing w:val="-9"/>
          <w:sz w:val="24"/>
          <w:szCs w:val="24"/>
        </w:rPr>
        <w:t>日。</w:t>
      </w:r>
    </w:p>
    <w:p w14:paraId="51D458B1">
      <w:pPr>
        <w:pStyle w:val="5"/>
        <w:spacing w:line="360" w:lineRule="auto"/>
        <w:ind w:left="0" w:right="0" w:firstLine="238" w:firstLineChars="1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lang w:eastAsia="zh-CN"/>
        </w:rPr>
        <w:t>（</w:t>
      </w:r>
      <w:r>
        <w:rPr>
          <w:rFonts w:hint="eastAsia" w:asciiTheme="minorEastAsia" w:hAnsiTheme="minorEastAsia" w:eastAsiaTheme="minorEastAsia" w:cstheme="minorEastAsia"/>
          <w:spacing w:val="-1"/>
          <w:sz w:val="24"/>
          <w:szCs w:val="24"/>
          <w:lang w:val="en-US" w:eastAsia="zh-CN"/>
        </w:rPr>
        <w:t>三</w:t>
      </w:r>
      <w:r>
        <w:rPr>
          <w:rFonts w:hint="eastAsia" w:asciiTheme="minorEastAsia" w:hAnsiTheme="minorEastAsia" w:eastAsiaTheme="minorEastAsia" w:cstheme="minorEastAsia"/>
          <w:spacing w:val="-1"/>
          <w:sz w:val="24"/>
          <w:szCs w:val="24"/>
          <w:lang w:eastAsia="zh-CN"/>
        </w:rPr>
        <w:t>）</w:t>
      </w:r>
      <w:r>
        <w:rPr>
          <w:rFonts w:hint="eastAsia" w:asciiTheme="minorEastAsia" w:hAnsiTheme="minorEastAsia" w:eastAsiaTheme="minorEastAsia" w:cstheme="minorEastAsia"/>
          <w:spacing w:val="-1"/>
          <w:sz w:val="24"/>
          <w:szCs w:val="24"/>
        </w:rPr>
        <w:t>地形地貌景观及土地资源监测</w:t>
      </w:r>
    </w:p>
    <w:p w14:paraId="36AE76DF">
      <w:pPr>
        <w:pStyle w:val="5"/>
        <w:spacing w:line="360" w:lineRule="auto"/>
        <w:ind w:left="0" w:right="0" w:firstLine="47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lang w:val="en-US" w:eastAsia="zh-CN"/>
        </w:rPr>
        <w:t>1、</w:t>
      </w:r>
      <w:r>
        <w:rPr>
          <w:rFonts w:hint="eastAsia" w:asciiTheme="minorEastAsia" w:hAnsiTheme="minorEastAsia" w:eastAsiaTheme="minorEastAsia" w:cstheme="minorEastAsia"/>
          <w:spacing w:val="-2"/>
          <w:sz w:val="24"/>
          <w:szCs w:val="24"/>
        </w:rPr>
        <w:t>监测内容</w:t>
      </w:r>
    </w:p>
    <w:p w14:paraId="6CCED4A3">
      <w:pPr>
        <w:pStyle w:val="5"/>
        <w:spacing w:line="360" w:lineRule="auto"/>
        <w:ind w:left="0" w:right="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为保护采矿破坏土地以外土地免受破坏，对</w:t>
      </w:r>
      <w:r>
        <w:rPr>
          <w:rFonts w:hint="eastAsia" w:asciiTheme="minorEastAsia" w:hAnsiTheme="minorEastAsia" w:eastAsiaTheme="minorEastAsia" w:cstheme="minorEastAsia"/>
          <w:spacing w:val="-1"/>
          <w:sz w:val="24"/>
          <w:szCs w:val="24"/>
        </w:rPr>
        <w:t>评估区内土地资源、地形地貌景</w:t>
      </w:r>
      <w:r>
        <w:rPr>
          <w:rFonts w:hint="eastAsia" w:asciiTheme="minorEastAsia" w:hAnsiTheme="minorEastAsia" w:eastAsiaTheme="minorEastAsia" w:cstheme="minorEastAsia"/>
          <w:spacing w:val="-6"/>
          <w:sz w:val="24"/>
          <w:szCs w:val="24"/>
        </w:rPr>
        <w:t>观进行监测。</w:t>
      </w:r>
    </w:p>
    <w:p w14:paraId="1089394A">
      <w:pPr>
        <w:pStyle w:val="5"/>
        <w:spacing w:line="360" w:lineRule="auto"/>
        <w:ind w:left="0" w:right="0" w:firstLine="47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lang w:val="en-US" w:eastAsia="zh-CN"/>
        </w:rPr>
        <w:t>2、</w:t>
      </w:r>
      <w:r>
        <w:rPr>
          <w:rFonts w:hint="eastAsia" w:asciiTheme="minorEastAsia" w:hAnsiTheme="minorEastAsia" w:eastAsiaTheme="minorEastAsia" w:cstheme="minorEastAsia"/>
          <w:spacing w:val="-2"/>
          <w:sz w:val="24"/>
          <w:szCs w:val="24"/>
        </w:rPr>
        <w:t>监测方法</w:t>
      </w:r>
    </w:p>
    <w:p w14:paraId="0D9C9EED">
      <w:pPr>
        <w:pStyle w:val="5"/>
        <w:spacing w:line="360" w:lineRule="auto"/>
        <w:ind w:left="0" w:right="0" w:firstLine="47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采用目测及拍照摄像相结合的方式，采用路线法，设计1条监测路线，长度</w:t>
      </w:r>
      <w:r>
        <w:rPr>
          <w:rFonts w:hint="eastAsia" w:asciiTheme="minorEastAsia" w:hAnsiTheme="minorEastAsia" w:eastAsiaTheme="minorEastAsia" w:cstheme="minorEastAsia"/>
          <w:sz w:val="24"/>
          <w:szCs w:val="24"/>
        </w:rPr>
        <w:t>1.11km；对工程场地的外观表现特征参数</w:t>
      </w:r>
      <w:r>
        <w:rPr>
          <w:rFonts w:hint="eastAsia" w:asciiTheme="minorEastAsia" w:hAnsiTheme="minorEastAsia" w:eastAsiaTheme="minorEastAsia" w:cstheme="minorEastAsia"/>
          <w:spacing w:val="-1"/>
          <w:sz w:val="24"/>
          <w:szCs w:val="24"/>
        </w:rPr>
        <w:t>进行监测，对各区破坏的土地类型进行</w:t>
      </w:r>
      <w:r>
        <w:rPr>
          <w:rFonts w:hint="eastAsia" w:asciiTheme="minorEastAsia" w:hAnsiTheme="minorEastAsia" w:eastAsiaTheme="minorEastAsia" w:cstheme="minorEastAsia"/>
          <w:spacing w:val="-8"/>
          <w:sz w:val="24"/>
          <w:szCs w:val="24"/>
        </w:rPr>
        <w:t>实地调查。</w:t>
      </w:r>
    </w:p>
    <w:p w14:paraId="60952A82">
      <w:pPr>
        <w:pStyle w:val="5"/>
        <w:spacing w:line="360" w:lineRule="auto"/>
        <w:ind w:left="0" w:right="0" w:firstLine="47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lang w:val="en-US" w:eastAsia="zh-CN"/>
        </w:rPr>
        <w:t>3、</w:t>
      </w:r>
      <w:r>
        <w:rPr>
          <w:rFonts w:hint="eastAsia" w:asciiTheme="minorEastAsia" w:hAnsiTheme="minorEastAsia" w:eastAsiaTheme="minorEastAsia" w:cstheme="minorEastAsia"/>
          <w:spacing w:val="-2"/>
          <w:sz w:val="24"/>
          <w:szCs w:val="24"/>
        </w:rPr>
        <w:t>监测频率</w:t>
      </w:r>
    </w:p>
    <w:p w14:paraId="210F81D6">
      <w:pPr>
        <w:pStyle w:val="5"/>
        <w:spacing w:line="360" w:lineRule="auto"/>
        <w:ind w:left="0" w:right="0" w:firstLine="468"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每月目测1次，每年对场地占用情况进行一次仪器测量并拍照摄像。</w:t>
      </w:r>
    </w:p>
    <w:p w14:paraId="7658C5F3">
      <w:pPr>
        <w:pStyle w:val="5"/>
        <w:spacing w:line="360" w:lineRule="auto"/>
        <w:ind w:left="0" w:right="0" w:firstLine="464"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lang w:val="en-US" w:eastAsia="zh-CN"/>
        </w:rPr>
        <w:t>4、</w:t>
      </w:r>
      <w:r>
        <w:rPr>
          <w:rFonts w:hint="eastAsia" w:asciiTheme="minorEastAsia" w:hAnsiTheme="minorEastAsia" w:eastAsiaTheme="minorEastAsia" w:cstheme="minorEastAsia"/>
          <w:spacing w:val="-4"/>
          <w:sz w:val="24"/>
          <w:szCs w:val="24"/>
        </w:rPr>
        <w:t>监测时限</w:t>
      </w:r>
    </w:p>
    <w:p w14:paraId="03D507FF">
      <w:pPr>
        <w:pStyle w:val="5"/>
        <w:spacing w:line="360" w:lineRule="auto"/>
        <w:ind w:left="0" w:right="0" w:firstLine="448" w:firstLineChars="200"/>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8"/>
          <w:sz w:val="24"/>
          <w:szCs w:val="24"/>
        </w:rPr>
        <w:t>矿山生产期间和综合治理期内，自202</w:t>
      </w:r>
      <w:r>
        <w:rPr>
          <w:rFonts w:hint="eastAsia" w:asciiTheme="minorEastAsia" w:hAnsiTheme="minorEastAsia" w:eastAsiaTheme="minorEastAsia" w:cstheme="minorEastAsia"/>
          <w:spacing w:val="-8"/>
          <w:sz w:val="24"/>
          <w:szCs w:val="24"/>
          <w:lang w:val="en-US" w:eastAsia="zh-CN"/>
        </w:rPr>
        <w:t>6</w:t>
      </w:r>
      <w:r>
        <w:rPr>
          <w:rFonts w:hint="eastAsia" w:asciiTheme="minorEastAsia" w:hAnsiTheme="minorEastAsia" w:eastAsiaTheme="minorEastAsia" w:cstheme="minorEastAsia"/>
          <w:spacing w:val="-8"/>
          <w:sz w:val="24"/>
          <w:szCs w:val="24"/>
        </w:rPr>
        <w:t>年</w:t>
      </w:r>
      <w:r>
        <w:rPr>
          <w:rFonts w:hint="eastAsia" w:asciiTheme="minorEastAsia" w:hAnsiTheme="minorEastAsia" w:eastAsiaTheme="minorEastAsia" w:cstheme="minorEastAsia"/>
          <w:spacing w:val="-8"/>
          <w:sz w:val="24"/>
          <w:szCs w:val="24"/>
          <w:lang w:val="en-US" w:eastAsia="zh-CN"/>
        </w:rPr>
        <w:t>1</w:t>
      </w:r>
      <w:r>
        <w:rPr>
          <w:rFonts w:hint="eastAsia" w:asciiTheme="minorEastAsia" w:hAnsiTheme="minorEastAsia" w:eastAsiaTheme="minorEastAsia" w:cstheme="minorEastAsia"/>
          <w:spacing w:val="-8"/>
          <w:sz w:val="24"/>
          <w:szCs w:val="24"/>
        </w:rPr>
        <w:t>月1日至</w:t>
      </w:r>
      <w:r>
        <w:rPr>
          <w:rFonts w:hint="eastAsia" w:asciiTheme="minorEastAsia" w:hAnsiTheme="minorEastAsia" w:eastAsiaTheme="minorEastAsia" w:cstheme="minorEastAsia"/>
          <w:spacing w:val="-8"/>
          <w:sz w:val="24"/>
          <w:szCs w:val="24"/>
          <w:lang w:val="en-US" w:eastAsia="zh-CN"/>
        </w:rPr>
        <w:t>2026</w:t>
      </w:r>
      <w:r>
        <w:rPr>
          <w:rFonts w:hint="eastAsia" w:asciiTheme="minorEastAsia" w:hAnsiTheme="minorEastAsia" w:eastAsiaTheme="minorEastAsia" w:cstheme="minorEastAsia"/>
          <w:spacing w:val="-8"/>
          <w:sz w:val="24"/>
          <w:szCs w:val="24"/>
        </w:rPr>
        <w:t>年</w:t>
      </w:r>
      <w:r>
        <w:rPr>
          <w:rFonts w:hint="eastAsia" w:asciiTheme="minorEastAsia" w:hAnsiTheme="minorEastAsia" w:eastAsiaTheme="minorEastAsia" w:cstheme="minorEastAsia"/>
          <w:spacing w:val="-8"/>
          <w:sz w:val="24"/>
          <w:szCs w:val="24"/>
          <w:lang w:val="en-US" w:eastAsia="zh-CN"/>
        </w:rPr>
        <w:t>12</w:t>
      </w:r>
      <w:r>
        <w:rPr>
          <w:rFonts w:hint="eastAsia" w:asciiTheme="minorEastAsia" w:hAnsiTheme="minorEastAsia" w:eastAsiaTheme="minorEastAsia" w:cstheme="minorEastAsia"/>
          <w:spacing w:val="-8"/>
          <w:sz w:val="24"/>
          <w:szCs w:val="24"/>
        </w:rPr>
        <w:t>月</w:t>
      </w:r>
      <w:r>
        <w:rPr>
          <w:rFonts w:hint="eastAsia" w:asciiTheme="minorEastAsia" w:hAnsiTheme="minorEastAsia" w:eastAsiaTheme="minorEastAsia" w:cstheme="minorEastAsia"/>
          <w:spacing w:val="-8"/>
          <w:sz w:val="24"/>
          <w:szCs w:val="24"/>
          <w:lang w:val="en-US" w:eastAsia="zh-CN"/>
        </w:rPr>
        <w:t>31</w:t>
      </w:r>
      <w:r>
        <w:rPr>
          <w:rFonts w:hint="eastAsia" w:asciiTheme="minorEastAsia" w:hAnsiTheme="minorEastAsia" w:eastAsiaTheme="minorEastAsia" w:cstheme="minorEastAsia"/>
          <w:spacing w:val="-9"/>
          <w:sz w:val="24"/>
          <w:szCs w:val="24"/>
        </w:rPr>
        <w:t>日。</w:t>
      </w:r>
      <w:r>
        <w:rPr>
          <w:rFonts w:hint="eastAsia" w:asciiTheme="minorEastAsia" w:hAnsiTheme="minorEastAsia" w:eastAsiaTheme="minorEastAsia" w:cstheme="minorEastAsia"/>
          <w:spacing w:val="-2"/>
          <w:sz w:val="24"/>
          <w:szCs w:val="24"/>
        </w:rPr>
        <w:t>监测记录表见表6-</w:t>
      </w:r>
      <w:r>
        <w:rPr>
          <w:rFonts w:hint="eastAsia" w:asciiTheme="minorEastAsia" w:hAnsiTheme="minorEastAsia" w:eastAsiaTheme="minorEastAsia" w:cstheme="minorEastAsia"/>
          <w:spacing w:val="-2"/>
          <w:sz w:val="24"/>
          <w:szCs w:val="24"/>
          <w:lang w:val="en-US" w:eastAsia="zh-CN"/>
        </w:rPr>
        <w:t>4</w:t>
      </w:r>
      <w:r>
        <w:rPr>
          <w:rFonts w:hint="eastAsia" w:asciiTheme="minorEastAsia" w:hAnsiTheme="minorEastAsia" w:eastAsiaTheme="minorEastAsia" w:cstheme="minorEastAsia"/>
          <w:spacing w:val="-2"/>
          <w:sz w:val="24"/>
          <w:szCs w:val="24"/>
        </w:rPr>
        <w:t>。</w:t>
      </w:r>
    </w:p>
    <w:p w14:paraId="12F9F840">
      <w:pPr>
        <w:pStyle w:val="5"/>
        <w:spacing w:line="360" w:lineRule="auto"/>
        <w:ind w:left="0" w:right="0" w:firstLine="2506" w:firstLineChars="1200"/>
        <w:rPr>
          <w:b/>
          <w:bCs/>
          <w:spacing w:val="-1"/>
          <w:sz w:val="21"/>
          <w:szCs w:val="21"/>
        </w:rPr>
      </w:pPr>
      <w:r>
        <w:rPr>
          <w:b/>
          <w:bCs/>
          <w:spacing w:val="-1"/>
          <w:sz w:val="21"/>
          <w:szCs w:val="21"/>
        </w:rPr>
        <w:t>表6-</w:t>
      </w:r>
      <w:r>
        <w:rPr>
          <w:rFonts w:hint="eastAsia"/>
          <w:b/>
          <w:bCs/>
          <w:spacing w:val="-1"/>
          <w:sz w:val="21"/>
          <w:szCs w:val="21"/>
          <w:lang w:val="en-US" w:eastAsia="zh-CN"/>
        </w:rPr>
        <w:t>4</w:t>
      </w:r>
      <w:r>
        <w:rPr>
          <w:b/>
          <w:bCs/>
          <w:spacing w:val="-1"/>
          <w:sz w:val="21"/>
          <w:szCs w:val="21"/>
        </w:rPr>
        <w:t>地形地貌景观及土地资源监测记录表</w:t>
      </w:r>
    </w:p>
    <w:p w14:paraId="5822E957">
      <w:pPr>
        <w:pStyle w:val="5"/>
        <w:keepNext w:val="0"/>
        <w:keepLines w:val="0"/>
        <w:pageBreakBefore w:val="0"/>
        <w:widowControl w:val="0"/>
        <w:kinsoku/>
        <w:wordWrap/>
        <w:overflowPunct/>
        <w:topLinePunct w:val="0"/>
        <w:autoSpaceDE/>
        <w:autoSpaceDN/>
        <w:bidi w:val="0"/>
        <w:adjustRightInd w:val="0"/>
        <w:snapToGrid w:val="0"/>
        <w:spacing w:line="240" w:lineRule="auto"/>
        <w:ind w:left="0" w:right="0" w:firstLine="1900" w:firstLineChars="1000"/>
        <w:textAlignment w:val="auto"/>
        <w:rPr>
          <w:spacing w:val="-10"/>
          <w:sz w:val="21"/>
          <w:szCs w:val="21"/>
        </w:rPr>
      </w:pPr>
      <w:r>
        <w:rPr>
          <w:spacing w:val="-10"/>
          <w:sz w:val="21"/>
          <w:szCs w:val="21"/>
        </w:rPr>
        <w:t>时间：年月日星期天气：</w:t>
      </w:r>
    </w:p>
    <w:tbl>
      <w:tblPr>
        <w:tblStyle w:val="20"/>
        <w:tblW w:w="87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8"/>
        <w:gridCol w:w="923"/>
        <w:gridCol w:w="1358"/>
        <w:gridCol w:w="5604"/>
      </w:tblGrid>
      <w:tr w14:paraId="16083C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9" w:hRule="atLeast"/>
        </w:trPr>
        <w:tc>
          <w:tcPr>
            <w:tcW w:w="3119" w:type="dxa"/>
            <w:gridSpan w:val="3"/>
            <w:vAlign w:val="top"/>
          </w:tcPr>
          <w:p w14:paraId="3AA266F1">
            <w:pPr>
              <w:pStyle w:val="19"/>
              <w:keepNext w:val="0"/>
              <w:keepLines w:val="0"/>
              <w:pageBreakBefore w:val="0"/>
              <w:widowControl w:val="0"/>
              <w:kinsoku/>
              <w:wordWrap/>
              <w:overflowPunct/>
              <w:topLinePunct w:val="0"/>
              <w:autoSpaceDE/>
              <w:autoSpaceDN/>
              <w:bidi w:val="0"/>
              <w:adjustRightInd w:val="0"/>
              <w:snapToGrid w:val="0"/>
              <w:spacing w:before="62" w:line="240" w:lineRule="auto"/>
              <w:ind w:left="53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监测单元</w:t>
            </w:r>
          </w:p>
        </w:tc>
        <w:tc>
          <w:tcPr>
            <w:tcW w:w="5604" w:type="dxa"/>
            <w:vAlign w:val="top"/>
          </w:tcPr>
          <w:p w14:paraId="640CCF7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49C334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38" w:type="dxa"/>
            <w:vMerge w:val="restart"/>
            <w:tcBorders>
              <w:bottom w:val="nil"/>
            </w:tcBorders>
            <w:vAlign w:val="top"/>
          </w:tcPr>
          <w:p w14:paraId="490DF0E7">
            <w:pPr>
              <w:pStyle w:val="19"/>
              <w:keepNext w:val="0"/>
              <w:keepLines w:val="0"/>
              <w:pageBreakBefore w:val="0"/>
              <w:widowControl w:val="0"/>
              <w:kinsoku/>
              <w:wordWrap/>
              <w:overflowPunct/>
              <w:topLinePunct w:val="0"/>
              <w:autoSpaceDE/>
              <w:autoSpaceDN/>
              <w:bidi w:val="0"/>
              <w:adjustRightInd w:val="0"/>
              <w:snapToGrid w:val="0"/>
              <w:spacing w:before="68" w:line="240" w:lineRule="auto"/>
              <w:ind w:left="0" w:leftChars="0" w:right="108"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监测</w:t>
            </w:r>
            <w:r>
              <w:rPr>
                <w:rFonts w:hint="eastAsia" w:asciiTheme="minorEastAsia" w:hAnsiTheme="minorEastAsia" w:eastAsiaTheme="minorEastAsia" w:cstheme="minorEastAsia"/>
                <w:spacing w:val="-9"/>
                <w:sz w:val="21"/>
                <w:szCs w:val="21"/>
              </w:rPr>
              <w:t>内容</w:t>
            </w:r>
          </w:p>
        </w:tc>
        <w:tc>
          <w:tcPr>
            <w:tcW w:w="2281" w:type="dxa"/>
            <w:gridSpan w:val="2"/>
            <w:vAlign w:val="top"/>
          </w:tcPr>
          <w:p w14:paraId="1B07291C">
            <w:pPr>
              <w:pStyle w:val="19"/>
              <w:keepNext w:val="0"/>
              <w:keepLines w:val="0"/>
              <w:pageBreakBefore w:val="0"/>
              <w:widowControl w:val="0"/>
              <w:kinsoku/>
              <w:wordWrap/>
              <w:overflowPunct/>
              <w:topLinePunct w:val="0"/>
              <w:autoSpaceDE/>
              <w:autoSpaceDN/>
              <w:bidi w:val="0"/>
              <w:adjustRightInd w:val="0"/>
              <w:snapToGrid w:val="0"/>
              <w:spacing w:before="52" w:line="240" w:lineRule="auto"/>
              <w:ind w:left="11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损毁土地面积（m</w:t>
            </w:r>
            <w:r>
              <w:rPr>
                <w:rFonts w:hint="eastAsia" w:asciiTheme="minorEastAsia" w:hAnsiTheme="minorEastAsia" w:eastAsiaTheme="minorEastAsia" w:cstheme="minorEastAsia"/>
                <w:spacing w:val="-1"/>
                <w:sz w:val="21"/>
                <w:szCs w:val="21"/>
                <w:vertAlign w:val="superscript"/>
                <w:lang w:val="en-US" w:eastAsia="zh-CN"/>
              </w:rPr>
              <w:t>2</w:t>
            </w:r>
            <w:r>
              <w:rPr>
                <w:rFonts w:hint="eastAsia" w:asciiTheme="minorEastAsia" w:hAnsiTheme="minorEastAsia" w:eastAsiaTheme="minorEastAsia" w:cstheme="minorEastAsia"/>
                <w:spacing w:val="-1"/>
                <w:sz w:val="21"/>
                <w:szCs w:val="21"/>
              </w:rPr>
              <w:t>）</w:t>
            </w:r>
          </w:p>
        </w:tc>
        <w:tc>
          <w:tcPr>
            <w:tcW w:w="5604" w:type="dxa"/>
            <w:vAlign w:val="top"/>
          </w:tcPr>
          <w:p w14:paraId="75C6443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633EB9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4" w:hRule="atLeast"/>
        </w:trPr>
        <w:tc>
          <w:tcPr>
            <w:tcW w:w="838" w:type="dxa"/>
            <w:vMerge w:val="continue"/>
            <w:tcBorders>
              <w:top w:val="nil"/>
              <w:bottom w:val="nil"/>
            </w:tcBorders>
            <w:vAlign w:val="top"/>
          </w:tcPr>
          <w:p w14:paraId="46CB35D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281" w:type="dxa"/>
            <w:gridSpan w:val="2"/>
            <w:vAlign w:val="top"/>
          </w:tcPr>
          <w:p w14:paraId="0F541480">
            <w:pPr>
              <w:pStyle w:val="19"/>
              <w:keepNext w:val="0"/>
              <w:keepLines w:val="0"/>
              <w:pageBreakBefore w:val="0"/>
              <w:widowControl w:val="0"/>
              <w:kinsoku/>
              <w:wordWrap/>
              <w:overflowPunct/>
              <w:topLinePunct w:val="0"/>
              <w:autoSpaceDE/>
              <w:autoSpaceDN/>
              <w:bidi w:val="0"/>
              <w:adjustRightInd w:val="0"/>
              <w:snapToGrid w:val="0"/>
              <w:spacing w:before="58" w:line="240" w:lineRule="auto"/>
              <w:ind w:left="10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破坏土地利用类型</w:t>
            </w:r>
          </w:p>
        </w:tc>
        <w:tc>
          <w:tcPr>
            <w:tcW w:w="5604" w:type="dxa"/>
            <w:vAlign w:val="top"/>
          </w:tcPr>
          <w:p w14:paraId="0D005EF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438F07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4" w:hRule="atLeast"/>
        </w:trPr>
        <w:tc>
          <w:tcPr>
            <w:tcW w:w="838" w:type="dxa"/>
            <w:vMerge w:val="continue"/>
            <w:tcBorders>
              <w:top w:val="nil"/>
              <w:bottom w:val="nil"/>
            </w:tcBorders>
            <w:vAlign w:val="top"/>
          </w:tcPr>
          <w:p w14:paraId="025F881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281" w:type="dxa"/>
            <w:gridSpan w:val="2"/>
            <w:vAlign w:val="top"/>
          </w:tcPr>
          <w:p w14:paraId="324347F6">
            <w:pPr>
              <w:pStyle w:val="19"/>
              <w:keepNext w:val="0"/>
              <w:keepLines w:val="0"/>
              <w:pageBreakBefore w:val="0"/>
              <w:widowControl w:val="0"/>
              <w:kinsoku/>
              <w:wordWrap/>
              <w:overflowPunct/>
              <w:topLinePunct w:val="0"/>
              <w:autoSpaceDE/>
              <w:autoSpaceDN/>
              <w:bidi w:val="0"/>
              <w:adjustRightInd w:val="0"/>
              <w:snapToGrid w:val="0"/>
              <w:spacing w:before="58" w:line="240" w:lineRule="auto"/>
              <w:ind w:left="11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损毁方式</w:t>
            </w:r>
          </w:p>
        </w:tc>
        <w:tc>
          <w:tcPr>
            <w:tcW w:w="5604" w:type="dxa"/>
            <w:vAlign w:val="top"/>
          </w:tcPr>
          <w:p w14:paraId="2050D78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50BE7C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6" w:hRule="atLeast"/>
        </w:trPr>
        <w:tc>
          <w:tcPr>
            <w:tcW w:w="838" w:type="dxa"/>
            <w:vMerge w:val="continue"/>
            <w:tcBorders>
              <w:top w:val="nil"/>
              <w:bottom w:val="nil"/>
            </w:tcBorders>
            <w:vAlign w:val="top"/>
          </w:tcPr>
          <w:p w14:paraId="7300925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281" w:type="dxa"/>
            <w:gridSpan w:val="2"/>
            <w:vAlign w:val="top"/>
          </w:tcPr>
          <w:p w14:paraId="54356C21">
            <w:pPr>
              <w:pStyle w:val="19"/>
              <w:keepNext w:val="0"/>
              <w:keepLines w:val="0"/>
              <w:pageBreakBefore w:val="0"/>
              <w:widowControl w:val="0"/>
              <w:kinsoku/>
              <w:wordWrap/>
              <w:overflowPunct/>
              <w:topLinePunct w:val="0"/>
              <w:autoSpaceDE/>
              <w:autoSpaceDN/>
              <w:bidi w:val="0"/>
              <w:adjustRightInd w:val="0"/>
              <w:snapToGrid w:val="0"/>
              <w:spacing w:before="60" w:line="240" w:lineRule="auto"/>
              <w:ind w:left="11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损毁程度</w:t>
            </w:r>
          </w:p>
        </w:tc>
        <w:tc>
          <w:tcPr>
            <w:tcW w:w="5604" w:type="dxa"/>
            <w:vAlign w:val="top"/>
          </w:tcPr>
          <w:p w14:paraId="1B509A2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334808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4" w:hRule="atLeast"/>
        </w:trPr>
        <w:tc>
          <w:tcPr>
            <w:tcW w:w="838" w:type="dxa"/>
            <w:vMerge w:val="continue"/>
            <w:tcBorders>
              <w:top w:val="nil"/>
            </w:tcBorders>
            <w:vAlign w:val="top"/>
          </w:tcPr>
          <w:p w14:paraId="6055E09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281" w:type="dxa"/>
            <w:gridSpan w:val="2"/>
            <w:vAlign w:val="top"/>
          </w:tcPr>
          <w:p w14:paraId="2ACCDBC1">
            <w:pPr>
              <w:pStyle w:val="19"/>
              <w:keepNext w:val="0"/>
              <w:keepLines w:val="0"/>
              <w:pageBreakBefore w:val="0"/>
              <w:widowControl w:val="0"/>
              <w:kinsoku/>
              <w:wordWrap/>
              <w:overflowPunct/>
              <w:topLinePunct w:val="0"/>
              <w:autoSpaceDE/>
              <w:autoSpaceDN/>
              <w:bidi w:val="0"/>
              <w:adjustRightInd w:val="0"/>
              <w:snapToGrid w:val="0"/>
              <w:spacing w:before="59" w:line="240" w:lineRule="auto"/>
              <w:ind w:left="11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治理难度</w:t>
            </w:r>
          </w:p>
        </w:tc>
        <w:tc>
          <w:tcPr>
            <w:tcW w:w="5604" w:type="dxa"/>
            <w:vAlign w:val="top"/>
          </w:tcPr>
          <w:p w14:paraId="6C98EC2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162E1E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4" w:hRule="atLeast"/>
        </w:trPr>
        <w:tc>
          <w:tcPr>
            <w:tcW w:w="3119" w:type="dxa"/>
            <w:gridSpan w:val="3"/>
            <w:vAlign w:val="top"/>
          </w:tcPr>
          <w:p w14:paraId="713B06DA">
            <w:pPr>
              <w:pStyle w:val="19"/>
              <w:keepNext w:val="0"/>
              <w:keepLines w:val="0"/>
              <w:pageBreakBefore w:val="0"/>
              <w:widowControl w:val="0"/>
              <w:kinsoku/>
              <w:wordWrap/>
              <w:overflowPunct/>
              <w:topLinePunct w:val="0"/>
              <w:autoSpaceDE/>
              <w:autoSpaceDN/>
              <w:bidi w:val="0"/>
              <w:adjustRightInd w:val="0"/>
              <w:snapToGrid w:val="0"/>
              <w:spacing w:before="59" w:line="240" w:lineRule="auto"/>
              <w:ind w:left="53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监测人员</w:t>
            </w:r>
          </w:p>
        </w:tc>
        <w:tc>
          <w:tcPr>
            <w:tcW w:w="5604" w:type="dxa"/>
            <w:vAlign w:val="top"/>
          </w:tcPr>
          <w:p w14:paraId="6F2BC18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3BC4E3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3" w:hRule="atLeast"/>
        </w:trPr>
        <w:tc>
          <w:tcPr>
            <w:tcW w:w="8723" w:type="dxa"/>
            <w:gridSpan w:val="4"/>
            <w:vAlign w:val="top"/>
          </w:tcPr>
          <w:p w14:paraId="23EF2E1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0F42E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4" w:hRule="atLeast"/>
        </w:trPr>
        <w:tc>
          <w:tcPr>
            <w:tcW w:w="1761" w:type="dxa"/>
            <w:gridSpan w:val="2"/>
            <w:vAlign w:val="top"/>
          </w:tcPr>
          <w:p w14:paraId="0F3E2D38">
            <w:pPr>
              <w:pStyle w:val="19"/>
              <w:keepNext w:val="0"/>
              <w:keepLines w:val="0"/>
              <w:pageBreakBefore w:val="0"/>
              <w:widowControl w:val="0"/>
              <w:kinsoku/>
              <w:wordWrap/>
              <w:overflowPunct/>
              <w:topLinePunct w:val="0"/>
              <w:autoSpaceDE/>
              <w:autoSpaceDN/>
              <w:bidi w:val="0"/>
              <w:adjustRightInd w:val="0"/>
              <w:snapToGrid w:val="0"/>
              <w:spacing w:before="61" w:line="240" w:lineRule="auto"/>
              <w:ind w:left="1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存在问题</w:t>
            </w:r>
          </w:p>
        </w:tc>
        <w:tc>
          <w:tcPr>
            <w:tcW w:w="6962" w:type="dxa"/>
            <w:gridSpan w:val="2"/>
            <w:vAlign w:val="top"/>
          </w:tcPr>
          <w:p w14:paraId="4349FB1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4E06DC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4" w:hRule="atLeast"/>
        </w:trPr>
        <w:tc>
          <w:tcPr>
            <w:tcW w:w="1761" w:type="dxa"/>
            <w:gridSpan w:val="2"/>
            <w:vAlign w:val="top"/>
          </w:tcPr>
          <w:p w14:paraId="06EFD57B">
            <w:pPr>
              <w:pStyle w:val="19"/>
              <w:keepNext w:val="0"/>
              <w:keepLines w:val="0"/>
              <w:pageBreakBefore w:val="0"/>
              <w:widowControl w:val="0"/>
              <w:kinsoku/>
              <w:wordWrap/>
              <w:overflowPunct/>
              <w:topLinePunct w:val="0"/>
              <w:autoSpaceDE/>
              <w:autoSpaceDN/>
              <w:bidi w:val="0"/>
              <w:adjustRightInd w:val="0"/>
              <w:snapToGrid w:val="0"/>
              <w:spacing w:before="62" w:line="240" w:lineRule="auto"/>
              <w:ind w:left="11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处理意见</w:t>
            </w:r>
          </w:p>
        </w:tc>
        <w:tc>
          <w:tcPr>
            <w:tcW w:w="6962" w:type="dxa"/>
            <w:gridSpan w:val="2"/>
            <w:vAlign w:val="top"/>
          </w:tcPr>
          <w:p w14:paraId="73F01E7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71AFA3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1761" w:type="dxa"/>
            <w:gridSpan w:val="2"/>
            <w:vAlign w:val="top"/>
          </w:tcPr>
          <w:p w14:paraId="3BB5C48B">
            <w:pPr>
              <w:pStyle w:val="19"/>
              <w:keepNext w:val="0"/>
              <w:keepLines w:val="0"/>
              <w:pageBreakBefore w:val="0"/>
              <w:widowControl w:val="0"/>
              <w:kinsoku/>
              <w:wordWrap/>
              <w:overflowPunct/>
              <w:topLinePunct w:val="0"/>
              <w:autoSpaceDE/>
              <w:autoSpaceDN/>
              <w:bidi w:val="0"/>
              <w:adjustRightInd w:val="0"/>
              <w:snapToGrid w:val="0"/>
              <w:spacing w:before="63" w:line="240" w:lineRule="auto"/>
              <w:ind w:left="11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处理结果</w:t>
            </w:r>
          </w:p>
        </w:tc>
        <w:tc>
          <w:tcPr>
            <w:tcW w:w="6962" w:type="dxa"/>
            <w:gridSpan w:val="2"/>
            <w:vAlign w:val="top"/>
          </w:tcPr>
          <w:p w14:paraId="674C379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bl>
    <w:p w14:paraId="32224702">
      <w:pPr>
        <w:pStyle w:val="5"/>
        <w:spacing w:before="314" w:line="221" w:lineRule="auto"/>
        <w:ind w:left="0" w:leftChars="0" w:firstLine="454" w:firstLineChars="200"/>
        <w:rPr>
          <w:b/>
          <w:bCs/>
          <w:sz w:val="24"/>
          <w:szCs w:val="24"/>
        </w:rPr>
      </w:pPr>
      <w:r>
        <w:rPr>
          <w:rFonts w:hint="eastAsia"/>
          <w:b/>
          <w:bCs/>
          <w:spacing w:val="-7"/>
          <w:sz w:val="24"/>
          <w:szCs w:val="24"/>
          <w:lang w:eastAsia="zh-CN"/>
        </w:rPr>
        <w:t>（</w:t>
      </w:r>
      <w:r>
        <w:rPr>
          <w:rFonts w:hint="eastAsia"/>
          <w:b/>
          <w:bCs/>
          <w:spacing w:val="-7"/>
          <w:sz w:val="24"/>
          <w:szCs w:val="24"/>
          <w:lang w:val="en-US" w:eastAsia="zh-CN"/>
        </w:rPr>
        <w:t>四</w:t>
      </w:r>
      <w:r>
        <w:rPr>
          <w:rFonts w:hint="eastAsia"/>
          <w:b/>
          <w:bCs/>
          <w:spacing w:val="-7"/>
          <w:sz w:val="24"/>
          <w:szCs w:val="24"/>
          <w:lang w:eastAsia="zh-CN"/>
        </w:rPr>
        <w:t>）</w:t>
      </w:r>
      <w:r>
        <w:rPr>
          <w:b/>
          <w:bCs/>
          <w:spacing w:val="-7"/>
          <w:sz w:val="24"/>
          <w:szCs w:val="24"/>
        </w:rPr>
        <w:t>土地复垦监测</w:t>
      </w:r>
    </w:p>
    <w:p w14:paraId="125FCBF3">
      <w:pPr>
        <w:pStyle w:val="5"/>
        <w:spacing w:before="178" w:line="351" w:lineRule="auto"/>
        <w:ind w:left="120" w:right="109" w:firstLine="480"/>
        <w:rPr>
          <w:spacing w:val="-10"/>
          <w:sz w:val="24"/>
          <w:szCs w:val="24"/>
        </w:rPr>
      </w:pPr>
      <w:r>
        <w:rPr>
          <w:spacing w:val="3"/>
          <w:sz w:val="24"/>
          <w:szCs w:val="24"/>
        </w:rPr>
        <w:t>土地复垦监测工程指植被恢复质量监测。为尽快恢复土地的生产力，</w:t>
      </w:r>
      <w:r>
        <w:rPr>
          <w:spacing w:val="2"/>
          <w:sz w:val="24"/>
          <w:szCs w:val="24"/>
        </w:rPr>
        <w:t>保证植</w:t>
      </w:r>
      <w:r>
        <w:rPr>
          <w:spacing w:val="3"/>
          <w:sz w:val="24"/>
          <w:szCs w:val="24"/>
        </w:rPr>
        <w:t>被恢复质量，拟采用随机调查样方的方法对植被恢复效果进</w:t>
      </w:r>
      <w:r>
        <w:rPr>
          <w:spacing w:val="2"/>
          <w:sz w:val="24"/>
          <w:szCs w:val="24"/>
        </w:rPr>
        <w:t>行监测，主要参数见</w:t>
      </w:r>
      <w:r>
        <w:rPr>
          <w:spacing w:val="-10"/>
          <w:sz w:val="24"/>
          <w:szCs w:val="24"/>
        </w:rPr>
        <w:t>下表。</w:t>
      </w:r>
    </w:p>
    <w:p w14:paraId="361939BD">
      <w:pPr>
        <w:pStyle w:val="5"/>
        <w:spacing w:before="84" w:line="184" w:lineRule="auto"/>
        <w:ind w:firstLine="2715" w:firstLineChars="1300"/>
        <w:rPr>
          <w:sz w:val="21"/>
          <w:szCs w:val="21"/>
        </w:rPr>
      </w:pPr>
      <w:r>
        <w:rPr>
          <w:rFonts w:hint="eastAsia" w:asciiTheme="minorEastAsia" w:hAnsiTheme="minorEastAsia" w:eastAsiaTheme="minorEastAsia" w:cstheme="minorEastAsia"/>
          <w:b/>
          <w:bCs/>
          <w:spacing w:val="-1"/>
          <w:sz w:val="21"/>
          <w:szCs w:val="21"/>
        </w:rPr>
        <w:t>表6-</w:t>
      </w:r>
      <w:r>
        <w:rPr>
          <w:rFonts w:hint="eastAsia" w:asciiTheme="minorEastAsia" w:hAnsiTheme="minorEastAsia" w:eastAsiaTheme="minorEastAsia" w:cstheme="minorEastAsia"/>
          <w:b/>
          <w:bCs/>
          <w:spacing w:val="-1"/>
          <w:sz w:val="21"/>
          <w:szCs w:val="21"/>
          <w:lang w:val="en-US" w:eastAsia="zh-CN"/>
        </w:rPr>
        <w:t>5</w:t>
      </w:r>
      <w:r>
        <w:rPr>
          <w:rFonts w:hint="eastAsia" w:asciiTheme="minorEastAsia" w:hAnsiTheme="minorEastAsia" w:eastAsiaTheme="minorEastAsia" w:cstheme="minorEastAsia"/>
          <w:b/>
          <w:bCs/>
          <w:spacing w:val="-1"/>
          <w:sz w:val="21"/>
          <w:szCs w:val="21"/>
        </w:rPr>
        <w:t>植被恢复效果监测调查表</w:t>
      </w:r>
    </w:p>
    <w:tbl>
      <w:tblPr>
        <w:tblStyle w:val="20"/>
        <w:tblW w:w="831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441"/>
        <w:gridCol w:w="1108"/>
        <w:gridCol w:w="2879"/>
        <w:gridCol w:w="1442"/>
        <w:gridCol w:w="1442"/>
      </w:tblGrid>
      <w:tr w14:paraId="4799C2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blHeader/>
          <w:jc w:val="center"/>
        </w:trPr>
        <w:tc>
          <w:tcPr>
            <w:tcW w:w="0" w:type="auto"/>
            <w:vAlign w:val="center"/>
          </w:tcPr>
          <w:p w14:paraId="0B36E9D0">
            <w:pPr>
              <w:pStyle w:val="19"/>
              <w:snapToGrid w:val="0"/>
              <w:spacing w:before="49" w:line="240" w:lineRule="auto"/>
              <w:ind w:left="0" w:leftChars="0" w:right="0" w:rightChars="0" w:firstLine="0" w:firstLineChars="0"/>
              <w:jc w:val="center"/>
              <w:rPr>
                <w:b/>
              </w:rPr>
            </w:pPr>
            <w:r>
              <w:rPr>
                <w:b/>
                <w:spacing w:val="-2"/>
              </w:rPr>
              <w:t>监测方法</w:t>
            </w:r>
          </w:p>
        </w:tc>
        <w:tc>
          <w:tcPr>
            <w:tcW w:w="0" w:type="auto"/>
            <w:vAlign w:val="center"/>
          </w:tcPr>
          <w:p w14:paraId="31509B85">
            <w:pPr>
              <w:pStyle w:val="19"/>
              <w:snapToGrid w:val="0"/>
              <w:spacing w:before="49" w:line="240" w:lineRule="auto"/>
              <w:ind w:left="0" w:leftChars="0" w:right="0" w:rightChars="0" w:firstLine="0" w:firstLineChars="0"/>
              <w:jc w:val="center"/>
              <w:rPr>
                <w:b/>
              </w:rPr>
            </w:pPr>
            <w:r>
              <w:rPr>
                <w:b/>
                <w:spacing w:val="-3"/>
              </w:rPr>
              <w:t>规格</w:t>
            </w:r>
          </w:p>
        </w:tc>
        <w:tc>
          <w:tcPr>
            <w:tcW w:w="0" w:type="auto"/>
            <w:vAlign w:val="center"/>
          </w:tcPr>
          <w:p w14:paraId="66824A77">
            <w:pPr>
              <w:pStyle w:val="19"/>
              <w:snapToGrid w:val="0"/>
              <w:spacing w:before="49" w:line="240" w:lineRule="auto"/>
              <w:ind w:left="0" w:leftChars="0" w:right="0" w:rightChars="0" w:firstLine="0" w:firstLineChars="0"/>
              <w:jc w:val="center"/>
              <w:rPr>
                <w:b/>
              </w:rPr>
            </w:pPr>
            <w:r>
              <w:rPr>
                <w:b/>
                <w:spacing w:val="-2"/>
              </w:rPr>
              <w:t>监测内容</w:t>
            </w:r>
          </w:p>
        </w:tc>
        <w:tc>
          <w:tcPr>
            <w:tcW w:w="0" w:type="auto"/>
            <w:vAlign w:val="center"/>
          </w:tcPr>
          <w:p w14:paraId="74EECDB5">
            <w:pPr>
              <w:pStyle w:val="19"/>
              <w:snapToGrid w:val="0"/>
              <w:spacing w:before="49" w:line="240" w:lineRule="auto"/>
              <w:ind w:left="0" w:leftChars="0" w:right="0" w:rightChars="0" w:firstLine="0" w:firstLineChars="0"/>
              <w:jc w:val="center"/>
              <w:rPr>
                <w:b/>
              </w:rPr>
            </w:pPr>
            <w:r>
              <w:rPr>
                <w:b/>
                <w:spacing w:val="-2"/>
              </w:rPr>
              <w:t>监测时间</w:t>
            </w:r>
          </w:p>
        </w:tc>
        <w:tc>
          <w:tcPr>
            <w:tcW w:w="1442" w:type="dxa"/>
            <w:vAlign w:val="center"/>
          </w:tcPr>
          <w:p w14:paraId="2DB10279">
            <w:pPr>
              <w:pStyle w:val="19"/>
              <w:snapToGrid w:val="0"/>
              <w:spacing w:before="49" w:line="240" w:lineRule="auto"/>
              <w:ind w:left="0" w:leftChars="0" w:right="0" w:rightChars="0" w:firstLine="0" w:firstLineChars="0"/>
              <w:jc w:val="center"/>
              <w:rPr>
                <w:b/>
              </w:rPr>
            </w:pPr>
            <w:r>
              <w:rPr>
                <w:b/>
                <w:spacing w:val="-2"/>
              </w:rPr>
              <w:t>监测频率</w:t>
            </w:r>
          </w:p>
        </w:tc>
      </w:tr>
      <w:tr w14:paraId="6E50A4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441" w:type="dxa"/>
            <w:vAlign w:val="center"/>
          </w:tcPr>
          <w:p w14:paraId="5BE2FED3">
            <w:pPr>
              <w:pStyle w:val="19"/>
              <w:snapToGrid w:val="0"/>
              <w:spacing w:before="47" w:line="240" w:lineRule="auto"/>
              <w:ind w:left="0" w:leftChars="0" w:right="0" w:rightChars="0" w:firstLine="0" w:firstLineChars="0"/>
              <w:jc w:val="center"/>
              <w:rPr>
                <w:rFonts w:ascii="宋体" w:eastAsia="宋体"/>
                <w:sz w:val="21"/>
              </w:rPr>
            </w:pPr>
            <w:r>
              <w:rPr>
                <w:rFonts w:ascii="宋体" w:eastAsia="宋体"/>
                <w:spacing w:val="-4"/>
                <w:sz w:val="21"/>
              </w:rPr>
              <w:t>随机样方</w:t>
            </w:r>
          </w:p>
        </w:tc>
        <w:tc>
          <w:tcPr>
            <w:tcW w:w="1108" w:type="dxa"/>
            <w:vAlign w:val="center"/>
          </w:tcPr>
          <w:p w14:paraId="13F948AE">
            <w:pPr>
              <w:snapToGrid w:val="0"/>
              <w:spacing w:before="86" w:line="240" w:lineRule="auto"/>
              <w:ind w:left="0" w:leftChars="0" w:right="0" w:rightChars="0" w:firstLine="0" w:firstLineChars="0"/>
              <w:jc w:val="center"/>
              <w:rPr>
                <w:rFonts w:ascii="宋体" w:hAnsi="Times New Roman" w:eastAsia="宋体" w:cs="Times New Roman"/>
                <w:sz w:val="21"/>
                <w:szCs w:val="21"/>
              </w:rPr>
            </w:pPr>
            <w:r>
              <w:rPr>
                <w:rFonts w:ascii="宋体" w:hAnsi="Times New Roman" w:eastAsia="宋体" w:cs="Times New Roman"/>
                <w:spacing w:val="-5"/>
                <w:sz w:val="21"/>
                <w:szCs w:val="21"/>
              </w:rPr>
              <w:t>1m×1m</w:t>
            </w:r>
          </w:p>
        </w:tc>
        <w:tc>
          <w:tcPr>
            <w:tcW w:w="2879" w:type="dxa"/>
            <w:vAlign w:val="center"/>
          </w:tcPr>
          <w:p w14:paraId="4EA44CB2">
            <w:pPr>
              <w:pStyle w:val="19"/>
              <w:snapToGrid w:val="0"/>
              <w:spacing w:before="48" w:line="240" w:lineRule="auto"/>
              <w:ind w:left="0" w:leftChars="0" w:right="0" w:rightChars="0" w:firstLine="0" w:firstLineChars="0"/>
              <w:jc w:val="center"/>
              <w:rPr>
                <w:rFonts w:ascii="宋体" w:eastAsia="宋体"/>
                <w:sz w:val="21"/>
              </w:rPr>
            </w:pPr>
            <w:r>
              <w:rPr>
                <w:rFonts w:ascii="宋体" w:eastAsia="宋体"/>
                <w:spacing w:val="-2"/>
                <w:sz w:val="21"/>
              </w:rPr>
              <w:t>高度、盖度、密度</w:t>
            </w:r>
          </w:p>
        </w:tc>
        <w:tc>
          <w:tcPr>
            <w:tcW w:w="1442" w:type="dxa"/>
            <w:vAlign w:val="center"/>
          </w:tcPr>
          <w:p w14:paraId="7E25F0CE">
            <w:pPr>
              <w:pStyle w:val="19"/>
              <w:snapToGrid w:val="0"/>
              <w:spacing w:before="48" w:line="240" w:lineRule="auto"/>
              <w:ind w:left="0" w:leftChars="0" w:right="0" w:rightChars="0" w:firstLine="0" w:firstLineChars="0"/>
              <w:jc w:val="center"/>
              <w:rPr>
                <w:rFonts w:ascii="宋体" w:eastAsia="宋体"/>
                <w:sz w:val="21"/>
              </w:rPr>
            </w:pPr>
            <w:r>
              <w:rPr>
                <w:rFonts w:ascii="宋体" w:hAnsi="Times New Roman" w:eastAsia="宋体" w:cs="Times New Roman"/>
                <w:spacing w:val="-3"/>
                <w:sz w:val="21"/>
              </w:rPr>
              <w:t>7</w:t>
            </w:r>
            <w:r>
              <w:rPr>
                <w:rFonts w:ascii="宋体" w:eastAsia="宋体"/>
                <w:spacing w:val="-3"/>
                <w:sz w:val="21"/>
              </w:rPr>
              <w:t>年</w:t>
            </w:r>
          </w:p>
        </w:tc>
        <w:tc>
          <w:tcPr>
            <w:tcW w:w="1442" w:type="dxa"/>
            <w:vAlign w:val="center"/>
          </w:tcPr>
          <w:p w14:paraId="739C21D0">
            <w:pPr>
              <w:pStyle w:val="19"/>
              <w:snapToGrid w:val="0"/>
              <w:spacing w:before="48" w:line="240" w:lineRule="auto"/>
              <w:ind w:left="0" w:leftChars="0" w:right="0" w:rightChars="0" w:firstLine="0" w:firstLineChars="0"/>
              <w:jc w:val="center"/>
              <w:rPr>
                <w:rFonts w:ascii="宋体" w:eastAsia="宋体"/>
                <w:sz w:val="21"/>
              </w:rPr>
            </w:pPr>
            <w:r>
              <w:rPr>
                <w:rFonts w:ascii="宋体" w:eastAsia="宋体"/>
                <w:spacing w:val="-3"/>
                <w:sz w:val="21"/>
              </w:rPr>
              <w:t>每月一次</w:t>
            </w:r>
          </w:p>
        </w:tc>
      </w:tr>
    </w:tbl>
    <w:p w14:paraId="19A6158F">
      <w:pPr>
        <w:pStyle w:val="5"/>
        <w:spacing w:before="35" w:line="345" w:lineRule="auto"/>
        <w:ind w:left="122" w:right="144" w:firstLine="477"/>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rPr>
        <w:t>在进行样方调查时，应对复垦林地的生长情况作出评价，包括长势、</w:t>
      </w:r>
      <w:r>
        <w:rPr>
          <w:rFonts w:hint="eastAsia" w:asciiTheme="minorEastAsia" w:hAnsiTheme="minorEastAsia" w:eastAsiaTheme="minorEastAsia" w:cstheme="minorEastAsia"/>
          <w:spacing w:val="1"/>
          <w:sz w:val="24"/>
          <w:szCs w:val="24"/>
        </w:rPr>
        <w:t>形态、</w:t>
      </w:r>
      <w:r>
        <w:rPr>
          <w:rFonts w:hint="eastAsia" w:asciiTheme="minorEastAsia" w:hAnsiTheme="minorEastAsia" w:eastAsiaTheme="minorEastAsia" w:cstheme="minorEastAsia"/>
          <w:spacing w:val="-2"/>
          <w:sz w:val="24"/>
          <w:szCs w:val="24"/>
        </w:rPr>
        <w:t>成活率、有无病虫害等。其监测密度为每公顷布设1个监测点。</w:t>
      </w:r>
    </w:p>
    <w:p w14:paraId="0C6CB568">
      <w:pPr>
        <w:widowControl w:val="0"/>
        <w:numPr>
          <w:ilvl w:val="0"/>
          <w:numId w:val="0"/>
        </w:numPr>
        <w:adjustRightInd w:val="0"/>
        <w:snapToGrid w:val="0"/>
        <w:spacing w:line="360" w:lineRule="auto"/>
        <w:ind w:leftChars="200"/>
        <w:jc w:val="left"/>
        <w:rPr>
          <w:rFonts w:hint="eastAsia"/>
          <w:b/>
          <w:bCs/>
          <w:spacing w:val="-1"/>
          <w:lang w:val="en-US" w:eastAsia="zh-CN"/>
        </w:rPr>
      </w:pPr>
      <w:r>
        <w:rPr>
          <w:rFonts w:hint="eastAsia"/>
          <w:b/>
          <w:bCs/>
          <w:spacing w:val="-1"/>
          <w:lang w:val="en-US" w:eastAsia="zh-CN"/>
        </w:rPr>
        <w:t>（六）管护措施</w:t>
      </w:r>
    </w:p>
    <w:p w14:paraId="218BCD24">
      <w:pPr>
        <w:keepNext w:val="0"/>
        <w:keepLines w:val="0"/>
        <w:pageBreakBefore w:val="0"/>
        <w:widowControl/>
        <w:kinsoku/>
        <w:wordWrap/>
        <w:overflowPunct/>
        <w:topLinePunct w:val="0"/>
        <w:autoSpaceDE/>
        <w:autoSpaceDN/>
        <w:bidi w:val="0"/>
        <w:adjustRightInd/>
        <w:snapToGrid/>
        <w:spacing w:after="0" w:line="360" w:lineRule="auto"/>
        <w:ind w:left="0" w:leftChars="0" w:firstLine="480" w:firstLineChars="200"/>
        <w:textAlignment w:val="auto"/>
        <w:rPr>
          <w:rFonts w:hint="eastAsia" w:asciiTheme="minorEastAsia" w:hAnsiTheme="minorEastAsia" w:eastAsiaTheme="minorEastAsia" w:cstheme="minorEastAsia"/>
          <w:sz w:val="24"/>
          <w:szCs w:val="24"/>
        </w:rPr>
      </w:pPr>
      <w:bookmarkStart w:id="21" w:name="_Toc32107"/>
      <w:bookmarkStart w:id="22" w:name="_Toc25402"/>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lang w:val="zh-CN"/>
        </w:rPr>
        <w:t>灌溉</w:t>
      </w:r>
      <w:bookmarkEnd w:id="21"/>
      <w:bookmarkEnd w:id="22"/>
    </w:p>
    <w:p w14:paraId="7D1B6CB0">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复垦场地每年春、秋两季灌水，以提高植被的成活率和生长速度，对治理及土地复垦后的土地加强灌溉，及时进行浇水，每年2次。</w:t>
      </w:r>
    </w:p>
    <w:p w14:paraId="5FD030B9">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Theme="minorEastAsia" w:hAnsiTheme="minorEastAsia" w:eastAsiaTheme="minorEastAsia" w:cstheme="minorEastAsia"/>
          <w:sz w:val="24"/>
          <w:szCs w:val="24"/>
          <w:lang w:val="en-US" w:eastAsia="zh-CN"/>
        </w:rPr>
      </w:pPr>
      <w:bookmarkStart w:id="23" w:name="_Toc21233"/>
      <w:bookmarkStart w:id="24" w:name="_Toc8314"/>
      <w:r>
        <w:rPr>
          <w:rFonts w:hint="eastAsia" w:asciiTheme="minorEastAsia" w:hAnsiTheme="minorEastAsia" w:eastAsiaTheme="minorEastAsia" w:cstheme="minorEastAsia"/>
          <w:sz w:val="24"/>
          <w:szCs w:val="24"/>
          <w:lang w:val="en-US" w:eastAsia="zh-CN"/>
        </w:rPr>
        <w:t>2、人工管护</w:t>
      </w:r>
      <w:bookmarkEnd w:id="23"/>
      <w:bookmarkEnd w:id="24"/>
    </w:p>
    <w:p w14:paraId="3D93545F">
      <w:pPr>
        <w:widowControl w:val="0"/>
        <w:numPr>
          <w:ilvl w:val="0"/>
          <w:numId w:val="0"/>
        </w:numPr>
        <w:adjustRightInd w:val="0"/>
        <w:snapToGrid w:val="0"/>
        <w:spacing w:line="360" w:lineRule="auto"/>
        <w:jc w:val="lef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治理后的土地应进行人工管理，防止牲畜对恢复植被的损害，对治理后植被适时进行封育管理，第二年雨季前对未成活的苗木及时补栽。恢复植被期间，严格执行禁放牧、禁开荒、禁采石、禁狩猎、禁用火。要及时防治虫害、抚育，搞好防火等工作。</w:t>
      </w:r>
    </w:p>
    <w:p w14:paraId="7854D5F1">
      <w:pPr>
        <w:bidi w:val="0"/>
        <w:rPr>
          <w:rFonts w:hint="eastAsia"/>
          <w:b/>
          <w:bCs/>
          <w:sz w:val="24"/>
          <w:szCs w:val="24"/>
          <w:lang w:val="en-US" w:eastAsia="zh-CN"/>
        </w:rPr>
      </w:pPr>
      <w:r>
        <w:rPr>
          <w:rFonts w:hint="eastAsia"/>
          <w:b/>
          <w:bCs/>
          <w:sz w:val="24"/>
          <w:szCs w:val="24"/>
          <w:lang w:val="en-US" w:eastAsia="zh-CN"/>
        </w:rPr>
        <w:t>（七）经费估算</w:t>
      </w:r>
    </w:p>
    <w:p w14:paraId="73EF68A9">
      <w:pPr>
        <w:pStyle w:val="5"/>
        <w:keepNext w:val="0"/>
        <w:keepLines w:val="0"/>
        <w:pageBreakBefore w:val="0"/>
        <w:widowControl w:val="0"/>
        <w:kinsoku/>
        <w:wordWrap/>
        <w:overflowPunct/>
        <w:topLinePunct w:val="0"/>
        <w:autoSpaceDE/>
        <w:autoSpaceDN/>
        <w:bidi w:val="0"/>
        <w:adjustRightInd w:val="0"/>
        <w:snapToGrid w:val="0"/>
        <w:spacing w:before="178" w:line="240" w:lineRule="auto"/>
        <w:ind w:left="119" w:right="108" w:firstLine="480"/>
        <w:textAlignment w:val="auto"/>
        <w:rPr>
          <w:rFonts w:hint="eastAsia"/>
          <w:spacing w:val="-10"/>
          <w:sz w:val="24"/>
          <w:szCs w:val="24"/>
          <w:lang w:val="en-US" w:eastAsia="zh-CN"/>
        </w:rPr>
      </w:pPr>
      <w:r>
        <w:rPr>
          <w:rFonts w:hint="eastAsia"/>
          <w:spacing w:val="-10"/>
          <w:sz w:val="24"/>
          <w:szCs w:val="24"/>
          <w:lang w:val="en-US" w:eastAsia="zh-CN"/>
        </w:rPr>
        <w:t>矿山监测和管护费为9.44万元。</w:t>
      </w:r>
    </w:p>
    <w:p w14:paraId="6F519828">
      <w:pPr>
        <w:pStyle w:val="5"/>
        <w:keepNext w:val="0"/>
        <w:keepLines w:val="0"/>
        <w:pageBreakBefore w:val="0"/>
        <w:widowControl w:val="0"/>
        <w:kinsoku/>
        <w:wordWrap/>
        <w:overflowPunct/>
        <w:topLinePunct w:val="0"/>
        <w:autoSpaceDE/>
        <w:autoSpaceDN/>
        <w:bidi w:val="0"/>
        <w:adjustRightInd w:val="0"/>
        <w:snapToGrid w:val="0"/>
        <w:spacing w:before="178" w:line="240" w:lineRule="auto"/>
        <w:ind w:left="119" w:right="108" w:firstLine="2530" w:firstLineChars="1200"/>
        <w:textAlignment w:val="auto"/>
        <w:rPr>
          <w:rFonts w:hint="default"/>
          <w:spacing w:val="-10"/>
          <w:sz w:val="21"/>
          <w:szCs w:val="21"/>
          <w:lang w:val="en-US" w:eastAsia="zh-CN"/>
        </w:rPr>
      </w:pPr>
      <w:r>
        <w:rPr>
          <w:rFonts w:hint="eastAsia" w:ascii="宋体" w:hAnsi="宋体" w:eastAsia="宋体" w:cs="宋体"/>
          <w:b/>
          <w:bCs/>
          <w:color w:val="auto"/>
          <w:kern w:val="2"/>
          <w:sz w:val="21"/>
          <w:szCs w:val="21"/>
          <w:lang w:val="en-US" w:eastAsia="zh-CN" w:bidi="ar-SA"/>
        </w:rPr>
        <w:t>表6-</w:t>
      </w:r>
      <w:r>
        <w:rPr>
          <w:rFonts w:hint="eastAsia" w:cs="宋体"/>
          <w:b/>
          <w:bCs/>
          <w:color w:val="auto"/>
          <w:kern w:val="2"/>
          <w:sz w:val="21"/>
          <w:szCs w:val="21"/>
          <w:lang w:val="en-US" w:eastAsia="zh-CN" w:bidi="ar-SA"/>
        </w:rPr>
        <w:t>6</w:t>
      </w:r>
      <w:r>
        <w:rPr>
          <w:rFonts w:hint="eastAsia" w:ascii="宋体" w:hAnsi="宋体" w:eastAsia="宋体" w:cs="宋体"/>
          <w:b/>
          <w:bCs/>
          <w:color w:val="auto"/>
          <w:kern w:val="2"/>
          <w:sz w:val="21"/>
          <w:szCs w:val="21"/>
          <w:lang w:val="en-US" w:eastAsia="zh-CN" w:bidi="ar-SA"/>
        </w:rPr>
        <w:t>监测费预算表</w:t>
      </w:r>
    </w:p>
    <w:tbl>
      <w:tblPr>
        <w:tblStyle w:val="10"/>
        <w:tblW w:w="4984"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52"/>
        <w:gridCol w:w="1819"/>
        <w:gridCol w:w="1348"/>
        <w:gridCol w:w="1372"/>
        <w:gridCol w:w="1404"/>
      </w:tblGrid>
      <w:tr w14:paraId="7EC68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502" w:type="pct"/>
            <w:tcBorders>
              <w:top w:val="single" w:color="000000" w:sz="8" w:space="0"/>
              <w:left w:val="single" w:color="000000" w:sz="8" w:space="0"/>
              <w:bottom w:val="single" w:color="000000" w:sz="8" w:space="0"/>
              <w:right w:val="single" w:color="000000" w:sz="8" w:space="0"/>
            </w:tcBorders>
            <w:noWrap w:val="0"/>
            <w:vAlign w:val="center"/>
          </w:tcPr>
          <w:p w14:paraId="7CFB6E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费用名称</w:t>
            </w:r>
          </w:p>
        </w:tc>
        <w:tc>
          <w:tcPr>
            <w:tcW w:w="1070" w:type="pct"/>
            <w:tcBorders>
              <w:top w:val="single" w:color="000000" w:sz="8" w:space="0"/>
              <w:left w:val="nil"/>
              <w:bottom w:val="single" w:color="000000" w:sz="8" w:space="0"/>
              <w:right w:val="single" w:color="000000" w:sz="8" w:space="0"/>
            </w:tcBorders>
            <w:noWrap w:val="0"/>
            <w:vAlign w:val="center"/>
          </w:tcPr>
          <w:p w14:paraId="1A3C01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793" w:type="pct"/>
            <w:tcBorders>
              <w:top w:val="single" w:color="000000" w:sz="8" w:space="0"/>
              <w:left w:val="nil"/>
              <w:bottom w:val="single" w:color="000000" w:sz="8" w:space="0"/>
              <w:right w:val="single" w:color="000000" w:sz="8" w:space="0"/>
            </w:tcBorders>
            <w:noWrap w:val="0"/>
            <w:vAlign w:val="center"/>
          </w:tcPr>
          <w:p w14:paraId="0C0AC4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工程量</w:t>
            </w:r>
          </w:p>
        </w:tc>
        <w:tc>
          <w:tcPr>
            <w:tcW w:w="807" w:type="pct"/>
            <w:tcBorders>
              <w:top w:val="single" w:color="000000" w:sz="8" w:space="0"/>
              <w:left w:val="nil"/>
              <w:bottom w:val="single" w:color="000000" w:sz="8" w:space="0"/>
              <w:right w:val="single" w:color="000000" w:sz="8" w:space="0"/>
            </w:tcBorders>
            <w:noWrap w:val="0"/>
            <w:vAlign w:val="center"/>
          </w:tcPr>
          <w:p w14:paraId="5BB19C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单价（元）</w:t>
            </w:r>
          </w:p>
        </w:tc>
        <w:tc>
          <w:tcPr>
            <w:tcW w:w="826" w:type="pct"/>
            <w:tcBorders>
              <w:top w:val="single" w:color="000000" w:sz="8" w:space="0"/>
              <w:left w:val="nil"/>
              <w:bottom w:val="single" w:color="000000" w:sz="8" w:space="0"/>
              <w:right w:val="single" w:color="000000" w:sz="8" w:space="0"/>
            </w:tcBorders>
            <w:noWrap w:val="0"/>
            <w:vAlign w:val="center"/>
          </w:tcPr>
          <w:p w14:paraId="283FC4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合计(元)</w:t>
            </w:r>
          </w:p>
        </w:tc>
      </w:tr>
      <w:tr w14:paraId="46E4E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502" w:type="pct"/>
            <w:tcBorders>
              <w:top w:val="nil"/>
              <w:left w:val="single" w:color="000000" w:sz="8" w:space="0"/>
              <w:bottom w:val="single" w:color="000000" w:sz="8" w:space="0"/>
              <w:right w:val="single" w:color="000000" w:sz="8" w:space="0"/>
            </w:tcBorders>
            <w:noWrap w:val="0"/>
            <w:vAlign w:val="center"/>
          </w:tcPr>
          <w:p w14:paraId="489215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地质灾害监测</w:t>
            </w:r>
          </w:p>
        </w:tc>
        <w:tc>
          <w:tcPr>
            <w:tcW w:w="1070" w:type="pct"/>
            <w:tcBorders>
              <w:top w:val="nil"/>
              <w:left w:val="nil"/>
              <w:bottom w:val="single" w:color="000000" w:sz="8" w:space="0"/>
              <w:right w:val="single" w:color="000000" w:sz="8" w:space="0"/>
            </w:tcBorders>
            <w:noWrap w:val="0"/>
            <w:vAlign w:val="center"/>
          </w:tcPr>
          <w:p w14:paraId="491728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点·次</w:t>
            </w:r>
          </w:p>
        </w:tc>
        <w:tc>
          <w:tcPr>
            <w:tcW w:w="793" w:type="pct"/>
            <w:tcBorders>
              <w:top w:val="nil"/>
              <w:left w:val="nil"/>
              <w:bottom w:val="single" w:color="000000" w:sz="8" w:space="0"/>
              <w:right w:val="single" w:color="000000" w:sz="8" w:space="0"/>
            </w:tcBorders>
            <w:noWrap w:val="0"/>
            <w:vAlign w:val="center"/>
          </w:tcPr>
          <w:p w14:paraId="1D2184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25</w:t>
            </w: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2</w:t>
            </w:r>
          </w:p>
        </w:tc>
        <w:tc>
          <w:tcPr>
            <w:tcW w:w="807" w:type="pct"/>
            <w:tcBorders>
              <w:top w:val="nil"/>
              <w:left w:val="nil"/>
              <w:bottom w:val="single" w:color="000000" w:sz="8" w:space="0"/>
              <w:right w:val="single" w:color="000000" w:sz="8" w:space="0"/>
            </w:tcBorders>
            <w:noWrap w:val="0"/>
            <w:vAlign w:val="center"/>
          </w:tcPr>
          <w:p w14:paraId="74BA96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100</w:t>
            </w:r>
          </w:p>
        </w:tc>
        <w:tc>
          <w:tcPr>
            <w:tcW w:w="826" w:type="pct"/>
            <w:tcBorders>
              <w:top w:val="nil"/>
              <w:left w:val="nil"/>
              <w:bottom w:val="single" w:color="000000" w:sz="8" w:space="0"/>
              <w:right w:val="single" w:color="000000" w:sz="8" w:space="0"/>
            </w:tcBorders>
            <w:noWrap w:val="0"/>
            <w:vAlign w:val="center"/>
          </w:tcPr>
          <w:p w14:paraId="27F61A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30000</w:t>
            </w:r>
          </w:p>
        </w:tc>
      </w:tr>
      <w:tr w14:paraId="25389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502" w:type="pct"/>
            <w:tcBorders>
              <w:top w:val="nil"/>
              <w:left w:val="single" w:color="000000" w:sz="8" w:space="0"/>
              <w:bottom w:val="single" w:color="000000" w:sz="8" w:space="0"/>
              <w:right w:val="single" w:color="000000" w:sz="8" w:space="0"/>
            </w:tcBorders>
            <w:noWrap w:val="0"/>
            <w:vAlign w:val="center"/>
          </w:tcPr>
          <w:p w14:paraId="04D0B2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地下水位监测</w:t>
            </w:r>
          </w:p>
        </w:tc>
        <w:tc>
          <w:tcPr>
            <w:tcW w:w="1070" w:type="pct"/>
            <w:tcBorders>
              <w:top w:val="nil"/>
              <w:left w:val="nil"/>
              <w:bottom w:val="single" w:color="000000" w:sz="8" w:space="0"/>
              <w:right w:val="single" w:color="000000" w:sz="8" w:space="0"/>
            </w:tcBorders>
            <w:noWrap w:val="0"/>
            <w:vAlign w:val="center"/>
          </w:tcPr>
          <w:p w14:paraId="14D522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点·次</w:t>
            </w:r>
          </w:p>
        </w:tc>
        <w:tc>
          <w:tcPr>
            <w:tcW w:w="793" w:type="pct"/>
            <w:tcBorders>
              <w:top w:val="nil"/>
              <w:left w:val="nil"/>
              <w:bottom w:val="single" w:color="000000" w:sz="8" w:space="0"/>
              <w:right w:val="single" w:color="000000" w:sz="8" w:space="0"/>
            </w:tcBorders>
            <w:noWrap w:val="0"/>
            <w:vAlign w:val="center"/>
          </w:tcPr>
          <w:p w14:paraId="6932AC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*24</w:t>
            </w:r>
          </w:p>
        </w:tc>
        <w:tc>
          <w:tcPr>
            <w:tcW w:w="807" w:type="pct"/>
            <w:tcBorders>
              <w:top w:val="nil"/>
              <w:left w:val="nil"/>
              <w:bottom w:val="single" w:color="000000" w:sz="8" w:space="0"/>
              <w:right w:val="single" w:color="000000" w:sz="8" w:space="0"/>
            </w:tcBorders>
            <w:noWrap w:val="0"/>
            <w:vAlign w:val="center"/>
          </w:tcPr>
          <w:p w14:paraId="0D120D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100</w:t>
            </w:r>
          </w:p>
        </w:tc>
        <w:tc>
          <w:tcPr>
            <w:tcW w:w="826" w:type="pct"/>
            <w:tcBorders>
              <w:top w:val="nil"/>
              <w:left w:val="nil"/>
              <w:bottom w:val="single" w:color="000000" w:sz="8" w:space="0"/>
              <w:right w:val="single" w:color="000000" w:sz="8" w:space="0"/>
            </w:tcBorders>
            <w:noWrap w:val="0"/>
            <w:vAlign w:val="center"/>
          </w:tcPr>
          <w:p w14:paraId="7C8CA5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14400</w:t>
            </w:r>
          </w:p>
        </w:tc>
      </w:tr>
      <w:tr w14:paraId="1C93C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502" w:type="pct"/>
            <w:tcBorders>
              <w:top w:val="nil"/>
              <w:left w:val="single" w:color="000000" w:sz="8" w:space="0"/>
              <w:bottom w:val="single" w:color="000000" w:sz="8" w:space="0"/>
              <w:right w:val="single" w:color="000000" w:sz="8" w:space="0"/>
            </w:tcBorders>
            <w:noWrap w:val="0"/>
            <w:vAlign w:val="center"/>
          </w:tcPr>
          <w:p w14:paraId="41AA51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地形地貌监测</w:t>
            </w:r>
          </w:p>
        </w:tc>
        <w:tc>
          <w:tcPr>
            <w:tcW w:w="1070" w:type="pct"/>
            <w:tcBorders>
              <w:top w:val="nil"/>
              <w:left w:val="nil"/>
              <w:bottom w:val="single" w:color="000000" w:sz="8" w:space="0"/>
              <w:right w:val="single" w:color="000000" w:sz="8" w:space="0"/>
            </w:tcBorders>
            <w:noWrap w:val="0"/>
            <w:vAlign w:val="center"/>
          </w:tcPr>
          <w:p w14:paraId="04B882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次</w:t>
            </w:r>
          </w:p>
        </w:tc>
        <w:tc>
          <w:tcPr>
            <w:tcW w:w="793" w:type="pct"/>
            <w:tcBorders>
              <w:top w:val="nil"/>
              <w:left w:val="nil"/>
              <w:bottom w:val="single" w:color="000000" w:sz="8" w:space="0"/>
              <w:right w:val="single" w:color="000000" w:sz="8" w:space="0"/>
            </w:tcBorders>
            <w:noWrap w:val="0"/>
            <w:vAlign w:val="center"/>
          </w:tcPr>
          <w:p w14:paraId="2ECEEF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w:t>
            </w:r>
          </w:p>
        </w:tc>
        <w:tc>
          <w:tcPr>
            <w:tcW w:w="807" w:type="pct"/>
            <w:tcBorders>
              <w:top w:val="nil"/>
              <w:left w:val="nil"/>
              <w:bottom w:val="single" w:color="000000" w:sz="8" w:space="0"/>
              <w:right w:val="single" w:color="000000" w:sz="8" w:space="0"/>
            </w:tcBorders>
            <w:noWrap w:val="0"/>
            <w:vAlign w:val="center"/>
          </w:tcPr>
          <w:p w14:paraId="7C3FF8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3500</w:t>
            </w:r>
          </w:p>
        </w:tc>
        <w:tc>
          <w:tcPr>
            <w:tcW w:w="826" w:type="pct"/>
            <w:tcBorders>
              <w:top w:val="nil"/>
              <w:left w:val="nil"/>
              <w:bottom w:val="single" w:color="000000" w:sz="8" w:space="0"/>
              <w:right w:val="single" w:color="000000" w:sz="8" w:space="0"/>
            </w:tcBorders>
            <w:noWrap w:val="0"/>
            <w:vAlign w:val="center"/>
          </w:tcPr>
          <w:p w14:paraId="150C8A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42000</w:t>
            </w:r>
          </w:p>
        </w:tc>
      </w:tr>
      <w:tr w14:paraId="49A91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502" w:type="pct"/>
            <w:tcBorders>
              <w:top w:val="nil"/>
              <w:left w:val="single" w:color="000000" w:sz="8" w:space="0"/>
              <w:bottom w:val="single" w:color="000000" w:sz="8" w:space="0"/>
              <w:right w:val="single" w:color="000000" w:sz="8" w:space="0"/>
            </w:tcBorders>
            <w:noWrap w:val="0"/>
            <w:vAlign w:val="center"/>
          </w:tcPr>
          <w:p w14:paraId="2457E8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土地复垦监测</w:t>
            </w:r>
          </w:p>
        </w:tc>
        <w:tc>
          <w:tcPr>
            <w:tcW w:w="1070" w:type="pct"/>
            <w:tcBorders>
              <w:top w:val="nil"/>
              <w:left w:val="nil"/>
              <w:bottom w:val="single" w:color="000000" w:sz="8" w:space="0"/>
              <w:right w:val="single" w:color="000000" w:sz="8" w:space="0"/>
            </w:tcBorders>
            <w:noWrap w:val="0"/>
            <w:vAlign w:val="center"/>
          </w:tcPr>
          <w:p w14:paraId="1DDF66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次</w:t>
            </w:r>
          </w:p>
        </w:tc>
        <w:tc>
          <w:tcPr>
            <w:tcW w:w="793" w:type="pct"/>
            <w:tcBorders>
              <w:top w:val="nil"/>
              <w:left w:val="nil"/>
              <w:bottom w:val="single" w:color="000000" w:sz="8" w:space="0"/>
              <w:right w:val="single" w:color="000000" w:sz="8" w:space="0"/>
            </w:tcBorders>
            <w:noWrap w:val="0"/>
            <w:vAlign w:val="center"/>
          </w:tcPr>
          <w:p w14:paraId="7C3612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2</w:t>
            </w:r>
          </w:p>
        </w:tc>
        <w:tc>
          <w:tcPr>
            <w:tcW w:w="807" w:type="pct"/>
            <w:tcBorders>
              <w:top w:val="nil"/>
              <w:left w:val="nil"/>
              <w:bottom w:val="single" w:color="000000" w:sz="8" w:space="0"/>
              <w:right w:val="single" w:color="000000" w:sz="8" w:space="0"/>
            </w:tcBorders>
            <w:noWrap w:val="0"/>
            <w:vAlign w:val="center"/>
          </w:tcPr>
          <w:p w14:paraId="23B041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2000</w:t>
            </w:r>
          </w:p>
        </w:tc>
        <w:tc>
          <w:tcPr>
            <w:tcW w:w="826" w:type="pct"/>
            <w:tcBorders>
              <w:top w:val="nil"/>
              <w:left w:val="nil"/>
              <w:bottom w:val="single" w:color="000000" w:sz="8" w:space="0"/>
              <w:right w:val="single" w:color="000000" w:sz="8" w:space="0"/>
            </w:tcBorders>
            <w:noWrap w:val="0"/>
            <w:vAlign w:val="center"/>
          </w:tcPr>
          <w:p w14:paraId="297ABA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4000</w:t>
            </w:r>
          </w:p>
        </w:tc>
      </w:tr>
      <w:tr w14:paraId="0DCA87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502" w:type="pct"/>
            <w:tcBorders>
              <w:top w:val="nil"/>
              <w:left w:val="single" w:color="000000" w:sz="8" w:space="0"/>
              <w:bottom w:val="single" w:color="000000" w:sz="8" w:space="0"/>
              <w:right w:val="single" w:color="000000" w:sz="8" w:space="0"/>
            </w:tcBorders>
            <w:noWrap w:val="0"/>
            <w:vAlign w:val="center"/>
          </w:tcPr>
          <w:p w14:paraId="2EF09C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1070" w:type="pct"/>
            <w:tcBorders>
              <w:top w:val="nil"/>
              <w:left w:val="nil"/>
              <w:bottom w:val="single" w:color="000000" w:sz="8" w:space="0"/>
              <w:right w:val="single" w:color="000000" w:sz="8" w:space="0"/>
            </w:tcBorders>
            <w:noWrap w:val="0"/>
            <w:vAlign w:val="center"/>
          </w:tcPr>
          <w:p w14:paraId="4A8E2F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w:t>
            </w:r>
          </w:p>
        </w:tc>
        <w:tc>
          <w:tcPr>
            <w:tcW w:w="793" w:type="pct"/>
            <w:tcBorders>
              <w:top w:val="nil"/>
              <w:left w:val="nil"/>
              <w:bottom w:val="single" w:color="000000" w:sz="8" w:space="0"/>
              <w:right w:val="single" w:color="000000" w:sz="8" w:space="0"/>
            </w:tcBorders>
            <w:noWrap w:val="0"/>
            <w:vAlign w:val="center"/>
          </w:tcPr>
          <w:p w14:paraId="03A1D6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w:t>
            </w:r>
          </w:p>
        </w:tc>
        <w:tc>
          <w:tcPr>
            <w:tcW w:w="807" w:type="pct"/>
            <w:tcBorders>
              <w:top w:val="nil"/>
              <w:left w:val="nil"/>
              <w:bottom w:val="single" w:color="000000" w:sz="8" w:space="0"/>
              <w:right w:val="single" w:color="000000" w:sz="8" w:space="0"/>
            </w:tcBorders>
            <w:noWrap w:val="0"/>
            <w:vAlign w:val="center"/>
          </w:tcPr>
          <w:p w14:paraId="610558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w:t>
            </w:r>
          </w:p>
        </w:tc>
        <w:tc>
          <w:tcPr>
            <w:tcW w:w="826" w:type="pct"/>
            <w:tcBorders>
              <w:top w:val="nil"/>
              <w:left w:val="nil"/>
              <w:bottom w:val="single" w:color="000000" w:sz="8" w:space="0"/>
              <w:right w:val="single" w:color="000000" w:sz="8" w:space="0"/>
            </w:tcBorders>
            <w:noWrap w:val="0"/>
            <w:vAlign w:val="center"/>
          </w:tcPr>
          <w:p w14:paraId="415EE6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90400</w:t>
            </w:r>
          </w:p>
        </w:tc>
      </w:tr>
    </w:tbl>
    <w:p w14:paraId="6D48BC99">
      <w:pPr>
        <w:pStyle w:val="5"/>
        <w:keepNext w:val="0"/>
        <w:keepLines w:val="0"/>
        <w:pageBreakBefore w:val="0"/>
        <w:widowControl w:val="0"/>
        <w:kinsoku/>
        <w:wordWrap/>
        <w:overflowPunct/>
        <w:topLinePunct w:val="0"/>
        <w:autoSpaceDE/>
        <w:autoSpaceDN/>
        <w:bidi w:val="0"/>
        <w:adjustRightInd w:val="0"/>
        <w:snapToGrid w:val="0"/>
        <w:spacing w:before="178" w:line="240" w:lineRule="auto"/>
        <w:ind w:left="119" w:right="108" w:firstLine="2530" w:firstLineChars="1200"/>
        <w:textAlignment w:val="auto"/>
        <w:rPr>
          <w:rFonts w:hint="default"/>
          <w:spacing w:val="-10"/>
          <w:sz w:val="21"/>
          <w:szCs w:val="21"/>
          <w:lang w:val="en-US" w:eastAsia="zh-CN"/>
        </w:rPr>
      </w:pPr>
      <w:r>
        <w:rPr>
          <w:rFonts w:hint="eastAsia" w:ascii="宋体" w:hAnsi="宋体" w:eastAsia="宋体" w:cs="宋体"/>
          <w:b/>
          <w:bCs/>
          <w:color w:val="auto"/>
          <w:kern w:val="2"/>
          <w:sz w:val="21"/>
          <w:szCs w:val="21"/>
          <w:lang w:val="en-US" w:eastAsia="zh-CN" w:bidi="ar-SA"/>
        </w:rPr>
        <w:t>表6-</w:t>
      </w:r>
      <w:r>
        <w:rPr>
          <w:rFonts w:hint="eastAsia" w:cs="宋体"/>
          <w:b/>
          <w:bCs/>
          <w:color w:val="auto"/>
          <w:kern w:val="2"/>
          <w:sz w:val="21"/>
          <w:szCs w:val="21"/>
          <w:lang w:val="en-US" w:eastAsia="zh-CN" w:bidi="ar-SA"/>
        </w:rPr>
        <w:t>7管护</w:t>
      </w:r>
      <w:r>
        <w:rPr>
          <w:rFonts w:hint="eastAsia" w:ascii="宋体" w:hAnsi="宋体" w:eastAsia="宋体" w:cs="宋体"/>
          <w:b/>
          <w:bCs/>
          <w:color w:val="auto"/>
          <w:kern w:val="2"/>
          <w:sz w:val="21"/>
          <w:szCs w:val="21"/>
          <w:lang w:val="en-US" w:eastAsia="zh-CN" w:bidi="ar-SA"/>
        </w:rPr>
        <w:t>费预算表</w:t>
      </w:r>
    </w:p>
    <w:tbl>
      <w:tblPr>
        <w:tblStyle w:val="10"/>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74"/>
        <w:gridCol w:w="1187"/>
        <w:gridCol w:w="1279"/>
        <w:gridCol w:w="1485"/>
        <w:gridCol w:w="1488"/>
      </w:tblGrid>
      <w:tr w14:paraId="66686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05" w:type="pct"/>
            <w:noWrap w:val="0"/>
            <w:vAlign w:val="center"/>
          </w:tcPr>
          <w:p w14:paraId="6E2A5F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费用名称</w:t>
            </w:r>
          </w:p>
        </w:tc>
        <w:tc>
          <w:tcPr>
            <w:tcW w:w="697" w:type="pct"/>
            <w:noWrap w:val="0"/>
            <w:vAlign w:val="center"/>
          </w:tcPr>
          <w:p w14:paraId="15DD17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751" w:type="pct"/>
            <w:noWrap w:val="0"/>
            <w:vAlign w:val="center"/>
          </w:tcPr>
          <w:p w14:paraId="048B6E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工程量</w:t>
            </w:r>
          </w:p>
        </w:tc>
        <w:tc>
          <w:tcPr>
            <w:tcW w:w="872" w:type="pct"/>
            <w:noWrap w:val="0"/>
            <w:vAlign w:val="center"/>
          </w:tcPr>
          <w:p w14:paraId="348D1E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单价（元）</w:t>
            </w:r>
          </w:p>
        </w:tc>
        <w:tc>
          <w:tcPr>
            <w:tcW w:w="873" w:type="pct"/>
            <w:noWrap w:val="0"/>
            <w:vAlign w:val="center"/>
          </w:tcPr>
          <w:p w14:paraId="4947A8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合计(元)</w:t>
            </w:r>
          </w:p>
        </w:tc>
      </w:tr>
      <w:tr w14:paraId="4F8EC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05" w:type="pct"/>
            <w:noWrap w:val="0"/>
            <w:vAlign w:val="center"/>
          </w:tcPr>
          <w:p w14:paraId="27EA4A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管护</w:t>
            </w:r>
          </w:p>
        </w:tc>
        <w:tc>
          <w:tcPr>
            <w:tcW w:w="697" w:type="pct"/>
            <w:noWrap w:val="0"/>
            <w:vAlign w:val="center"/>
          </w:tcPr>
          <w:p w14:paraId="725C26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次</w:t>
            </w:r>
          </w:p>
        </w:tc>
        <w:tc>
          <w:tcPr>
            <w:tcW w:w="751" w:type="pct"/>
            <w:noWrap w:val="0"/>
            <w:vAlign w:val="center"/>
          </w:tcPr>
          <w:p w14:paraId="0CC8FA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872" w:type="pct"/>
            <w:noWrap w:val="0"/>
            <w:vAlign w:val="center"/>
          </w:tcPr>
          <w:p w14:paraId="15FE4D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2000</w:t>
            </w:r>
          </w:p>
        </w:tc>
        <w:tc>
          <w:tcPr>
            <w:tcW w:w="873" w:type="pct"/>
            <w:noWrap w:val="0"/>
            <w:vAlign w:val="center"/>
          </w:tcPr>
          <w:p w14:paraId="035674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4000</w:t>
            </w:r>
          </w:p>
        </w:tc>
      </w:tr>
      <w:tr w14:paraId="34F2E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05" w:type="pct"/>
            <w:noWrap w:val="0"/>
            <w:vAlign w:val="center"/>
          </w:tcPr>
          <w:p w14:paraId="6A82BC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697" w:type="pct"/>
            <w:noWrap w:val="0"/>
            <w:vAlign w:val="center"/>
          </w:tcPr>
          <w:p w14:paraId="451593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21"/>
                <w:szCs w:val="21"/>
                <w:u w:val="none"/>
              </w:rPr>
            </w:pPr>
          </w:p>
        </w:tc>
        <w:tc>
          <w:tcPr>
            <w:tcW w:w="751" w:type="pct"/>
            <w:noWrap w:val="0"/>
            <w:vAlign w:val="center"/>
          </w:tcPr>
          <w:p w14:paraId="73C6F4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72" w:type="pct"/>
            <w:noWrap w:val="0"/>
            <w:vAlign w:val="center"/>
          </w:tcPr>
          <w:p w14:paraId="4DD56A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73" w:type="pct"/>
            <w:noWrap w:val="0"/>
            <w:vAlign w:val="center"/>
          </w:tcPr>
          <w:p w14:paraId="360843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4000</w:t>
            </w:r>
          </w:p>
        </w:tc>
      </w:tr>
    </w:tbl>
    <w:p w14:paraId="3F56AFEB">
      <w:pPr>
        <w:pStyle w:val="3"/>
        <w:bidi w:val="0"/>
        <w:ind w:firstLine="562" w:firstLineChars="200"/>
        <w:jc w:val="both"/>
        <w:rPr>
          <w:rFonts w:hint="default"/>
          <w:sz w:val="28"/>
          <w:szCs w:val="28"/>
          <w:lang w:val="en-US" w:eastAsia="zh-CN"/>
        </w:rPr>
      </w:pPr>
      <w:bookmarkStart w:id="25" w:name="_Toc16489"/>
      <w:r>
        <w:rPr>
          <w:rFonts w:hint="eastAsia"/>
          <w:sz w:val="28"/>
          <w:szCs w:val="28"/>
          <w:lang w:val="en-US" w:eastAsia="zh-CN"/>
        </w:rPr>
        <w:t>三</w:t>
      </w:r>
      <w:r>
        <w:rPr>
          <w:rFonts w:hint="eastAsia"/>
          <w:sz w:val="28"/>
          <w:szCs w:val="28"/>
        </w:rPr>
        <w:t>、</w:t>
      </w:r>
      <w:r>
        <w:rPr>
          <w:rFonts w:hint="eastAsia"/>
          <w:sz w:val="28"/>
          <w:szCs w:val="28"/>
          <w:lang w:val="en-US" w:eastAsia="zh-CN"/>
        </w:rPr>
        <w:t>经费投入和基金缴存、提取计划</w:t>
      </w:r>
      <w:bookmarkEnd w:id="25"/>
    </w:p>
    <w:p w14:paraId="6EBFCC28">
      <w:pPr>
        <w:bidi w:val="0"/>
        <w:rPr>
          <w:rFonts w:hint="eastAsia"/>
          <w:b/>
          <w:bCs/>
          <w:color w:val="auto"/>
          <w:lang w:eastAsia="zh-CN"/>
        </w:rPr>
      </w:pPr>
      <w:r>
        <w:rPr>
          <w:rFonts w:hint="eastAsia"/>
          <w:b/>
          <w:bCs/>
          <w:color w:val="auto"/>
          <w:lang w:eastAsia="zh-CN"/>
        </w:rPr>
        <w:t>（</w:t>
      </w:r>
      <w:r>
        <w:rPr>
          <w:rFonts w:hint="eastAsia"/>
          <w:b/>
          <w:bCs/>
          <w:color w:val="auto"/>
          <w:lang w:val="en-US" w:eastAsia="zh-CN"/>
        </w:rPr>
        <w:t>一</w:t>
      </w:r>
      <w:r>
        <w:rPr>
          <w:rFonts w:hint="eastAsia"/>
          <w:b/>
          <w:bCs/>
          <w:color w:val="auto"/>
          <w:lang w:eastAsia="zh-CN"/>
        </w:rPr>
        <w:t>）</w:t>
      </w:r>
      <w:r>
        <w:rPr>
          <w:rFonts w:hint="eastAsia"/>
          <w:b/>
          <w:bCs/>
          <w:color w:val="auto"/>
          <w:lang w:val="en-US" w:eastAsia="zh-CN"/>
        </w:rPr>
        <w:t>经费投入</w:t>
      </w:r>
    </w:p>
    <w:p w14:paraId="136F63E1">
      <w:pPr>
        <w:bidi w:val="0"/>
        <w:spacing w:line="360" w:lineRule="auto"/>
        <w:ind w:left="0" w:right="0" w:firstLine="480" w:firstLineChars="200"/>
        <w:rPr>
          <w:rFonts w:hint="eastAsia" w:ascii="宋体" w:hAnsi="宋体" w:eastAsia="宋体" w:cs="宋体"/>
          <w:color w:val="auto"/>
          <w:kern w:val="0"/>
          <w:sz w:val="24"/>
          <w:szCs w:val="24"/>
          <w:highlight w:val="none"/>
          <w:lang w:eastAsia="zh-CN" w:bidi="ar"/>
        </w:rPr>
      </w:pPr>
      <w:r>
        <w:rPr>
          <w:rFonts w:hint="eastAsia" w:ascii="宋体" w:hAnsi="宋体" w:eastAsia="宋体" w:cs="宋体"/>
          <w:color w:val="auto"/>
          <w:kern w:val="0"/>
          <w:sz w:val="24"/>
          <w:szCs w:val="24"/>
          <w:highlight w:val="none"/>
          <w:lang w:bidi="ar"/>
        </w:rPr>
        <w:t>矿山</w:t>
      </w:r>
      <w:r>
        <w:rPr>
          <w:rFonts w:hint="eastAsia" w:ascii="宋体" w:hAnsi="宋体" w:eastAsia="宋体" w:cs="宋体"/>
          <w:color w:val="auto"/>
          <w:kern w:val="0"/>
          <w:sz w:val="24"/>
          <w:szCs w:val="24"/>
          <w:highlight w:val="none"/>
          <w:lang w:val="en-US" w:eastAsia="zh-CN" w:bidi="ar"/>
        </w:rPr>
        <w:t>本年度</w:t>
      </w:r>
      <w:r>
        <w:rPr>
          <w:rFonts w:hint="eastAsia" w:ascii="宋体" w:hAnsi="宋体" w:eastAsia="宋体" w:cs="宋体"/>
          <w:color w:val="auto"/>
          <w:kern w:val="0"/>
          <w:sz w:val="24"/>
          <w:szCs w:val="24"/>
          <w:highlight w:val="none"/>
          <w:lang w:bidi="ar"/>
        </w:rPr>
        <w:t>监测</w:t>
      </w:r>
      <w:r>
        <w:rPr>
          <w:rFonts w:hint="eastAsia" w:ascii="宋体" w:hAnsi="宋体" w:eastAsia="宋体" w:cs="宋体"/>
          <w:color w:val="auto"/>
          <w:kern w:val="0"/>
          <w:sz w:val="24"/>
          <w:szCs w:val="24"/>
          <w:highlight w:val="none"/>
          <w:lang w:val="en-US" w:eastAsia="zh-CN" w:bidi="ar"/>
        </w:rPr>
        <w:t>及</w:t>
      </w:r>
      <w:r>
        <w:rPr>
          <w:rFonts w:hint="eastAsia" w:ascii="宋体" w:hAnsi="宋体" w:eastAsia="宋体" w:cs="宋体"/>
          <w:color w:val="auto"/>
          <w:kern w:val="0"/>
          <w:sz w:val="24"/>
          <w:szCs w:val="24"/>
          <w:highlight w:val="none"/>
          <w:lang w:bidi="ar"/>
        </w:rPr>
        <w:t>管护费为</w:t>
      </w:r>
      <w:r>
        <w:rPr>
          <w:rFonts w:hint="eastAsia" w:ascii="宋体" w:hAnsi="宋体" w:cs="宋体"/>
          <w:color w:val="auto"/>
          <w:sz w:val="24"/>
          <w:szCs w:val="24"/>
          <w:highlight w:val="none"/>
          <w:lang w:val="en-US" w:eastAsia="zh-CN"/>
        </w:rPr>
        <w:t>9.44</w:t>
      </w:r>
      <w:r>
        <w:rPr>
          <w:rFonts w:hint="eastAsia" w:ascii="宋体" w:hAnsi="宋体" w:eastAsia="宋体" w:cs="宋体"/>
          <w:color w:val="auto"/>
          <w:kern w:val="0"/>
          <w:sz w:val="24"/>
          <w:szCs w:val="24"/>
          <w:highlight w:val="none"/>
          <w:lang w:bidi="ar"/>
        </w:rPr>
        <w:t>万元</w:t>
      </w:r>
      <w:r>
        <w:rPr>
          <w:rFonts w:hint="eastAsia" w:ascii="宋体" w:hAnsi="宋体" w:eastAsia="宋体" w:cs="宋体"/>
          <w:color w:val="auto"/>
          <w:kern w:val="0"/>
          <w:sz w:val="24"/>
          <w:szCs w:val="24"/>
          <w:highlight w:val="none"/>
          <w:lang w:eastAsia="zh-CN" w:bidi="ar"/>
        </w:rPr>
        <w:t>。</w:t>
      </w:r>
    </w:p>
    <w:p w14:paraId="1EB74CAF">
      <w:pPr>
        <w:bidi w:val="0"/>
        <w:rPr>
          <w:rFonts w:hint="eastAsia"/>
          <w:b/>
          <w:bCs/>
          <w:lang w:val="en-US" w:eastAsia="zh-CN"/>
        </w:rPr>
      </w:pPr>
      <w:r>
        <w:rPr>
          <w:rFonts w:hint="eastAsia"/>
          <w:b/>
          <w:bCs/>
          <w:lang w:val="en-US" w:eastAsia="zh-CN"/>
        </w:rPr>
        <w:t>（二）基金缴存及提取计划</w:t>
      </w:r>
    </w:p>
    <w:p w14:paraId="18C235C3">
      <w:pPr>
        <w:tabs>
          <w:tab w:val="left" w:pos="855"/>
        </w:tabs>
        <w:spacing w:line="360" w:lineRule="auto"/>
        <w:ind w:firstLine="480" w:firstLineChars="200"/>
        <w:jc w:val="left"/>
        <w:rPr>
          <w:rFonts w:hint="default" w:ascii="宋体" w:hAnsi="宋体" w:eastAsia="宋体" w:cs="宋体"/>
          <w:color w:val="auto"/>
          <w:kern w:val="0"/>
          <w:sz w:val="24"/>
          <w:szCs w:val="24"/>
          <w:highlight w:val="none"/>
          <w:lang w:val="en-US" w:eastAsia="zh-CN" w:bidi="ar"/>
        </w:rPr>
      </w:pPr>
      <w:r>
        <w:rPr>
          <w:rFonts w:hint="eastAsia" w:ascii="宋体" w:hAnsi="宋体" w:eastAsia="宋体" w:cs="宋体"/>
          <w:sz w:val="24"/>
          <w:szCs w:val="24"/>
        </w:rPr>
        <w:t>依据《内蒙古自治区矿山地质环境治理恢复基金管理办法（试行）》</w:t>
      </w:r>
      <w:r>
        <w:rPr>
          <w:rFonts w:hint="eastAsia" w:ascii="宋体" w:hAnsi="宋体" w:eastAsia="宋体" w:cs="宋体"/>
          <w:sz w:val="24"/>
          <w:szCs w:val="24"/>
          <w:lang w:eastAsia="zh-CN"/>
        </w:rPr>
        <w:t>中</w:t>
      </w:r>
      <w:r>
        <w:rPr>
          <w:rFonts w:hint="eastAsia" w:ascii="宋体" w:hAnsi="宋体" w:eastAsia="宋体" w:cs="宋体"/>
          <w:sz w:val="24"/>
          <w:szCs w:val="24"/>
        </w:rPr>
        <w:t>基金计提计算方法，年度基金提取额=矿类计提基数×地下开采影响系数×土地复垦难度影响系数×地区影响系数×上一年度生产矿石量</w:t>
      </w:r>
      <w:r>
        <w:rPr>
          <w:rFonts w:hint="eastAsia" w:ascii="宋体" w:hAnsi="宋体" w:eastAsia="宋体" w:cs="宋体"/>
          <w:sz w:val="24"/>
          <w:szCs w:val="24"/>
          <w:lang w:eastAsia="zh-CN"/>
        </w:rPr>
        <w:t>。计算得出矿山</w:t>
      </w:r>
      <w:r>
        <w:rPr>
          <w:rFonts w:hint="eastAsia" w:ascii="宋体" w:hAnsi="宋体" w:eastAsia="宋体" w:cs="宋体"/>
          <w:sz w:val="24"/>
          <w:szCs w:val="24"/>
          <w:lang w:val="en-US" w:eastAsia="zh-CN"/>
        </w:rPr>
        <w:t>2026年</w:t>
      </w:r>
      <w:r>
        <w:rPr>
          <w:rFonts w:hint="eastAsia" w:ascii="宋体" w:hAnsi="宋体" w:eastAsia="宋体" w:cs="宋体"/>
          <w:sz w:val="24"/>
          <w:szCs w:val="24"/>
          <w:lang w:eastAsia="zh-CN"/>
        </w:rPr>
        <w:t>度计提的地质环境治理恢复基金为</w:t>
      </w:r>
      <w:r>
        <w:rPr>
          <w:rFonts w:hint="eastAsia" w:ascii="宋体" w:hAnsi="宋体" w:cs="宋体"/>
          <w:sz w:val="24"/>
          <w:szCs w:val="24"/>
          <w:lang w:val="en-US" w:eastAsia="zh-CN"/>
        </w:rPr>
        <w:t>48.32</w:t>
      </w:r>
      <w:r>
        <w:rPr>
          <w:rFonts w:hint="eastAsia" w:ascii="宋体" w:hAnsi="宋体" w:eastAsia="宋体" w:cs="宋体"/>
          <w:color w:val="auto"/>
          <w:sz w:val="24"/>
          <w:szCs w:val="24"/>
          <w:lang w:eastAsia="zh-CN"/>
        </w:rPr>
        <w:t>万元</w:t>
      </w:r>
      <w:r>
        <w:rPr>
          <w:rFonts w:hint="eastAsia" w:ascii="宋体" w:hAnsi="宋体" w:eastAsia="宋体" w:cs="宋体"/>
          <w:sz w:val="24"/>
          <w:szCs w:val="24"/>
          <w:lang w:eastAsia="zh-CN"/>
        </w:rPr>
        <w:t>。</w:t>
      </w:r>
      <w:r>
        <w:rPr>
          <w:rFonts w:hint="eastAsia" w:ascii="宋体" w:hAnsi="宋体" w:eastAsia="宋体" w:cs="宋体"/>
          <w:color w:val="auto"/>
          <w:kern w:val="0"/>
          <w:sz w:val="24"/>
          <w:szCs w:val="24"/>
          <w:highlight w:val="none"/>
          <w:lang w:val="en-US" w:eastAsia="zh-CN" w:bidi="ar"/>
        </w:rPr>
        <w:t>待矿山治理施工完毕后，根据实际投入的</w:t>
      </w:r>
      <w:r>
        <w:rPr>
          <w:rFonts w:hint="eastAsia" w:ascii="宋体" w:hAnsi="宋体" w:eastAsia="宋体" w:cs="宋体"/>
          <w:color w:val="auto"/>
          <w:kern w:val="0"/>
          <w:sz w:val="24"/>
          <w:szCs w:val="24"/>
          <w:highlight w:val="none"/>
          <w:lang w:eastAsia="zh-CN" w:bidi="ar"/>
        </w:rPr>
        <w:t>地质环境</w:t>
      </w:r>
      <w:r>
        <w:rPr>
          <w:rFonts w:hint="eastAsia" w:ascii="宋体" w:hAnsi="宋体" w:eastAsia="宋体" w:cs="宋体"/>
          <w:color w:val="auto"/>
          <w:kern w:val="0"/>
          <w:sz w:val="24"/>
          <w:szCs w:val="24"/>
          <w:highlight w:val="none"/>
          <w:lang w:bidi="ar"/>
        </w:rPr>
        <w:t>治理</w:t>
      </w:r>
      <w:r>
        <w:rPr>
          <w:rFonts w:hint="eastAsia" w:ascii="宋体" w:hAnsi="宋体" w:eastAsia="宋体" w:cs="宋体"/>
          <w:color w:val="auto"/>
          <w:kern w:val="0"/>
          <w:sz w:val="24"/>
          <w:szCs w:val="24"/>
          <w:highlight w:val="none"/>
          <w:lang w:val="en-US" w:eastAsia="zh-CN" w:bidi="ar"/>
        </w:rPr>
        <w:t>与土地复垦</w:t>
      </w:r>
      <w:r>
        <w:rPr>
          <w:rFonts w:hint="eastAsia" w:ascii="宋体" w:hAnsi="宋体" w:eastAsia="宋体" w:cs="宋体"/>
          <w:color w:val="auto"/>
          <w:kern w:val="0"/>
          <w:sz w:val="24"/>
          <w:szCs w:val="24"/>
          <w:highlight w:val="none"/>
          <w:lang w:bidi="ar"/>
        </w:rPr>
        <w:t>经费</w:t>
      </w:r>
      <w:r>
        <w:rPr>
          <w:rFonts w:hint="eastAsia" w:ascii="宋体" w:hAnsi="宋体" w:eastAsia="宋体" w:cs="宋体"/>
          <w:color w:val="auto"/>
          <w:kern w:val="0"/>
          <w:sz w:val="24"/>
          <w:szCs w:val="24"/>
          <w:highlight w:val="none"/>
          <w:lang w:val="en-US" w:eastAsia="zh-CN" w:bidi="ar"/>
        </w:rPr>
        <w:t>进行提取。</w:t>
      </w:r>
    </w:p>
    <w:p w14:paraId="76C367B5">
      <w:pPr>
        <w:pStyle w:val="3"/>
        <w:adjustRightInd/>
        <w:snapToGrid/>
        <w:spacing w:before="0"/>
        <w:ind w:firstLine="562" w:firstLineChars="200"/>
        <w:jc w:val="left"/>
        <w:rPr>
          <w:rFonts w:hint="eastAsia" w:ascii="宋体" w:hAnsi="宋体" w:eastAsia="宋体" w:cs="宋体"/>
          <w:b/>
          <w:color w:val="auto"/>
          <w:sz w:val="28"/>
          <w:szCs w:val="28"/>
          <w:lang w:val="en-US" w:eastAsia="zh-CN"/>
        </w:rPr>
      </w:pPr>
      <w:bookmarkStart w:id="26" w:name="_Toc25620"/>
      <w:r>
        <w:rPr>
          <w:rFonts w:hint="eastAsia" w:ascii="宋体" w:hAnsi="宋体" w:eastAsia="宋体" w:cs="宋体"/>
          <w:b/>
          <w:color w:val="auto"/>
          <w:sz w:val="28"/>
          <w:szCs w:val="28"/>
          <w:lang w:val="en-US" w:eastAsia="zh-CN"/>
        </w:rPr>
        <w:t>四、治理工程实施方式与时间安排</w:t>
      </w:r>
      <w:bookmarkEnd w:id="26"/>
    </w:p>
    <w:p w14:paraId="7C29D9EC">
      <w:pPr>
        <w:bidi w:val="0"/>
        <w:spacing w:line="360" w:lineRule="auto"/>
        <w:ind w:left="0" w:right="0" w:firstLine="480" w:firstLineChars="200"/>
        <w:rPr>
          <w:rFonts w:hint="eastAsia" w:asciiTheme="minorEastAsia" w:hAnsiTheme="minorEastAsia" w:eastAsiaTheme="minorEastAsia" w:cstheme="minorEastAsia"/>
          <w:b w:val="0"/>
          <w:bCs w:val="0"/>
          <w:color w:val="auto"/>
          <w:kern w:val="0"/>
          <w:sz w:val="24"/>
          <w:szCs w:val="24"/>
          <w:lang w:val="en-US" w:eastAsia="zh-CN"/>
        </w:rPr>
      </w:pPr>
      <w:r>
        <w:rPr>
          <w:rFonts w:hint="eastAsia" w:asciiTheme="minorEastAsia" w:hAnsiTheme="minorEastAsia" w:eastAsiaTheme="minorEastAsia" w:cstheme="minorEastAsia"/>
          <w:b w:val="0"/>
          <w:bCs w:val="0"/>
          <w:color w:val="auto"/>
          <w:kern w:val="0"/>
          <w:sz w:val="24"/>
          <w:szCs w:val="24"/>
          <w:lang w:val="en-US" w:eastAsia="zh-CN"/>
        </w:rPr>
        <w:t>本矿山采用自主施工实施方式，待《2026年度内蒙古金陶股份有限公司金厂沟梁金矿地质环境治理与土地复垦计划》公示完毕后，2026年4月开始进行施工，2026年10月施工完毕。</w:t>
      </w:r>
    </w:p>
    <w:p w14:paraId="3DBDB002">
      <w:pPr>
        <w:pStyle w:val="3"/>
        <w:adjustRightInd/>
        <w:snapToGrid/>
        <w:spacing w:before="0"/>
        <w:ind w:firstLine="562" w:firstLineChars="200"/>
        <w:jc w:val="left"/>
        <w:rPr>
          <w:rFonts w:hint="eastAsia" w:ascii="宋体" w:hAnsi="宋体" w:eastAsia="宋体" w:cs="宋体"/>
          <w:b/>
          <w:color w:val="auto"/>
          <w:sz w:val="28"/>
          <w:szCs w:val="28"/>
          <w:lang w:val="en-US" w:eastAsia="zh-CN"/>
        </w:rPr>
      </w:pPr>
      <w:bookmarkStart w:id="27" w:name="_Toc25049"/>
      <w:r>
        <w:rPr>
          <w:rFonts w:hint="eastAsia" w:ascii="宋体" w:hAnsi="宋体" w:eastAsia="宋体" w:cs="宋体"/>
          <w:b/>
          <w:color w:val="auto"/>
          <w:sz w:val="28"/>
          <w:szCs w:val="28"/>
          <w:lang w:val="en-US" w:eastAsia="zh-CN"/>
        </w:rPr>
        <w:t>五、组织机构及保障措施</w:t>
      </w:r>
      <w:bookmarkEnd w:id="27"/>
    </w:p>
    <w:p w14:paraId="1B514043">
      <w:pPr>
        <w:widowControl/>
        <w:adjustRightInd/>
        <w:snapToGrid/>
        <w:spacing w:line="360" w:lineRule="auto"/>
        <w:ind w:firstLine="482" w:firstLineChars="200"/>
        <w:jc w:val="left"/>
        <w:rPr>
          <w:rFonts w:hint="eastAsia" w:ascii="Times New Roman" w:hAnsi="Times New Roman" w:eastAsia="宋体" w:cs="Times New Roman"/>
          <w:b/>
          <w:color w:val="auto"/>
          <w:sz w:val="28"/>
          <w:szCs w:val="28"/>
          <w:lang w:val="en-US" w:eastAsia="zh-CN"/>
        </w:rPr>
      </w:pPr>
      <w:bookmarkStart w:id="28" w:name="_Toc2558"/>
      <w:bookmarkStart w:id="29" w:name="_Toc21659"/>
      <w:bookmarkStart w:id="30" w:name="_Toc29717"/>
      <w:bookmarkStart w:id="31" w:name="_Toc67468865"/>
      <w:bookmarkStart w:id="32" w:name="_Toc485030172"/>
      <w:r>
        <w:rPr>
          <w:rFonts w:hint="eastAsia" w:ascii="宋体" w:hAnsi="宋体" w:eastAsia="宋体" w:cs="宋体"/>
          <w:b/>
          <w:bCs/>
          <w:color w:val="auto"/>
          <w:kern w:val="0"/>
          <w:sz w:val="24"/>
          <w:szCs w:val="24"/>
          <w:lang w:val="en-US" w:eastAsia="zh-CN"/>
        </w:rPr>
        <w:t>（一）组织保障</w:t>
      </w:r>
      <w:bookmarkEnd w:id="28"/>
      <w:bookmarkEnd w:id="29"/>
      <w:bookmarkEnd w:id="30"/>
      <w:bookmarkEnd w:id="31"/>
      <w:bookmarkEnd w:id="32"/>
    </w:p>
    <w:p w14:paraId="3A81CA4A">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96"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建立以矿山主要领导为组长的综合治理领导组，成员包括：生产技术负</w:t>
      </w:r>
      <w:r>
        <w:rPr>
          <w:rFonts w:hint="eastAsia" w:asciiTheme="minorEastAsia" w:hAnsiTheme="minorEastAsia" w:eastAsiaTheme="minorEastAsia" w:cstheme="minorEastAsia"/>
          <w:spacing w:val="3"/>
          <w:sz w:val="24"/>
          <w:szCs w:val="24"/>
        </w:rPr>
        <w:t>责人，</w:t>
      </w:r>
      <w:r>
        <w:rPr>
          <w:rFonts w:hint="eastAsia" w:asciiTheme="minorEastAsia" w:hAnsiTheme="minorEastAsia" w:eastAsiaTheme="minorEastAsia" w:cstheme="minorEastAsia"/>
          <w:spacing w:val="4"/>
          <w:sz w:val="24"/>
          <w:szCs w:val="24"/>
        </w:rPr>
        <w:t>财务负责人，地质技术负责人等。进行合理分工，各负其责。并有</w:t>
      </w:r>
      <w:r>
        <w:rPr>
          <w:rFonts w:hint="eastAsia" w:asciiTheme="minorEastAsia" w:hAnsiTheme="minorEastAsia" w:eastAsiaTheme="minorEastAsia" w:cstheme="minorEastAsia"/>
          <w:spacing w:val="3"/>
          <w:sz w:val="24"/>
          <w:szCs w:val="24"/>
        </w:rPr>
        <w:t>一名副矿长专门</w:t>
      </w:r>
      <w:r>
        <w:rPr>
          <w:rFonts w:hint="eastAsia" w:asciiTheme="minorEastAsia" w:hAnsiTheme="minorEastAsia" w:eastAsiaTheme="minorEastAsia" w:cstheme="minorEastAsia"/>
          <w:spacing w:val="-4"/>
          <w:sz w:val="24"/>
          <w:szCs w:val="24"/>
        </w:rPr>
        <w:t>分管治理工作，责任到人。</w:t>
      </w:r>
    </w:p>
    <w:p w14:paraId="00E8C0A1">
      <w:pPr>
        <w:pStyle w:val="5"/>
        <w:spacing w:before="34" w:line="360" w:lineRule="auto"/>
        <w:ind w:left="1" w:right="184" w:firstLine="48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负责与市自然资源局接洽，宣传、贯彻、落实地质环境保护与土</w:t>
      </w:r>
      <w:r>
        <w:rPr>
          <w:rFonts w:hint="eastAsia" w:asciiTheme="minorEastAsia" w:hAnsiTheme="minorEastAsia" w:eastAsiaTheme="minorEastAsia" w:cstheme="minorEastAsia"/>
          <w:spacing w:val="3"/>
          <w:sz w:val="24"/>
          <w:szCs w:val="24"/>
        </w:rPr>
        <w:t>地复垦相关法</w:t>
      </w:r>
      <w:r>
        <w:rPr>
          <w:rFonts w:hint="eastAsia" w:asciiTheme="minorEastAsia" w:hAnsiTheme="minorEastAsia" w:eastAsiaTheme="minorEastAsia" w:cstheme="minorEastAsia"/>
          <w:spacing w:val="-9"/>
          <w:sz w:val="24"/>
          <w:szCs w:val="24"/>
        </w:rPr>
        <w:t>律政策。</w:t>
      </w:r>
    </w:p>
    <w:p w14:paraId="1DDEDD9B">
      <w:pPr>
        <w:pStyle w:val="5"/>
        <w:spacing w:before="36" w:line="352" w:lineRule="auto"/>
        <w:ind w:left="1" w:right="184" w:firstLine="48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负责制定地质环境保护与土地复垦规划和实施计划，并组织地质</w:t>
      </w:r>
      <w:r>
        <w:rPr>
          <w:rFonts w:hint="eastAsia" w:asciiTheme="minorEastAsia" w:hAnsiTheme="minorEastAsia" w:eastAsiaTheme="minorEastAsia" w:cstheme="minorEastAsia"/>
          <w:spacing w:val="3"/>
          <w:sz w:val="24"/>
          <w:szCs w:val="24"/>
        </w:rPr>
        <w:t>环境保护与土</w:t>
      </w:r>
      <w:r>
        <w:rPr>
          <w:rFonts w:hint="eastAsia" w:asciiTheme="minorEastAsia" w:hAnsiTheme="minorEastAsia" w:eastAsiaTheme="minorEastAsia" w:cstheme="minorEastAsia"/>
          <w:spacing w:val="4"/>
          <w:sz w:val="24"/>
          <w:szCs w:val="24"/>
        </w:rPr>
        <w:t>地复垦工程验收。根据工程实施进度安排，组织好地质环境保护与土</w:t>
      </w:r>
      <w:r>
        <w:rPr>
          <w:rFonts w:hint="eastAsia" w:asciiTheme="minorEastAsia" w:hAnsiTheme="minorEastAsia" w:eastAsiaTheme="minorEastAsia" w:cstheme="minorEastAsia"/>
          <w:spacing w:val="3"/>
          <w:sz w:val="24"/>
          <w:szCs w:val="24"/>
        </w:rPr>
        <w:t>地复垦工程的</w:t>
      </w:r>
      <w:r>
        <w:rPr>
          <w:rFonts w:hint="eastAsia" w:asciiTheme="minorEastAsia" w:hAnsiTheme="minorEastAsia" w:eastAsiaTheme="minorEastAsia" w:cstheme="minorEastAsia"/>
          <w:spacing w:val="4"/>
          <w:sz w:val="24"/>
          <w:szCs w:val="24"/>
        </w:rPr>
        <w:t>月度、年度、阶段性检查验收及竣工验收工作。每次复垦工程检查验</w:t>
      </w:r>
      <w:r>
        <w:rPr>
          <w:rFonts w:hint="eastAsia" w:asciiTheme="minorEastAsia" w:hAnsiTheme="minorEastAsia" w:eastAsiaTheme="minorEastAsia" w:cstheme="minorEastAsia"/>
          <w:spacing w:val="3"/>
          <w:sz w:val="24"/>
          <w:szCs w:val="24"/>
        </w:rPr>
        <w:t>收结果，及时</w:t>
      </w:r>
      <w:r>
        <w:rPr>
          <w:rFonts w:hint="eastAsia" w:asciiTheme="minorEastAsia" w:hAnsiTheme="minorEastAsia" w:eastAsiaTheme="minorEastAsia" w:cstheme="minorEastAsia"/>
          <w:spacing w:val="-1"/>
          <w:sz w:val="24"/>
          <w:szCs w:val="24"/>
        </w:rPr>
        <w:t>向主管领导汇报。年度、阶段性检查验收及竣工验收结果上报自然</w:t>
      </w:r>
      <w:r>
        <w:rPr>
          <w:rFonts w:hint="eastAsia" w:asciiTheme="minorEastAsia" w:hAnsiTheme="minorEastAsia" w:eastAsiaTheme="minorEastAsia" w:cstheme="minorEastAsia"/>
          <w:spacing w:val="-2"/>
          <w:sz w:val="24"/>
          <w:szCs w:val="24"/>
        </w:rPr>
        <w:t>资源主管部门。</w:t>
      </w:r>
    </w:p>
    <w:p w14:paraId="376D8C41">
      <w:pPr>
        <w:pStyle w:val="5"/>
        <w:spacing w:before="35" w:line="352" w:lineRule="auto"/>
        <w:ind w:right="184" w:firstLine="49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负责选取地质环境保护与土地复垦工程实施单位，并全程监督土</w:t>
      </w:r>
      <w:r>
        <w:rPr>
          <w:rFonts w:hint="eastAsia" w:asciiTheme="minorEastAsia" w:hAnsiTheme="minorEastAsia" w:eastAsiaTheme="minorEastAsia" w:cstheme="minorEastAsia"/>
          <w:spacing w:val="3"/>
          <w:sz w:val="24"/>
          <w:szCs w:val="24"/>
        </w:rPr>
        <w:t>地复垦工程实</w:t>
      </w:r>
      <w:r>
        <w:rPr>
          <w:rFonts w:hint="eastAsia" w:asciiTheme="minorEastAsia" w:hAnsiTheme="minorEastAsia" w:eastAsiaTheme="minorEastAsia" w:cstheme="minorEastAsia"/>
          <w:spacing w:val="4"/>
          <w:sz w:val="24"/>
          <w:szCs w:val="24"/>
        </w:rPr>
        <w:t>施。严格按照建设工程招投标制度，选择和确定施工单位，在工程发包</w:t>
      </w:r>
      <w:r>
        <w:rPr>
          <w:rFonts w:hint="eastAsia" w:asciiTheme="minorEastAsia" w:hAnsiTheme="minorEastAsia" w:eastAsiaTheme="minorEastAsia" w:cstheme="minorEastAsia"/>
          <w:spacing w:val="3"/>
          <w:sz w:val="24"/>
          <w:szCs w:val="24"/>
        </w:rPr>
        <w:t>标书中包含土地复垦目标与验收要求。对不按实施计划施工、施工不符合要求的情况</w:t>
      </w:r>
      <w:r>
        <w:rPr>
          <w:rFonts w:hint="eastAsia" w:asciiTheme="minorEastAsia" w:hAnsiTheme="minorEastAsia" w:eastAsiaTheme="minorEastAsia" w:cstheme="minorEastAsia"/>
          <w:spacing w:val="2"/>
          <w:sz w:val="24"/>
          <w:szCs w:val="24"/>
        </w:rPr>
        <w:t>，一次、</w:t>
      </w:r>
      <w:r>
        <w:rPr>
          <w:rFonts w:hint="eastAsia" w:asciiTheme="minorEastAsia" w:hAnsiTheme="minorEastAsia" w:eastAsiaTheme="minorEastAsia" w:cstheme="minorEastAsia"/>
          <w:spacing w:val="-1"/>
          <w:sz w:val="24"/>
          <w:szCs w:val="24"/>
        </w:rPr>
        <w:t>两次予以警告，三次不符合要求解除与施工单位的合同，重新招标</w:t>
      </w:r>
      <w:r>
        <w:rPr>
          <w:rFonts w:hint="eastAsia" w:asciiTheme="minorEastAsia" w:hAnsiTheme="minorEastAsia" w:eastAsiaTheme="minorEastAsia" w:cstheme="minorEastAsia"/>
          <w:spacing w:val="-2"/>
          <w:sz w:val="24"/>
          <w:szCs w:val="24"/>
        </w:rPr>
        <w:t>选择施工单位。</w:t>
      </w:r>
    </w:p>
    <w:p w14:paraId="16E15160">
      <w:pPr>
        <w:pStyle w:val="5"/>
        <w:spacing w:before="35" w:line="353" w:lineRule="auto"/>
        <w:ind w:firstLine="490"/>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4"/>
          <w:sz w:val="24"/>
          <w:szCs w:val="24"/>
        </w:rPr>
        <w:t>负责土地复垦资金调配。做好国土资源主管部门、公司财务等相</w:t>
      </w:r>
      <w:r>
        <w:rPr>
          <w:rFonts w:hint="eastAsia" w:asciiTheme="minorEastAsia" w:hAnsiTheme="minorEastAsia" w:eastAsiaTheme="minorEastAsia" w:cstheme="minorEastAsia"/>
          <w:spacing w:val="3"/>
          <w:sz w:val="24"/>
          <w:szCs w:val="24"/>
        </w:rPr>
        <w:t>关部门、地质</w:t>
      </w:r>
      <w:r>
        <w:rPr>
          <w:rFonts w:hint="eastAsia" w:asciiTheme="minorEastAsia" w:hAnsiTheme="minorEastAsia" w:eastAsiaTheme="minorEastAsia" w:cstheme="minorEastAsia"/>
          <w:spacing w:val="4"/>
          <w:sz w:val="24"/>
          <w:szCs w:val="24"/>
        </w:rPr>
        <w:t>环境治理、土地复垦工程施工单位之间的协调工作，确保治理、复垦资</w:t>
      </w:r>
      <w:r>
        <w:rPr>
          <w:rFonts w:hint="eastAsia" w:asciiTheme="minorEastAsia" w:hAnsiTheme="minorEastAsia" w:eastAsiaTheme="minorEastAsia" w:cstheme="minorEastAsia"/>
          <w:spacing w:val="3"/>
          <w:sz w:val="24"/>
          <w:szCs w:val="24"/>
        </w:rPr>
        <w:t>金及时、足</w:t>
      </w:r>
      <w:r>
        <w:rPr>
          <w:rFonts w:hint="eastAsia" w:asciiTheme="minorEastAsia" w:hAnsiTheme="minorEastAsia" w:eastAsiaTheme="minorEastAsia" w:cstheme="minorEastAsia"/>
          <w:spacing w:val="2"/>
          <w:sz w:val="24"/>
          <w:szCs w:val="24"/>
        </w:rPr>
        <w:t>额到位，并切实用于治理、土地复垦工作。每一笔治理、土地复垦资金的使用情况，</w:t>
      </w:r>
      <w:r>
        <w:rPr>
          <w:rFonts w:hint="eastAsia" w:asciiTheme="minorEastAsia" w:hAnsiTheme="minorEastAsia" w:eastAsiaTheme="minorEastAsia" w:cstheme="minorEastAsia"/>
          <w:spacing w:val="-1"/>
          <w:sz w:val="24"/>
          <w:szCs w:val="24"/>
        </w:rPr>
        <w:t>及时向主管领导汇报。年度、阶段性及总体资金审计结果上报国土</w:t>
      </w:r>
      <w:r>
        <w:rPr>
          <w:rFonts w:hint="eastAsia" w:asciiTheme="minorEastAsia" w:hAnsiTheme="minorEastAsia" w:eastAsiaTheme="minorEastAsia" w:cstheme="minorEastAsia"/>
          <w:spacing w:val="-2"/>
          <w:sz w:val="24"/>
          <w:szCs w:val="24"/>
        </w:rPr>
        <w:t>资源主管部门。</w:t>
      </w:r>
    </w:p>
    <w:p w14:paraId="3B3436FB">
      <w:pPr>
        <w:widowControl/>
        <w:numPr>
          <w:ilvl w:val="0"/>
          <w:numId w:val="0"/>
        </w:numPr>
        <w:adjustRightInd/>
        <w:snapToGrid/>
        <w:spacing w:line="360" w:lineRule="auto"/>
        <w:ind w:leftChars="200"/>
        <w:jc w:val="left"/>
        <w:rPr>
          <w:rFonts w:hint="eastAsia" w:asciiTheme="minorEastAsia" w:hAnsiTheme="minorEastAsia" w:eastAsiaTheme="minorEastAsia" w:cstheme="minorEastAsia"/>
          <w:b/>
          <w:bCs/>
          <w:color w:val="auto"/>
          <w:kern w:val="0"/>
          <w:sz w:val="24"/>
          <w:szCs w:val="24"/>
          <w:lang w:val="en-US" w:eastAsia="zh-CN"/>
        </w:rPr>
      </w:pPr>
      <w:bookmarkStart w:id="33" w:name="_Toc31459"/>
      <w:r>
        <w:rPr>
          <w:rFonts w:hint="eastAsia" w:asciiTheme="minorEastAsia" w:hAnsiTheme="minorEastAsia" w:eastAsiaTheme="minorEastAsia" w:cstheme="minorEastAsia"/>
          <w:b/>
          <w:bCs/>
          <w:color w:val="auto"/>
          <w:kern w:val="0"/>
          <w:sz w:val="24"/>
          <w:szCs w:val="24"/>
          <w:lang w:val="en-US" w:eastAsia="zh-CN"/>
        </w:rPr>
        <w:t>（二）技术保障</w:t>
      </w:r>
      <w:bookmarkEnd w:id="33"/>
    </w:p>
    <w:p w14:paraId="4763082C">
      <w:pPr>
        <w:widowControl/>
        <w:numPr>
          <w:ilvl w:val="0"/>
          <w:numId w:val="0"/>
        </w:numPr>
        <w:adjustRightInd/>
        <w:snapToGrid/>
        <w:spacing w:line="360" w:lineRule="auto"/>
        <w:ind w:firstLine="496"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加强对矿山企业技术人员的培训，组织专家咨询研讨，开展试验示范研究，引</w:t>
      </w:r>
      <w:r>
        <w:rPr>
          <w:rFonts w:hint="eastAsia" w:asciiTheme="minorEastAsia" w:hAnsiTheme="minorEastAsia" w:eastAsiaTheme="minorEastAsia" w:cstheme="minorEastAsia"/>
          <w:spacing w:val="-3"/>
          <w:sz w:val="24"/>
          <w:szCs w:val="24"/>
        </w:rPr>
        <w:t>进先进技术，跟踪监测，追踪绩效。</w:t>
      </w:r>
    </w:p>
    <w:p w14:paraId="114DFFA0">
      <w:pPr>
        <w:pStyle w:val="5"/>
        <w:spacing w:before="34" w:line="360" w:lineRule="auto"/>
        <w:ind w:left="2" w:right="186" w:firstLine="49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1、及时编制各阶段的实施方案，明确细化各阶段的目标任务。根据地质环</w:t>
      </w:r>
      <w:r>
        <w:rPr>
          <w:rFonts w:hint="eastAsia" w:asciiTheme="minorEastAsia" w:hAnsiTheme="minorEastAsia" w:eastAsiaTheme="minorEastAsia" w:cstheme="minorEastAsia"/>
          <w:spacing w:val="-1"/>
          <w:sz w:val="24"/>
          <w:szCs w:val="24"/>
        </w:rPr>
        <w:t>境保</w:t>
      </w:r>
      <w:r>
        <w:rPr>
          <w:rFonts w:hint="eastAsia" w:asciiTheme="minorEastAsia" w:hAnsiTheme="minorEastAsia" w:eastAsiaTheme="minorEastAsia" w:cstheme="minorEastAsia"/>
          <w:spacing w:val="4"/>
          <w:sz w:val="24"/>
          <w:szCs w:val="24"/>
        </w:rPr>
        <w:t>护与土地复垦方案报告书确定的工程实施进度安排，编制地质环境</w:t>
      </w:r>
      <w:r>
        <w:rPr>
          <w:rFonts w:hint="eastAsia" w:asciiTheme="minorEastAsia" w:hAnsiTheme="minorEastAsia" w:eastAsiaTheme="minorEastAsia" w:cstheme="minorEastAsia"/>
          <w:spacing w:val="3"/>
          <w:sz w:val="24"/>
          <w:szCs w:val="24"/>
        </w:rPr>
        <w:t>保护与土地复垦</w:t>
      </w:r>
      <w:r>
        <w:rPr>
          <w:rFonts w:hint="eastAsia" w:asciiTheme="minorEastAsia" w:hAnsiTheme="minorEastAsia" w:eastAsiaTheme="minorEastAsia" w:cstheme="minorEastAsia"/>
          <w:spacing w:val="-2"/>
          <w:sz w:val="24"/>
          <w:szCs w:val="24"/>
        </w:rPr>
        <w:t>实施方案，并编制相应的五年规划实施大纲和年度实施计划。</w:t>
      </w:r>
    </w:p>
    <w:p w14:paraId="25DC0D82">
      <w:pPr>
        <w:pStyle w:val="5"/>
        <w:spacing w:before="48"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2、加强监测，适时调整工程实施进度及内容。</w:t>
      </w:r>
      <w:r>
        <w:rPr>
          <w:rFonts w:hint="eastAsia" w:asciiTheme="minorEastAsia" w:hAnsiTheme="minorEastAsia" w:eastAsiaTheme="minorEastAsia" w:cstheme="minorEastAsia"/>
          <w:sz w:val="24"/>
          <w:szCs w:val="24"/>
        </w:rPr>
        <w:t>由于地质环境保护与土地复垦工</w:t>
      </w:r>
      <w:r>
        <w:rPr>
          <w:rFonts w:hint="eastAsia" w:asciiTheme="minorEastAsia" w:hAnsiTheme="minorEastAsia" w:eastAsiaTheme="minorEastAsia" w:cstheme="minorEastAsia"/>
          <w:spacing w:val="4"/>
          <w:sz w:val="24"/>
          <w:szCs w:val="24"/>
        </w:rPr>
        <w:t>程实施周期长、不确定性因素多，需要加强对地质环境、土地损毁情况</w:t>
      </w:r>
      <w:r>
        <w:rPr>
          <w:rFonts w:hint="eastAsia" w:asciiTheme="minorEastAsia" w:hAnsiTheme="minorEastAsia" w:eastAsiaTheme="minorEastAsia" w:cstheme="minorEastAsia"/>
          <w:spacing w:val="3"/>
          <w:sz w:val="24"/>
          <w:szCs w:val="24"/>
        </w:rPr>
        <w:t>和地质环境</w:t>
      </w:r>
      <w:r>
        <w:rPr>
          <w:rFonts w:hint="eastAsia" w:asciiTheme="minorEastAsia" w:hAnsiTheme="minorEastAsia" w:eastAsiaTheme="minorEastAsia" w:cstheme="minorEastAsia"/>
          <w:spacing w:val="4"/>
          <w:sz w:val="24"/>
          <w:szCs w:val="24"/>
        </w:rPr>
        <w:t>状况、复垦效果的监测。根据监测结果，若发生较大变化，应每五年修</w:t>
      </w:r>
      <w:r>
        <w:rPr>
          <w:rFonts w:hint="eastAsia" w:asciiTheme="minorEastAsia" w:hAnsiTheme="minorEastAsia" w:eastAsiaTheme="minorEastAsia" w:cstheme="minorEastAsia"/>
          <w:spacing w:val="3"/>
          <w:sz w:val="24"/>
          <w:szCs w:val="24"/>
        </w:rPr>
        <w:t>编治理、复</w:t>
      </w:r>
      <w:r>
        <w:rPr>
          <w:rFonts w:hint="eastAsia" w:asciiTheme="minorEastAsia" w:hAnsiTheme="minorEastAsia" w:eastAsiaTheme="minorEastAsia" w:cstheme="minorEastAsia"/>
          <w:spacing w:val="-3"/>
          <w:sz w:val="24"/>
          <w:szCs w:val="24"/>
        </w:rPr>
        <w:t>垦工程实施大纲或年度实施计划。</w:t>
      </w:r>
    </w:p>
    <w:p w14:paraId="44781EA8">
      <w:pPr>
        <w:pStyle w:val="5"/>
        <w:spacing w:line="360" w:lineRule="auto"/>
        <w:ind w:right="0" w:firstLine="480" w:firstLineChars="200"/>
        <w:jc w:val="both"/>
        <w:rPr>
          <w:rFonts w:hint="eastAsia" w:asciiTheme="minorEastAsia" w:hAnsiTheme="minorEastAsia" w:eastAsiaTheme="minorEastAsia" w:cstheme="minorEastAsia"/>
          <w:spacing w:val="2"/>
          <w:sz w:val="24"/>
          <w:szCs w:val="24"/>
          <w:lang w:eastAsia="zh-CN"/>
        </w:rPr>
      </w:pPr>
      <w:r>
        <w:rPr>
          <w:rFonts w:hint="eastAsia" w:asciiTheme="minorEastAsia" w:hAnsiTheme="minorEastAsia" w:eastAsiaTheme="minorEastAsia" w:cstheme="minorEastAsia"/>
          <w:sz w:val="24"/>
          <w:szCs w:val="24"/>
        </w:rPr>
        <w:t>3、指定专门技术人员全程参与地质环境保护与土地复垦工作。公司指定一名有</w:t>
      </w:r>
      <w:r>
        <w:rPr>
          <w:rFonts w:hint="eastAsia" w:asciiTheme="minorEastAsia" w:hAnsiTheme="minorEastAsia" w:eastAsiaTheme="minorEastAsia" w:cstheme="minorEastAsia"/>
          <w:spacing w:val="4"/>
          <w:sz w:val="24"/>
          <w:szCs w:val="24"/>
        </w:rPr>
        <w:t>环境治理或土地复垦方面专业背景或实践经验的技术人员，从地质环</w:t>
      </w:r>
      <w:r>
        <w:rPr>
          <w:rFonts w:hint="eastAsia" w:asciiTheme="minorEastAsia" w:hAnsiTheme="minorEastAsia" w:eastAsiaTheme="minorEastAsia" w:cstheme="minorEastAsia"/>
          <w:spacing w:val="3"/>
          <w:sz w:val="24"/>
          <w:szCs w:val="24"/>
        </w:rPr>
        <w:t>境保护与土地</w:t>
      </w:r>
      <w:r>
        <w:rPr>
          <w:rFonts w:hint="eastAsia" w:asciiTheme="minorEastAsia" w:hAnsiTheme="minorEastAsia" w:eastAsiaTheme="minorEastAsia" w:cstheme="minorEastAsia"/>
          <w:spacing w:val="4"/>
          <w:sz w:val="24"/>
          <w:szCs w:val="24"/>
        </w:rPr>
        <w:t>复垦方案编制阶段开始就介入，与方案编制单位的沟通与交流，了解</w:t>
      </w:r>
      <w:r>
        <w:rPr>
          <w:rFonts w:hint="eastAsia" w:asciiTheme="minorEastAsia" w:hAnsiTheme="minorEastAsia" w:eastAsiaTheme="minorEastAsia" w:cstheme="minorEastAsia"/>
          <w:spacing w:val="3"/>
          <w:sz w:val="24"/>
          <w:szCs w:val="24"/>
        </w:rPr>
        <w:t>方案中的技术</w:t>
      </w:r>
      <w:r>
        <w:rPr>
          <w:rFonts w:hint="eastAsia" w:asciiTheme="minorEastAsia" w:hAnsiTheme="minorEastAsia" w:eastAsiaTheme="minorEastAsia" w:cstheme="minorEastAsia"/>
          <w:spacing w:val="4"/>
          <w:sz w:val="24"/>
          <w:szCs w:val="24"/>
        </w:rPr>
        <w:t>要点。地质环境保护与复垦工程实施过程中，该技术人员加强与工程</w:t>
      </w:r>
      <w:r>
        <w:rPr>
          <w:rFonts w:hint="eastAsia" w:asciiTheme="minorEastAsia" w:hAnsiTheme="minorEastAsia" w:eastAsiaTheme="minorEastAsia" w:cstheme="minorEastAsia"/>
          <w:spacing w:val="3"/>
          <w:sz w:val="24"/>
          <w:szCs w:val="24"/>
        </w:rPr>
        <w:t>施工单位的联系，全面了解工程实施进度及效果，并及时对复垦工程后期实施</w:t>
      </w:r>
      <w:r>
        <w:rPr>
          <w:rFonts w:hint="eastAsia" w:asciiTheme="minorEastAsia" w:hAnsiTheme="minorEastAsia" w:eastAsiaTheme="minorEastAsia" w:cstheme="minorEastAsia"/>
          <w:spacing w:val="2"/>
          <w:sz w:val="24"/>
          <w:szCs w:val="24"/>
        </w:rPr>
        <w:t>计划提出调整建议</w:t>
      </w:r>
      <w:r>
        <w:rPr>
          <w:rFonts w:hint="eastAsia" w:asciiTheme="minorEastAsia" w:hAnsiTheme="minorEastAsia" w:eastAsiaTheme="minorEastAsia" w:cstheme="minorEastAsia"/>
          <w:spacing w:val="2"/>
          <w:sz w:val="24"/>
          <w:szCs w:val="24"/>
          <w:lang w:eastAsia="zh-CN"/>
        </w:rPr>
        <w:t>。</w:t>
      </w:r>
      <w:bookmarkStart w:id="34" w:name="_Toc485030174"/>
      <w:bookmarkStart w:id="35" w:name="_Toc67468867"/>
      <w:bookmarkStart w:id="36" w:name="_Toc7335"/>
      <w:bookmarkStart w:id="37" w:name="_Toc13132"/>
      <w:bookmarkStart w:id="38" w:name="_Toc30437"/>
    </w:p>
    <w:p w14:paraId="18CF96E1">
      <w:pPr>
        <w:pStyle w:val="5"/>
        <w:spacing w:line="360" w:lineRule="auto"/>
        <w:ind w:right="0" w:firstLine="482" w:firstLineChars="200"/>
        <w:jc w:val="both"/>
        <w:rPr>
          <w:rFonts w:hint="eastAsia" w:asciiTheme="minorEastAsia" w:hAnsiTheme="minorEastAsia" w:eastAsiaTheme="minorEastAsia" w:cstheme="minorEastAsia"/>
          <w:b/>
          <w:bCs/>
          <w:color w:val="auto"/>
          <w:kern w:val="0"/>
          <w:sz w:val="24"/>
          <w:szCs w:val="24"/>
          <w:lang w:val="en-US" w:eastAsia="zh-CN"/>
        </w:rPr>
      </w:pPr>
      <w:r>
        <w:rPr>
          <w:rFonts w:hint="eastAsia" w:asciiTheme="minorEastAsia" w:hAnsiTheme="minorEastAsia" w:eastAsiaTheme="minorEastAsia" w:cstheme="minorEastAsia"/>
          <w:b/>
          <w:bCs/>
          <w:color w:val="auto"/>
          <w:kern w:val="0"/>
          <w:sz w:val="24"/>
          <w:szCs w:val="24"/>
          <w:lang w:val="en-US" w:eastAsia="zh-CN"/>
        </w:rPr>
        <w:t>（三）资金保障</w:t>
      </w:r>
      <w:bookmarkEnd w:id="34"/>
      <w:bookmarkEnd w:id="35"/>
      <w:bookmarkEnd w:id="36"/>
      <w:bookmarkEnd w:id="37"/>
      <w:bookmarkEnd w:id="38"/>
    </w:p>
    <w:p w14:paraId="4F0D4BA5">
      <w:pPr>
        <w:widowControl/>
        <w:adjustRightInd/>
        <w:snapToGrid/>
        <w:spacing w:line="360" w:lineRule="auto"/>
        <w:ind w:left="0" w:leftChars="0" w:right="0" w:firstLine="496"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落实基金制度，为保证这些恢复治理及土地复垦工作能落到实处，矿方要认真</w:t>
      </w:r>
      <w:r>
        <w:rPr>
          <w:rFonts w:hint="eastAsia" w:asciiTheme="minorEastAsia" w:hAnsiTheme="minorEastAsia" w:eastAsiaTheme="minorEastAsia" w:cstheme="minorEastAsia"/>
          <w:spacing w:val="-2"/>
          <w:sz w:val="24"/>
          <w:szCs w:val="24"/>
        </w:rPr>
        <w:t>落实矿山环境保护与治理基金制度，认真落实矿山地质环境治理方案。</w:t>
      </w:r>
    </w:p>
    <w:p w14:paraId="4CF6E016">
      <w:pPr>
        <w:pStyle w:val="5"/>
        <w:spacing w:line="360" w:lineRule="auto"/>
        <w:ind w:right="0" w:firstLine="0" w:firstLineChars="0"/>
        <w:rPr>
          <w:rFonts w:hint="eastAsia" w:asciiTheme="minorEastAsia" w:hAnsiTheme="minorEastAsia" w:eastAsiaTheme="minorEastAsia" w:cstheme="minorEastAsia"/>
          <w:spacing w:val="-1"/>
          <w:sz w:val="24"/>
          <w:szCs w:val="24"/>
        </w:rPr>
      </w:pPr>
      <w:r>
        <w:rPr>
          <w:rFonts w:hint="eastAsia" w:asciiTheme="minorEastAsia" w:hAnsiTheme="minorEastAsia" w:eastAsiaTheme="minorEastAsia" w:cstheme="minorEastAsia"/>
          <w:spacing w:val="4"/>
          <w:sz w:val="24"/>
          <w:szCs w:val="24"/>
        </w:rPr>
        <w:t>矿方必须高度重视矿山环境保护与环境问题治理工作，按该方案制定的治理规</w:t>
      </w:r>
      <w:r>
        <w:rPr>
          <w:rFonts w:hint="eastAsia" w:asciiTheme="minorEastAsia" w:hAnsiTheme="minorEastAsia" w:eastAsiaTheme="minorEastAsia" w:cstheme="minorEastAsia"/>
          <w:sz w:val="24"/>
          <w:szCs w:val="24"/>
        </w:rPr>
        <w:t>划，分期分批把治理资金纳入每个年度预算之中，确保各项</w:t>
      </w:r>
      <w:r>
        <w:rPr>
          <w:rFonts w:hint="eastAsia" w:asciiTheme="minorEastAsia" w:hAnsiTheme="minorEastAsia" w:eastAsiaTheme="minorEastAsia" w:cstheme="minorEastAsia"/>
          <w:spacing w:val="-1"/>
          <w:sz w:val="24"/>
          <w:szCs w:val="24"/>
        </w:rPr>
        <w:t>治理工作能落实到位。</w:t>
      </w:r>
    </w:p>
    <w:p w14:paraId="70B56EEF">
      <w:pPr>
        <w:widowControl/>
        <w:numPr>
          <w:ilvl w:val="0"/>
          <w:numId w:val="0"/>
        </w:numPr>
        <w:adjustRightInd/>
        <w:snapToGrid/>
        <w:spacing w:line="360" w:lineRule="auto"/>
        <w:ind w:leftChars="200"/>
        <w:jc w:val="left"/>
        <w:rPr>
          <w:rFonts w:hint="eastAsia" w:asciiTheme="minorEastAsia" w:hAnsiTheme="minorEastAsia" w:eastAsiaTheme="minorEastAsia" w:cstheme="minorEastAsia"/>
          <w:b/>
          <w:bCs/>
          <w:color w:val="auto"/>
          <w:kern w:val="0"/>
          <w:sz w:val="24"/>
          <w:szCs w:val="24"/>
          <w:lang w:val="en-US" w:eastAsia="zh-CN"/>
        </w:rPr>
      </w:pPr>
      <w:bookmarkStart w:id="39" w:name="_Toc67468868"/>
      <w:bookmarkStart w:id="40" w:name="_Toc24758"/>
      <w:r>
        <w:rPr>
          <w:rFonts w:hint="eastAsia" w:asciiTheme="minorEastAsia" w:hAnsiTheme="minorEastAsia" w:eastAsiaTheme="minorEastAsia" w:cstheme="minorEastAsia"/>
          <w:b/>
          <w:bCs/>
          <w:color w:val="auto"/>
          <w:kern w:val="0"/>
          <w:sz w:val="24"/>
          <w:szCs w:val="24"/>
          <w:lang w:val="en-US" w:eastAsia="zh-CN"/>
        </w:rPr>
        <w:t>（四）监管保障</w:t>
      </w:r>
      <w:bookmarkEnd w:id="39"/>
      <w:bookmarkEnd w:id="40"/>
    </w:p>
    <w:p w14:paraId="38FE2688">
      <w:pPr>
        <w:widowControl/>
        <w:numPr>
          <w:ilvl w:val="0"/>
          <w:numId w:val="0"/>
        </w:numPr>
        <w:adjustRightInd/>
        <w:snapToGrid/>
        <w:spacing w:line="360" w:lineRule="auto"/>
        <w:ind w:left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1、建立健全组织机构及管理制度</w:t>
      </w:r>
    </w:p>
    <w:p w14:paraId="302E5DEC">
      <w:pPr>
        <w:pStyle w:val="5"/>
        <w:spacing w:before="182" w:line="360" w:lineRule="auto"/>
        <w:ind w:left="0" w:leftChars="0" w:right="203" w:firstLine="496"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建立以矿山主要领导为组长的恢复治理及土地复垦领导小组，成员包括：生产技术负责人、财务负责人、地质技术负责人、环保负责人、水土保</w:t>
      </w:r>
      <w:r>
        <w:rPr>
          <w:rFonts w:hint="eastAsia" w:asciiTheme="minorEastAsia" w:hAnsiTheme="minorEastAsia" w:eastAsiaTheme="minorEastAsia" w:cstheme="minorEastAsia"/>
          <w:spacing w:val="3"/>
          <w:sz w:val="24"/>
          <w:szCs w:val="24"/>
        </w:rPr>
        <w:t>持负责人等。进</w:t>
      </w:r>
      <w:r>
        <w:rPr>
          <w:rFonts w:hint="eastAsia" w:asciiTheme="minorEastAsia" w:hAnsiTheme="minorEastAsia" w:eastAsiaTheme="minorEastAsia" w:cstheme="minorEastAsia"/>
          <w:spacing w:val="-1"/>
          <w:sz w:val="24"/>
          <w:szCs w:val="24"/>
        </w:rPr>
        <w:t>行合理分工，各负其责。并有一名副矿长专门</w:t>
      </w:r>
      <w:r>
        <w:rPr>
          <w:rFonts w:hint="eastAsia" w:asciiTheme="minorEastAsia" w:hAnsiTheme="minorEastAsia" w:eastAsiaTheme="minorEastAsia" w:cstheme="minorEastAsia"/>
          <w:spacing w:val="-2"/>
          <w:sz w:val="24"/>
          <w:szCs w:val="24"/>
        </w:rPr>
        <w:t>分管治理工作，责任到人。</w:t>
      </w:r>
    </w:p>
    <w:p w14:paraId="2F1429F8">
      <w:pPr>
        <w:pStyle w:val="5"/>
        <w:spacing w:before="37" w:line="360" w:lineRule="auto"/>
        <w:ind w:left="1" w:right="203"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制定严格的管理制度，使领导小组工作能正常开展，不能流于形式。领导小组要把恢复治理及土地复垦工作纳入矿区重要议事日程，把恢复治理</w:t>
      </w:r>
      <w:r>
        <w:rPr>
          <w:rFonts w:hint="eastAsia" w:asciiTheme="minorEastAsia" w:hAnsiTheme="minorEastAsia" w:eastAsiaTheme="minorEastAsia" w:cstheme="minorEastAsia"/>
          <w:spacing w:val="3"/>
          <w:sz w:val="24"/>
          <w:szCs w:val="24"/>
        </w:rPr>
        <w:t>及土地复垦工作</w:t>
      </w:r>
      <w:r>
        <w:rPr>
          <w:rFonts w:hint="eastAsia" w:asciiTheme="minorEastAsia" w:hAnsiTheme="minorEastAsia" w:eastAsiaTheme="minorEastAsia" w:cstheme="minorEastAsia"/>
          <w:spacing w:val="4"/>
          <w:sz w:val="24"/>
          <w:szCs w:val="24"/>
        </w:rPr>
        <w:t>贯穿到各种生产当中，让全体员工了解矿山地质环境保护与恢复治</w:t>
      </w:r>
      <w:r>
        <w:rPr>
          <w:rFonts w:hint="eastAsia" w:asciiTheme="minorEastAsia" w:hAnsiTheme="minorEastAsia" w:eastAsiaTheme="minorEastAsia" w:cstheme="minorEastAsia"/>
          <w:spacing w:val="3"/>
          <w:sz w:val="24"/>
          <w:szCs w:val="24"/>
        </w:rPr>
        <w:t>理及土地复垦方</w:t>
      </w:r>
      <w:r>
        <w:rPr>
          <w:rFonts w:hint="eastAsia" w:asciiTheme="minorEastAsia" w:hAnsiTheme="minorEastAsia" w:eastAsiaTheme="minorEastAsia" w:cstheme="minorEastAsia"/>
          <w:spacing w:val="-1"/>
          <w:sz w:val="24"/>
          <w:szCs w:val="24"/>
        </w:rPr>
        <w:t>案，把恢复治理及土地复垦工作落实到矿区生产的每个</w:t>
      </w:r>
      <w:r>
        <w:rPr>
          <w:rFonts w:hint="eastAsia" w:asciiTheme="minorEastAsia" w:hAnsiTheme="minorEastAsia" w:eastAsiaTheme="minorEastAsia" w:cstheme="minorEastAsia"/>
          <w:spacing w:val="-2"/>
          <w:sz w:val="24"/>
          <w:szCs w:val="24"/>
        </w:rPr>
        <w:t>环节。确保治理效果。</w:t>
      </w:r>
    </w:p>
    <w:p w14:paraId="3F27BF7E">
      <w:pPr>
        <w:pStyle w:val="5"/>
        <w:spacing w:before="34" w:line="221"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2、建立基金制度，确保谁破坏谁治理落到实处</w:t>
      </w:r>
    </w:p>
    <w:p w14:paraId="0CDF06A0">
      <w:pPr>
        <w:pStyle w:val="5"/>
        <w:spacing w:before="183" w:line="350" w:lineRule="auto"/>
        <w:ind w:left="1" w:right="203" w:firstLine="48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为了保证这些恢复治理及土地复垦工作能落到实处，矿方要认真落实内蒙古自治区矿山地质环境治理基金制度，按有关规定按时上交基金，认真</w:t>
      </w:r>
      <w:r>
        <w:rPr>
          <w:rFonts w:hint="eastAsia" w:asciiTheme="minorEastAsia" w:hAnsiTheme="minorEastAsia" w:eastAsiaTheme="minorEastAsia" w:cstheme="minorEastAsia"/>
          <w:spacing w:val="3"/>
          <w:sz w:val="24"/>
          <w:szCs w:val="24"/>
        </w:rPr>
        <w:t>落实矿山地质环</w:t>
      </w:r>
      <w:r>
        <w:rPr>
          <w:rFonts w:hint="eastAsia" w:asciiTheme="minorEastAsia" w:hAnsiTheme="minorEastAsia" w:eastAsiaTheme="minorEastAsia" w:cstheme="minorEastAsia"/>
          <w:spacing w:val="-3"/>
          <w:sz w:val="24"/>
          <w:szCs w:val="24"/>
        </w:rPr>
        <w:t>境保护与恢复治理及土地复垦方案。</w:t>
      </w:r>
    </w:p>
    <w:p w14:paraId="117EC04D">
      <w:pPr>
        <w:pStyle w:val="5"/>
        <w:spacing w:before="34" w:line="221"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3、建立有效的质量保证体系</w:t>
      </w:r>
    </w:p>
    <w:p w14:paraId="29A9509D">
      <w:pPr>
        <w:pStyle w:val="5"/>
        <w:spacing w:before="178" w:line="220" w:lineRule="auto"/>
        <w:jc w:val="both"/>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pacing w:val="3"/>
          <w:sz w:val="24"/>
          <w:szCs w:val="24"/>
        </w:rPr>
        <w:t>建立施工质量管理机构，负责施工阶段的现场质量监管</w:t>
      </w:r>
      <w:r>
        <w:rPr>
          <w:rFonts w:hint="eastAsia" w:asciiTheme="minorEastAsia" w:hAnsiTheme="minorEastAsia" w:eastAsiaTheme="minorEastAsia" w:cstheme="minorEastAsia"/>
          <w:spacing w:val="3"/>
          <w:sz w:val="24"/>
          <w:szCs w:val="24"/>
          <w:lang w:eastAsia="zh-CN"/>
        </w:rPr>
        <w:t>。</w:t>
      </w:r>
      <w:r>
        <w:rPr>
          <w:rFonts w:hint="eastAsia" w:asciiTheme="minorEastAsia" w:hAnsiTheme="minorEastAsia" w:eastAsiaTheme="minorEastAsia" w:cstheme="minorEastAsia"/>
          <w:spacing w:val="3"/>
          <w:sz w:val="24"/>
          <w:szCs w:val="24"/>
        </w:rPr>
        <w:t>从源头保证</w:t>
      </w:r>
      <w:r>
        <w:rPr>
          <w:rFonts w:hint="eastAsia" w:asciiTheme="minorEastAsia" w:hAnsiTheme="minorEastAsia" w:eastAsiaTheme="minorEastAsia" w:cstheme="minorEastAsia"/>
          <w:spacing w:val="2"/>
          <w:sz w:val="24"/>
          <w:szCs w:val="24"/>
        </w:rPr>
        <w:t>施工质量。</w:t>
      </w:r>
    </w:p>
    <w:sectPr>
      <w:footerReference r:id="rId7" w:type="default"/>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MS Gothic">
    <w:panose1 w:val="020B0609070205080204"/>
    <w:charset w:val="80"/>
    <w:family w:val="auto"/>
    <w:pitch w:val="default"/>
    <w:sig w:usb0="E00002FF" w:usb1="6AC7FDFB" w:usb2="00000012" w:usb3="00000000" w:csb0="4002009F" w:csb1="DFD7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F4F92">
    <w:pPr>
      <w:spacing w:line="171" w:lineRule="auto"/>
      <w:ind w:left="4166"/>
      <w:rPr>
        <w:rFonts w:hint="default" w:ascii="Times New Roman" w:hAnsi="Times New Roman" w:eastAsia="宋体" w:cs="Times New Roman"/>
        <w:sz w:val="18"/>
        <w:szCs w:val="18"/>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853E7">
    <w:pPr>
      <w:spacing w:line="171" w:lineRule="auto"/>
      <w:ind w:left="4166"/>
      <w:rPr>
        <w:rFonts w:hint="default" w:ascii="Times New Roman" w:hAnsi="Times New Roman" w:eastAsia="宋体" w:cs="Times New Roman"/>
        <w:sz w:val="18"/>
        <w:szCs w:val="18"/>
        <w:lang w:val="en-US"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89521B">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189521B">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F6366E">
    <w:pPr>
      <w:spacing w:line="171" w:lineRule="auto"/>
      <w:ind w:left="4166"/>
      <w:rPr>
        <w:rFonts w:hint="default" w:ascii="Times New Roman" w:hAnsi="Times New Roman" w:eastAsia="宋体" w:cs="Times New Roman"/>
        <w:sz w:val="18"/>
        <w:szCs w:val="18"/>
        <w:lang w:val="en-US"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3D4F07">
                          <w:pPr>
                            <w:pStyle w:val="6"/>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783D4F07">
                    <w:pPr>
                      <w:pStyle w:val="6"/>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8BA103"/>
    <w:multiLevelType w:val="singleLevel"/>
    <w:tmpl w:val="928BA103"/>
    <w:lvl w:ilvl="0" w:tentative="0">
      <w:start w:val="12"/>
      <w:numFmt w:val="decimal"/>
      <w:suff w:val="nothing"/>
      <w:lvlText w:val="%1、"/>
      <w:lvlJc w:val="left"/>
      <w:pPr>
        <w:ind w:left="480"/>
      </w:pPr>
    </w:lvl>
  </w:abstractNum>
  <w:abstractNum w:abstractNumId="1">
    <w:nsid w:val="A7BD3B0D"/>
    <w:multiLevelType w:val="singleLevel"/>
    <w:tmpl w:val="A7BD3B0D"/>
    <w:lvl w:ilvl="0" w:tentative="0">
      <w:start w:val="2"/>
      <w:numFmt w:val="chineseCounting"/>
      <w:suff w:val="nothing"/>
      <w:lvlText w:val="%1、"/>
      <w:lvlJc w:val="left"/>
      <w:pPr>
        <w:ind w:left="480"/>
      </w:pPr>
      <w:rPr>
        <w:rFonts w:hint="eastAsia"/>
      </w:rPr>
    </w:lvl>
  </w:abstractNum>
  <w:abstractNum w:abstractNumId="2">
    <w:nsid w:val="B6B8D872"/>
    <w:multiLevelType w:val="singleLevel"/>
    <w:tmpl w:val="B6B8D872"/>
    <w:lvl w:ilvl="0" w:tentative="0">
      <w:start w:val="8"/>
      <w:numFmt w:val="decimal"/>
      <w:suff w:val="nothing"/>
      <w:lvlText w:val="%1、"/>
      <w:lvlJc w:val="left"/>
      <w:pPr>
        <w:ind w:left="480"/>
      </w:pPr>
    </w:lvl>
  </w:abstractNum>
  <w:abstractNum w:abstractNumId="3">
    <w:nsid w:val="BE8430EB"/>
    <w:multiLevelType w:val="singleLevel"/>
    <w:tmpl w:val="BE8430EB"/>
    <w:lvl w:ilvl="0" w:tentative="0">
      <w:start w:val="4"/>
      <w:numFmt w:val="chineseCounting"/>
      <w:suff w:val="space"/>
      <w:lvlText w:val="第%1章"/>
      <w:lvlJc w:val="left"/>
      <w:rPr>
        <w:rFonts w:hint="eastAsia"/>
      </w:rPr>
    </w:lvl>
  </w:abstractNum>
  <w:abstractNum w:abstractNumId="4">
    <w:nsid w:val="D6F49133"/>
    <w:multiLevelType w:val="singleLevel"/>
    <w:tmpl w:val="D6F49133"/>
    <w:lvl w:ilvl="0" w:tentative="0">
      <w:start w:val="1"/>
      <w:numFmt w:val="decimal"/>
      <w:lvlText w:val="%1)"/>
      <w:lvlJc w:val="left"/>
      <w:pPr>
        <w:ind w:left="1385" w:hanging="425"/>
      </w:pPr>
      <w:rPr>
        <w:rFonts w:hint="default"/>
      </w:rPr>
    </w:lvl>
  </w:abstractNum>
  <w:abstractNum w:abstractNumId="5">
    <w:nsid w:val="EE125271"/>
    <w:multiLevelType w:val="singleLevel"/>
    <w:tmpl w:val="EE125271"/>
    <w:lvl w:ilvl="0" w:tentative="0">
      <w:start w:val="1"/>
      <w:numFmt w:val="decimal"/>
      <w:lvlText w:val="%1)"/>
      <w:lvlJc w:val="left"/>
      <w:pPr>
        <w:ind w:left="905" w:hanging="425"/>
      </w:pPr>
      <w:rPr>
        <w:rFonts w:hint="default"/>
      </w:rPr>
    </w:lvl>
  </w:abstractNum>
  <w:abstractNum w:abstractNumId="6">
    <w:nsid w:val="F6529822"/>
    <w:multiLevelType w:val="singleLevel"/>
    <w:tmpl w:val="F6529822"/>
    <w:lvl w:ilvl="0" w:tentative="0">
      <w:start w:val="1"/>
      <w:numFmt w:val="decimal"/>
      <w:lvlText w:val="%1)"/>
      <w:lvlJc w:val="left"/>
      <w:pPr>
        <w:ind w:left="1385" w:hanging="425"/>
      </w:pPr>
      <w:rPr>
        <w:rFonts w:hint="default"/>
      </w:rPr>
    </w:lvl>
  </w:abstractNum>
  <w:abstractNum w:abstractNumId="7">
    <w:nsid w:val="F8965A97"/>
    <w:multiLevelType w:val="singleLevel"/>
    <w:tmpl w:val="F8965A97"/>
    <w:lvl w:ilvl="0" w:tentative="0">
      <w:start w:val="1"/>
      <w:numFmt w:val="chineseCounting"/>
      <w:suff w:val="nothing"/>
      <w:lvlText w:val="（%1）"/>
      <w:lvlJc w:val="left"/>
      <w:rPr>
        <w:rFonts w:hint="eastAsia"/>
      </w:rPr>
    </w:lvl>
  </w:abstractNum>
  <w:abstractNum w:abstractNumId="8">
    <w:nsid w:val="0F545138"/>
    <w:multiLevelType w:val="singleLevel"/>
    <w:tmpl w:val="0F545138"/>
    <w:lvl w:ilvl="0" w:tentative="0">
      <w:start w:val="1"/>
      <w:numFmt w:val="chineseCounting"/>
      <w:suff w:val="nothing"/>
      <w:lvlText w:val="%1、"/>
      <w:lvlJc w:val="left"/>
      <w:rPr>
        <w:rFonts w:hint="eastAsia"/>
      </w:rPr>
    </w:lvl>
  </w:abstractNum>
  <w:abstractNum w:abstractNumId="9">
    <w:nsid w:val="1B2DB5B9"/>
    <w:multiLevelType w:val="singleLevel"/>
    <w:tmpl w:val="1B2DB5B9"/>
    <w:lvl w:ilvl="0" w:tentative="0">
      <w:start w:val="1"/>
      <w:numFmt w:val="chineseCounting"/>
      <w:suff w:val="nothing"/>
      <w:lvlText w:val="%1、"/>
      <w:lvlJc w:val="left"/>
      <w:rPr>
        <w:rFonts w:hint="eastAsia"/>
      </w:rPr>
    </w:lvl>
  </w:abstractNum>
  <w:abstractNum w:abstractNumId="10">
    <w:nsid w:val="328BBDEC"/>
    <w:multiLevelType w:val="singleLevel"/>
    <w:tmpl w:val="328BBDEC"/>
    <w:lvl w:ilvl="0" w:tentative="0">
      <w:start w:val="1"/>
      <w:numFmt w:val="chineseCounting"/>
      <w:suff w:val="nothing"/>
      <w:lvlText w:val="%1、"/>
      <w:lvlJc w:val="left"/>
      <w:pPr>
        <w:ind w:left="480"/>
      </w:pPr>
      <w:rPr>
        <w:rFonts w:hint="eastAsia"/>
      </w:rPr>
    </w:lvl>
  </w:abstractNum>
  <w:abstractNum w:abstractNumId="11">
    <w:nsid w:val="39B58599"/>
    <w:multiLevelType w:val="singleLevel"/>
    <w:tmpl w:val="39B58599"/>
    <w:lvl w:ilvl="0" w:tentative="0">
      <w:start w:val="1"/>
      <w:numFmt w:val="decimal"/>
      <w:suff w:val="nothing"/>
      <w:lvlText w:val="%1)"/>
      <w:lvlJc w:val="left"/>
      <w:pPr>
        <w:ind w:left="1385" w:hanging="425"/>
      </w:pPr>
      <w:rPr>
        <w:rFonts w:hint="default"/>
      </w:rPr>
    </w:lvl>
  </w:abstractNum>
  <w:abstractNum w:abstractNumId="12">
    <w:nsid w:val="39B72398"/>
    <w:multiLevelType w:val="singleLevel"/>
    <w:tmpl w:val="39B72398"/>
    <w:lvl w:ilvl="0" w:tentative="0">
      <w:start w:val="2"/>
      <w:numFmt w:val="chineseCounting"/>
      <w:suff w:val="nothing"/>
      <w:lvlText w:val="%1、"/>
      <w:lvlJc w:val="left"/>
      <w:pPr>
        <w:ind w:left="480"/>
      </w:pPr>
      <w:rPr>
        <w:rFonts w:hint="eastAsia"/>
      </w:rPr>
    </w:lvl>
  </w:abstractNum>
  <w:abstractNum w:abstractNumId="13">
    <w:nsid w:val="4D9243BD"/>
    <w:multiLevelType w:val="singleLevel"/>
    <w:tmpl w:val="4D9243BD"/>
    <w:lvl w:ilvl="0" w:tentative="0">
      <w:start w:val="1"/>
      <w:numFmt w:val="decimal"/>
      <w:lvlText w:val="%1)"/>
      <w:lvlJc w:val="left"/>
      <w:pPr>
        <w:ind w:left="905" w:hanging="425"/>
      </w:pPr>
      <w:rPr>
        <w:rFonts w:hint="default"/>
      </w:rPr>
    </w:lvl>
  </w:abstractNum>
  <w:abstractNum w:abstractNumId="14">
    <w:nsid w:val="6DB6C210"/>
    <w:multiLevelType w:val="singleLevel"/>
    <w:tmpl w:val="6DB6C210"/>
    <w:lvl w:ilvl="0" w:tentative="0">
      <w:start w:val="1"/>
      <w:numFmt w:val="chineseCounting"/>
      <w:suff w:val="nothing"/>
      <w:lvlText w:val="（%1）"/>
      <w:lvlJc w:val="left"/>
      <w:pPr>
        <w:ind w:left="0" w:firstLine="420"/>
      </w:pPr>
      <w:rPr>
        <w:rFonts w:hint="eastAsia"/>
      </w:rPr>
    </w:lvl>
  </w:abstractNum>
  <w:num w:numId="1">
    <w:abstractNumId w:val="9"/>
  </w:num>
  <w:num w:numId="2">
    <w:abstractNumId w:val="1"/>
  </w:num>
  <w:num w:numId="3">
    <w:abstractNumId w:val="2"/>
  </w:num>
  <w:num w:numId="4">
    <w:abstractNumId w:val="0"/>
  </w:num>
  <w:num w:numId="5">
    <w:abstractNumId w:val="12"/>
  </w:num>
  <w:num w:numId="6">
    <w:abstractNumId w:val="3"/>
  </w:num>
  <w:num w:numId="7">
    <w:abstractNumId w:val="10"/>
  </w:num>
  <w:num w:numId="8">
    <w:abstractNumId w:val="7"/>
  </w:num>
  <w:num w:numId="9">
    <w:abstractNumId w:val="14"/>
  </w:num>
  <w:num w:numId="10">
    <w:abstractNumId w:val="8"/>
  </w:num>
  <w:num w:numId="11">
    <w:abstractNumId w:val="11"/>
  </w:num>
  <w:num w:numId="12">
    <w:abstractNumId w:val="6"/>
  </w:num>
  <w:num w:numId="13">
    <w:abstractNumId w:val="13"/>
  </w:num>
  <w:num w:numId="14">
    <w:abstractNumId w:val="5"/>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BB124DE"/>
    <w:rsid w:val="014F64DE"/>
    <w:rsid w:val="035905AF"/>
    <w:rsid w:val="063279E8"/>
    <w:rsid w:val="094C54BF"/>
    <w:rsid w:val="0BB124DE"/>
    <w:rsid w:val="0DB028A8"/>
    <w:rsid w:val="15273C5E"/>
    <w:rsid w:val="19E35721"/>
    <w:rsid w:val="1EE97A5B"/>
    <w:rsid w:val="22825F8F"/>
    <w:rsid w:val="355A75F2"/>
    <w:rsid w:val="37DA1150"/>
    <w:rsid w:val="3834755F"/>
    <w:rsid w:val="3E236630"/>
    <w:rsid w:val="3EFC06D4"/>
    <w:rsid w:val="3F6119EE"/>
    <w:rsid w:val="41C37A62"/>
    <w:rsid w:val="451E6A37"/>
    <w:rsid w:val="49D159B1"/>
    <w:rsid w:val="4B225D51"/>
    <w:rsid w:val="4FF61502"/>
    <w:rsid w:val="530B2144"/>
    <w:rsid w:val="559351F5"/>
    <w:rsid w:val="5D8C4732"/>
    <w:rsid w:val="5E4D77EB"/>
    <w:rsid w:val="63A431BD"/>
    <w:rsid w:val="66512E01"/>
    <w:rsid w:val="6F7A63A5"/>
    <w:rsid w:val="71AB36F9"/>
    <w:rsid w:val="75123BEC"/>
    <w:rsid w:val="7C3F7B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200" w:firstLineChars="200"/>
      <w:jc w:val="both"/>
    </w:pPr>
    <w:rPr>
      <w:rFonts w:ascii="Times New Roman" w:hAnsi="Times New Roman" w:eastAsia="宋体" w:cs="Times New Roman"/>
      <w:kern w:val="2"/>
      <w:sz w:val="24"/>
      <w:lang w:val="en-US" w:eastAsia="zh-CN" w:bidi="ar-SA"/>
    </w:rPr>
  </w:style>
  <w:style w:type="paragraph" w:styleId="2">
    <w:name w:val="heading 1"/>
    <w:basedOn w:val="1"/>
    <w:next w:val="1"/>
    <w:qFormat/>
    <w:uiPriority w:val="9"/>
    <w:pPr>
      <w:keepNext/>
      <w:keepLines/>
      <w:pageBreakBefore/>
      <w:ind w:firstLine="0" w:firstLineChars="0"/>
      <w:jc w:val="center"/>
      <w:outlineLvl w:val="0"/>
    </w:pPr>
    <w:rPr>
      <w:b/>
      <w:kern w:val="44"/>
      <w:sz w:val="44"/>
    </w:rPr>
  </w:style>
  <w:style w:type="paragraph" w:styleId="3">
    <w:name w:val="heading 2"/>
    <w:basedOn w:val="1"/>
    <w:next w:val="1"/>
    <w:qFormat/>
    <w:uiPriority w:val="9"/>
    <w:pPr>
      <w:keepNext/>
      <w:keepLines/>
      <w:spacing w:before="120"/>
      <w:ind w:firstLine="0" w:firstLineChars="0"/>
      <w:jc w:val="center"/>
      <w:outlineLvl w:val="1"/>
    </w:pPr>
    <w:rPr>
      <w:rFonts w:ascii="Cambria" w:hAnsi="Cambria"/>
      <w:b/>
      <w:color w:val="000000"/>
      <w:sz w:val="32"/>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Body Text"/>
    <w:basedOn w:val="1"/>
    <w:semiHidden/>
    <w:qFormat/>
    <w:uiPriority w:val="0"/>
    <w:rPr>
      <w:rFonts w:ascii="宋体" w:hAnsi="宋体" w:eastAsia="宋体" w:cs="宋体"/>
      <w:sz w:val="20"/>
      <w:szCs w:val="20"/>
      <w:lang w:val="en-US" w:eastAsia="en-US" w:bidi="ar-SA"/>
    </w:rPr>
  </w:style>
  <w:style w:type="paragraph" w:styleId="6">
    <w:name w:val="footer"/>
    <w:basedOn w:val="1"/>
    <w:unhideWhenUsed/>
    <w:qFormat/>
    <w:uiPriority w:val="99"/>
    <w:pPr>
      <w:tabs>
        <w:tab w:val="center" w:pos="4153"/>
        <w:tab w:val="right" w:pos="8306"/>
      </w:tabs>
      <w:jc w:val="left"/>
    </w:pPr>
    <w:rPr>
      <w:kern w:val="0"/>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39"/>
    <w:pPr>
      <w:adjustRightInd/>
      <w:snapToGrid/>
      <w:spacing w:before="120" w:after="120" w:line="240" w:lineRule="auto"/>
      <w:ind w:firstLine="0" w:firstLineChars="0"/>
      <w:jc w:val="left"/>
    </w:pPr>
    <w:rPr>
      <w:b/>
      <w:bCs/>
      <w:caps/>
    </w:rPr>
  </w:style>
  <w:style w:type="paragraph" w:styleId="9">
    <w:name w:val="toc 2"/>
    <w:basedOn w:val="1"/>
    <w:next w:val="1"/>
    <w:qFormat/>
    <w:uiPriority w:val="39"/>
    <w:pPr>
      <w:adjustRightInd/>
      <w:snapToGrid/>
      <w:spacing w:line="240" w:lineRule="auto"/>
      <w:ind w:left="301" w:firstLine="0" w:firstLineChars="0"/>
      <w:jc w:val="left"/>
    </w:pPr>
    <w:rPr>
      <w:smallCaps/>
    </w:rPr>
  </w:style>
  <w:style w:type="table" w:styleId="11">
    <w:name w:val="Table Grid"/>
    <w:basedOn w:val="10"/>
    <w:qFormat/>
    <w:uiPriority w:val="59"/>
    <w:pPr>
      <w:widowControl w:val="0"/>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14">
    <w:name w:val="Table Paragraph"/>
    <w:basedOn w:val="1"/>
    <w:qFormat/>
    <w:uiPriority w:val="1"/>
    <w:rPr>
      <w:rFonts w:ascii="仿宋" w:hAnsi="仿宋" w:eastAsia="仿宋" w:cs="仿宋"/>
      <w:lang w:val="zh-CN" w:eastAsia="zh-CN" w:bidi="zh-CN"/>
    </w:rPr>
  </w:style>
  <w:style w:type="character" w:customStyle="1" w:styleId="15">
    <w:name w:val="font11"/>
    <w:basedOn w:val="12"/>
    <w:qFormat/>
    <w:uiPriority w:val="0"/>
    <w:rPr>
      <w:rFonts w:hint="eastAsia" w:ascii="宋体" w:hAnsi="宋体" w:eastAsia="宋体" w:cs="宋体"/>
      <w:color w:val="000000"/>
      <w:sz w:val="21"/>
      <w:szCs w:val="21"/>
      <w:u w:val="none"/>
    </w:rPr>
  </w:style>
  <w:style w:type="character" w:customStyle="1" w:styleId="16">
    <w:name w:val="font21"/>
    <w:basedOn w:val="12"/>
    <w:qFormat/>
    <w:uiPriority w:val="0"/>
    <w:rPr>
      <w:rFonts w:hint="default" w:ascii="Times New Roman" w:hAnsi="Times New Roman" w:cs="Times New Roman"/>
      <w:color w:val="000000"/>
      <w:sz w:val="21"/>
      <w:szCs w:val="21"/>
      <w:u w:val="none"/>
    </w:rPr>
  </w:style>
  <w:style w:type="character" w:customStyle="1" w:styleId="17">
    <w:name w:val="font31"/>
    <w:basedOn w:val="12"/>
    <w:qFormat/>
    <w:uiPriority w:val="0"/>
    <w:rPr>
      <w:rFonts w:ascii="MS Gothic" w:hAnsi="MS Gothic" w:eastAsia="MS Gothic" w:cs="MS Gothic"/>
      <w:color w:val="000000"/>
      <w:sz w:val="21"/>
      <w:szCs w:val="21"/>
      <w:u w:val="none"/>
    </w:rPr>
  </w:style>
  <w:style w:type="character" w:customStyle="1" w:styleId="18">
    <w:name w:val="font41"/>
    <w:basedOn w:val="12"/>
    <w:qFormat/>
    <w:uiPriority w:val="0"/>
    <w:rPr>
      <w:rFonts w:hint="default" w:ascii="Times New Roman" w:hAnsi="Times New Roman" w:cs="Times New Roman"/>
      <w:color w:val="000000"/>
      <w:sz w:val="14"/>
      <w:szCs w:val="14"/>
      <w:u w:val="none"/>
    </w:rPr>
  </w:style>
  <w:style w:type="paragraph" w:customStyle="1" w:styleId="19">
    <w:name w:val="Table Text"/>
    <w:basedOn w:val="1"/>
    <w:semiHidden/>
    <w:qFormat/>
    <w:uiPriority w:val="0"/>
    <w:rPr>
      <w:rFonts w:ascii="宋体" w:hAnsi="宋体" w:eastAsia="宋体" w:cs="宋体"/>
      <w:sz w:val="21"/>
      <w:szCs w:val="21"/>
      <w:lang w:val="en-US" w:eastAsia="en-US" w:bidi="ar-SA"/>
    </w:rPr>
  </w:style>
  <w:style w:type="table" w:customStyle="1" w:styleId="2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jpe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34</Pages>
  <Words>5301</Words>
  <Characters>6805</Characters>
  <Lines>0</Lines>
  <Paragraphs>0</Paragraphs>
  <TotalTime>10</TotalTime>
  <ScaleCrop>false</ScaleCrop>
  <LinksUpToDate>false</LinksUpToDate>
  <CharactersWithSpaces>6868</CharactersWithSpaces>
  <Application>WPS Office_12.1.0.22175_F1E327BC-269C-435d-A152-05C5408002CA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2026-02-09T02:42:00Z</dcterms:created>
  <dc:creator>Lucky</dc:creator>
  <cp:lastModifiedBy>Lucky</cp:lastModifiedBy>
  <dcterms:modified xsi:type="dcterms:W3CDTF">2026-03-13T00:20:22Z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2052-12.1.0.22175</vt:lpwstr>
  </property>
  <property fmtid="{D5CDD505-2E9C-101B-9397-08002B2CF9AE}" pid="3" name="ICV">
    <vt:lpwstr>8A59410B0BBD41209F17255DDF0D52F1_13</vt:lpwstr>
  </property>
  <property fmtid="{D5CDD505-2E9C-101B-9397-08002B2CF9AE}" pid="4" name="KSOTemplateDocerSaveRecord">
    <vt:lpwstr>eyJoZGlkIjoiY2NlYmEwMTMyZDFkY2E3ZWEzNDIzOGViNThjOTAwYzUiLCJ1c2VySWQiOiI1Nzg2MjgzODgifQ==</vt:lpwstr>
  </property>
</Properties>
</file>