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lang w:bidi="mn-Mong-CN"/>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 xml:space="preserve"> 谷子标准化生产投入品使用要求</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pBdr>
          <w:top w:val="none" w:sz="0" w:space="0"/>
          <w:left w:val="none" w:sz="0" w:space="0"/>
          <w:bottom w:val="none" w:sz="0" w:space="0"/>
          <w:right w:val="none" w:sz="0" w:space="0"/>
        </w:pBdr>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Requirements for use of inputs for standardized production</w:t>
      </w:r>
    </w:p>
    <w:p>
      <w:pPr>
        <w:pStyle w:val="126"/>
        <w:framePr w:w="9639" w:h="6974" w:hRule="exact" w:wrap="around" w:vAnchor="page" w:hAnchor="page" w:x="1419" w:y="6408" w:anchorLock="1"/>
        <w:textAlignment w:val="bottom"/>
        <w:rPr>
          <w:rFonts w:eastAsia="黑体"/>
          <w:szCs w:val="28"/>
        </w:rPr>
      </w:pPr>
      <w:r>
        <w:rPr>
          <w:rFonts w:hint="eastAsia" w:eastAsia="黑体"/>
          <w:szCs w:val="28"/>
        </w:rPr>
        <w:t xml:space="preserve"> of Chifeng millet</w:t>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07DBFB969B734393A2128F887F63D3E3"/>
        </w:placeholder>
      </w:sdtPr>
      <w:sdtContent>
        <w:p>
          <w:pPr>
            <w:pStyle w:val="2"/>
            <w:keepNext w:val="0"/>
            <w:keepLines w:val="0"/>
            <w:numPr>
              <w:ilvl w:val="0"/>
              <w:numId w:val="0"/>
            </w:numPr>
            <w:spacing w:before="312" w:after="312" w:line="360" w:lineRule="auto"/>
            <w:jc w:val="center"/>
            <w:rPr>
              <w:rFonts w:ascii="Times New Roman" w:hAnsi="Times New Roman" w:cs="Times New Roman"/>
              <w:color w:val="000000" w:themeColor="text1"/>
              <w:sz w:val="32"/>
              <w:szCs w:val="32"/>
            </w:rPr>
          </w:pPr>
          <w:bookmarkStart w:id="22" w:name="_Toc151630393"/>
          <w:bookmarkStart w:id="23" w:name="_Toc165803462"/>
          <w:bookmarkStart w:id="24" w:name="_Toc81757554"/>
          <w:bookmarkStart w:id="25" w:name="NEW_STAND_NAME"/>
          <w:r>
            <w:rPr>
              <w:rFonts w:ascii="Times New Roman" w:hAnsi="Times New Roman" w:cs="Times New Roman"/>
              <w:color w:val="000000" w:themeColor="text1"/>
              <w:sz w:val="32"/>
              <w:szCs w:val="32"/>
            </w:rPr>
            <w:t>前</w:t>
          </w:r>
          <w:r>
            <w:rPr>
              <w:rFonts w:hint="eastAsia" w:ascii="Times New Roman" w:hAnsi="Times New Roman" w:cs="Times New Roman"/>
              <w:color w:val="000000" w:themeColor="text1"/>
              <w:sz w:val="32"/>
              <w:szCs w:val="32"/>
            </w:rPr>
            <w:t xml:space="preserve"> </w:t>
          </w:r>
          <w:r>
            <w:rPr>
              <w:rFonts w:hint="eastAsia" w:ascii="Times New Roman" w:hAnsi="Times New Roman" w:cs="Times New Roman"/>
              <w:color w:val="000000" w:themeColor="text1"/>
              <w:sz w:val="32"/>
              <w:szCs w:val="32"/>
              <w:lang w:val="en-US" w:eastAsia="zh-CN"/>
            </w:rPr>
            <w:t xml:space="preserve"> </w:t>
          </w:r>
          <w:r>
            <w:rPr>
              <w:rFonts w:ascii="Times New Roman" w:hAnsi="Times New Roman" w:cs="Times New Roman"/>
              <w:color w:val="000000" w:themeColor="text1"/>
              <w:sz w:val="32"/>
              <w:szCs w:val="32"/>
            </w:rPr>
            <w:t xml:space="preserve"> 言</w:t>
          </w:r>
          <w:bookmarkEnd w:id="22"/>
          <w:bookmarkEnd w:id="23"/>
        </w:p>
        <w:p>
          <w:pPr>
            <w:pStyle w:val="57"/>
            <w:ind w:firstLine="420"/>
            <w:rPr>
              <w:rFonts w:hAnsi="宋体"/>
              <w:color w:val="000000" w:themeColor="text1"/>
              <w:szCs w:val="21"/>
            </w:rPr>
          </w:pPr>
          <w:r>
            <w:rPr>
              <w:rFonts w:hint="eastAsia" w:hAnsi="宋体"/>
              <w:color w:val="000000" w:themeColor="text1"/>
              <w:szCs w:val="21"/>
            </w:rPr>
            <w:t>本文件按照GB/T 1.1—2020《标准化工作导则  第1部分：标准化文件的结构和起草规则》的规定起草。</w:t>
          </w:r>
        </w:p>
        <w:p>
          <w:pPr>
            <w:pStyle w:val="57"/>
            <w:ind w:firstLine="420"/>
            <w:rPr>
              <w:rFonts w:hAnsi="宋体"/>
              <w:color w:val="000000" w:themeColor="text1"/>
              <w:szCs w:val="21"/>
            </w:rPr>
          </w:pPr>
          <w:r>
            <w:rPr>
              <w:rFonts w:hint="eastAsia" w:hAnsi="宋体"/>
              <w:color w:val="000000" w:themeColor="text1"/>
              <w:szCs w:val="21"/>
            </w:rPr>
            <w:t>本文件由赤峰市农牧业综合检验检测中心提出。</w:t>
          </w:r>
        </w:p>
        <w:p>
          <w:pPr>
            <w:pStyle w:val="57"/>
            <w:ind w:firstLine="420"/>
            <w:rPr>
              <w:rFonts w:hAnsi="宋体"/>
              <w:color w:val="000000" w:themeColor="text1"/>
              <w:szCs w:val="21"/>
            </w:rPr>
          </w:pPr>
          <w:r>
            <w:rPr>
              <w:rFonts w:hint="eastAsia" w:hAnsi="宋体"/>
              <w:color w:val="000000" w:themeColor="text1"/>
              <w:szCs w:val="21"/>
            </w:rPr>
            <w:t>本文件由赤峰市农牧局归口。</w:t>
          </w:r>
        </w:p>
        <w:p>
          <w:pPr>
            <w:ind w:firstLine="420" w:firstLineChars="200"/>
            <w:rPr>
              <w:rFonts w:ascii="宋体" w:hAnsi="宋体" w:eastAsia="宋体" w:cs="Times New Roman"/>
              <w:color w:val="000000" w:themeColor="text1"/>
              <w:kern w:val="0"/>
            </w:rPr>
          </w:pPr>
          <w:r>
            <w:rPr>
              <w:rFonts w:hint="eastAsia" w:ascii="宋体" w:hAnsi="宋体" w:eastAsia="宋体" w:cs="Times New Roman"/>
              <w:color w:val="000000" w:themeColor="text1"/>
              <w:kern w:val="0"/>
            </w:rPr>
            <w:t>本文件起草单位：赤峰市农牧业综合检验检测中心、赤峰市农牧技术推广中心、赤峰市农牧科学研究所、林西县农牧局、敖汉旗农牧局。</w:t>
          </w:r>
        </w:p>
        <w:p>
          <w:pPr>
            <w:pStyle w:val="57"/>
            <w:ind w:firstLine="420"/>
            <w:rPr>
              <w:color w:val="000000" w:themeColor="text1"/>
            </w:rPr>
            <w:sectPr>
              <w:headerReference r:id="rId11" w:type="default"/>
              <w:footerReference r:id="rId12" w:type="default"/>
              <w:pgSz w:w="11906" w:h="16838"/>
              <w:pgMar w:top="1418" w:right="1134" w:bottom="1134" w:left="1418" w:header="851" w:footer="992" w:gutter="0"/>
              <w:pgNumType w:fmt="upperRoman" w:start="1"/>
              <w:cols w:space="425" w:num="1"/>
              <w:docGrid w:type="linesAndChars" w:linePitch="312" w:charSpace="0"/>
            </w:sectPr>
          </w:pPr>
          <w:r>
            <w:rPr>
              <w:rFonts w:hint="eastAsia"/>
              <w:color w:val="000000" w:themeColor="text1"/>
            </w:rPr>
            <w:t>本文件主要起草人：贾沐霖、刘娜、李艳丽、王向红、张滋慧、呼德日扎干、王翠艳、邰丽、侯长江、王雪洁、唐艳梅、李玲、陆露、李金才、李洵、尹继伟</w:t>
          </w:r>
        </w:p>
        <w:bookmarkEnd w:id="24"/>
        <w:p>
          <w:pPr>
            <w:pStyle w:val="178"/>
            <w:spacing w:before="312" w:beforeLines="100" w:after="3" w:afterLines="1"/>
          </w:pPr>
          <w:bookmarkStart w:id="26" w:name="_Toc531183280"/>
          <w:bookmarkStart w:id="27" w:name="_Toc531183239"/>
          <w:bookmarkStart w:id="28" w:name="_Toc531183319"/>
          <w:bookmarkStart w:id="29" w:name="_Toc531183357"/>
          <w:r>
            <w:rPr>
              <w:rFonts w:ascii="Times New Roman" w:hAnsi="Times New Roman"/>
              <w:color w:val="000000" w:themeColor="text1"/>
            </w:rPr>
            <w:t>赤峰谷子标准化生产投入品使用</w:t>
          </w:r>
          <w:r>
            <w:rPr>
              <w:rFonts w:hint="eastAsia" w:ascii="Times New Roman" w:hAnsi="Times New Roman"/>
              <w:color w:val="000000" w:themeColor="text1"/>
            </w:rPr>
            <w:t>要求</w:t>
          </w:r>
          <w:bookmarkEnd w:id="21"/>
          <w:bookmarkEnd w:id="25"/>
          <w:bookmarkEnd w:id="26"/>
          <w:bookmarkEnd w:id="27"/>
          <w:bookmarkEnd w:id="28"/>
          <w:bookmarkEnd w:id="29"/>
          <w:bookmarkStart w:id="30" w:name="_Toc165803463"/>
        </w:p>
      </w:sdtContent>
    </w:sdt>
    <w:p>
      <w:pPr>
        <w:pStyle w:val="105"/>
        <w:numPr>
          <w:numId w:val="0"/>
        </w:numPr>
        <w:spacing w:before="312" w:after="312"/>
        <w:rPr>
          <w:color w:val="000000" w:themeColor="text1"/>
        </w:rPr>
      </w:pPr>
      <w:r>
        <w:rPr>
          <w:rFonts w:hint="eastAsia"/>
          <w:color w:val="000000" w:themeColor="text1"/>
          <w:lang w:val="en-US" w:eastAsia="zh-CN"/>
        </w:rPr>
        <w:t xml:space="preserve">1  </w:t>
      </w:r>
      <w:r>
        <w:rPr>
          <w:rFonts w:hint="eastAsia"/>
          <w:color w:val="000000" w:themeColor="text1"/>
        </w:rPr>
        <w:t>范围</w:t>
      </w:r>
    </w:p>
    <w:p>
      <w:pPr>
        <w:pStyle w:val="57"/>
        <w:ind w:firstLine="420"/>
        <w:rPr>
          <w:color w:val="000000" w:themeColor="text1"/>
          <w:szCs w:val="21"/>
        </w:rPr>
      </w:pPr>
      <w:r>
        <w:rPr>
          <w:rFonts w:hint="eastAsia" w:ascii="Times New Roman"/>
          <w:color w:val="000000" w:themeColor="text1"/>
          <w:szCs w:val="21"/>
        </w:rPr>
        <w:t>本文件规定了赤峰谷子标准化生产投入品使用范围、分类、</w:t>
      </w:r>
      <w:r>
        <w:rPr>
          <w:rFonts w:ascii="Times New Roman"/>
          <w:color w:val="000000" w:themeColor="text1"/>
          <w:szCs w:val="21"/>
        </w:rPr>
        <w:t>种子</w:t>
      </w:r>
      <w:r>
        <w:rPr>
          <w:rFonts w:hint="eastAsia" w:ascii="Times New Roman"/>
          <w:color w:val="000000" w:themeColor="text1"/>
          <w:szCs w:val="21"/>
        </w:rPr>
        <w:t>、</w:t>
      </w:r>
      <w:r>
        <w:rPr>
          <w:rFonts w:ascii="Times New Roman"/>
          <w:color w:val="000000" w:themeColor="text1"/>
          <w:szCs w:val="21"/>
        </w:rPr>
        <w:t>农药、</w:t>
      </w:r>
      <w:r>
        <w:rPr>
          <w:rFonts w:hint="eastAsia" w:ascii="Times New Roman"/>
          <w:color w:val="000000" w:themeColor="text1"/>
          <w:szCs w:val="21"/>
        </w:rPr>
        <w:t>肥料</w:t>
      </w:r>
      <w:r>
        <w:rPr>
          <w:rFonts w:ascii="Times New Roman"/>
          <w:color w:val="000000" w:themeColor="text1"/>
          <w:szCs w:val="21"/>
        </w:rPr>
        <w:t>、</w:t>
      </w:r>
      <w:r>
        <w:rPr>
          <w:rFonts w:hint="eastAsia" w:ascii="Times New Roman"/>
          <w:color w:val="000000" w:themeColor="text1"/>
          <w:szCs w:val="21"/>
          <w:shd w:val="clear" w:color="auto" w:fill="FFFFFF"/>
        </w:rPr>
        <w:t>地膜等</w:t>
      </w:r>
      <w:r>
        <w:rPr>
          <w:rFonts w:hint="eastAsia"/>
          <w:color w:val="000000" w:themeColor="text1"/>
          <w:szCs w:val="21"/>
        </w:rPr>
        <w:t>。</w:t>
      </w:r>
    </w:p>
    <w:p>
      <w:pPr>
        <w:pStyle w:val="57"/>
        <w:ind w:firstLine="420"/>
        <w:rPr>
          <w:color w:val="000000" w:themeColor="text1"/>
          <w:szCs w:val="21"/>
        </w:rPr>
      </w:pPr>
      <w:r>
        <w:rPr>
          <w:rFonts w:hint="eastAsia" w:ascii="Times New Roman"/>
          <w:color w:val="000000" w:themeColor="text1"/>
          <w:szCs w:val="21"/>
        </w:rPr>
        <w:t>本文件适用于</w:t>
      </w:r>
      <w:r>
        <w:rPr>
          <w:rFonts w:ascii="Times New Roman"/>
          <w:color w:val="000000" w:themeColor="text1"/>
          <w:szCs w:val="21"/>
        </w:rPr>
        <w:t>赤峰</w:t>
      </w:r>
      <w:r>
        <w:rPr>
          <w:rFonts w:hint="eastAsia" w:ascii="Times New Roman"/>
          <w:color w:val="000000" w:themeColor="text1"/>
          <w:szCs w:val="21"/>
        </w:rPr>
        <w:t>市</w:t>
      </w:r>
      <w:r>
        <w:rPr>
          <w:rFonts w:ascii="Times New Roman"/>
          <w:color w:val="000000" w:themeColor="text1"/>
          <w:szCs w:val="21"/>
        </w:rPr>
        <w:t>谷子种植过程中投入品的</w:t>
      </w:r>
      <w:r>
        <w:rPr>
          <w:rFonts w:hint="eastAsia" w:ascii="Times New Roman"/>
          <w:color w:val="000000" w:themeColor="text1"/>
          <w:szCs w:val="21"/>
        </w:rPr>
        <w:t>要求</w:t>
      </w:r>
      <w:r>
        <w:rPr>
          <w:rFonts w:hint="eastAsia"/>
          <w:color w:val="000000" w:themeColor="text1"/>
          <w:szCs w:val="21"/>
        </w:rPr>
        <w:t>。</w:t>
      </w:r>
    </w:p>
    <w:p>
      <w:pPr>
        <w:pStyle w:val="105"/>
        <w:numPr>
          <w:ilvl w:val="0"/>
          <w:numId w:val="0"/>
        </w:numPr>
        <w:spacing w:before="312" w:after="312"/>
        <w:rPr>
          <w:color w:val="000000" w:themeColor="text1"/>
        </w:rPr>
      </w:pPr>
      <w:bookmarkStart w:id="31" w:name="_Toc165803464"/>
      <w:r>
        <w:rPr>
          <w:rFonts w:hint="eastAsia"/>
          <w:color w:val="000000" w:themeColor="text1"/>
        </w:rPr>
        <w:t>2</w:t>
      </w:r>
      <w:r>
        <w:rPr>
          <w:rFonts w:hint="eastAsia"/>
          <w:color w:val="000000" w:themeColor="text1"/>
          <w:lang w:val="en-US" w:eastAsia="zh-CN"/>
        </w:rPr>
        <w:t xml:space="preserve">  </w:t>
      </w:r>
      <w:r>
        <w:rPr>
          <w:rFonts w:hint="eastAsia"/>
          <w:color w:val="000000" w:themeColor="text1"/>
        </w:rPr>
        <w:t>规范性引用文件</w:t>
      </w:r>
      <w:bookmarkEnd w:id="31"/>
    </w:p>
    <w:p>
      <w:pPr>
        <w:pStyle w:val="57"/>
        <w:ind w:firstLine="420"/>
        <w:rPr>
          <w:rFonts w:hint="eastAsia" w:ascii="宋体" w:hAnsi="宋体" w:eastAsia="宋体" w:cs="宋体"/>
          <w:color w:val="000000" w:themeColor="text1"/>
        </w:rPr>
      </w:pPr>
      <w:r>
        <w:rPr>
          <w:rFonts w:hint="eastAsia" w:ascii="宋体" w:hAnsi="宋体" w:eastAsia="宋体" w:cs="宋体"/>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GB 2762 食品安全国家标准食品中污染物限量</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GB 2763 食品安全国家标准食品中农药最大残留限量</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GB 3095 环境空气质量标准</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GB 12475农药贮运、销售和使用的防毒规程</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GB 38400 肥料中有毒有害物质的限量要求</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GB 13735 聚乙烯吹塑农用地面覆盖薄膜</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GB 4404.1《粮食作物种子第1部分：禾谷类》</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GB/T 8321（所有部分）农药合理使用准则</w:t>
      </w:r>
    </w:p>
    <w:p>
      <w:pPr>
        <w:pStyle w:val="57"/>
        <w:ind w:firstLine="420"/>
        <w:rPr>
          <w:rFonts w:hint="eastAsia" w:ascii="宋体" w:hAnsi="宋体" w:eastAsia="宋体" w:cs="宋体"/>
          <w:color w:val="000000" w:themeColor="text1"/>
          <w:szCs w:val="21"/>
        </w:rPr>
      </w:pPr>
      <w:r>
        <w:rPr>
          <w:rFonts w:hint="eastAsia" w:ascii="宋体" w:hAnsi="宋体" w:eastAsia="宋体" w:cs="宋体"/>
          <w:color w:val="000000" w:themeColor="text1"/>
          <w:szCs w:val="21"/>
        </w:rPr>
        <w:t>NY/T 525 有机肥料</w:t>
      </w:r>
    </w:p>
    <w:p>
      <w:pPr>
        <w:pStyle w:val="57"/>
        <w:ind w:firstLine="420"/>
        <w:rPr>
          <w:rFonts w:hint="eastAsia" w:ascii="宋体" w:hAnsi="宋体" w:eastAsia="宋体" w:cs="宋体"/>
          <w:color w:val="000000" w:themeColor="text1"/>
        </w:rPr>
      </w:pPr>
      <w:r>
        <w:rPr>
          <w:rFonts w:hint="eastAsia" w:ascii="宋体" w:hAnsi="宋体" w:eastAsia="宋体" w:cs="宋体"/>
          <w:color w:val="000000" w:themeColor="text1"/>
          <w:szCs w:val="21"/>
        </w:rPr>
        <w:t>NY/T 3442 畜</w:t>
      </w:r>
      <w:r>
        <w:rPr>
          <w:rFonts w:hint="eastAsia" w:ascii="宋体" w:hAnsi="宋体" w:eastAsia="宋体" w:cs="宋体"/>
          <w:color w:val="000000" w:themeColor="text1"/>
        </w:rPr>
        <w:t>禽粪便堆肥技术规范</w:t>
      </w:r>
    </w:p>
    <w:p>
      <w:pPr>
        <w:pStyle w:val="105"/>
        <w:numPr>
          <w:ilvl w:val="0"/>
          <w:numId w:val="0"/>
        </w:numPr>
        <w:spacing w:before="312" w:after="312"/>
        <w:rPr>
          <w:color w:val="000000" w:themeColor="text1"/>
        </w:rPr>
      </w:pPr>
      <w:bookmarkStart w:id="32" w:name="_Toc165803465"/>
      <w:r>
        <w:rPr>
          <w:rFonts w:hint="eastAsia"/>
          <w:color w:val="000000" w:themeColor="text1"/>
          <w:szCs w:val="21"/>
        </w:rPr>
        <w:t>3</w:t>
      </w:r>
      <w:r>
        <w:rPr>
          <w:rFonts w:hint="eastAsia"/>
          <w:color w:val="000000" w:themeColor="text1"/>
          <w:szCs w:val="21"/>
          <w:lang w:val="en-US" w:eastAsia="zh-CN"/>
        </w:rPr>
        <w:t xml:space="preserve">  </w:t>
      </w:r>
      <w:r>
        <w:rPr>
          <w:rFonts w:hint="eastAsia"/>
          <w:color w:val="000000" w:themeColor="text1"/>
          <w:szCs w:val="21"/>
        </w:rPr>
        <w:t>术语和定义</w:t>
      </w:r>
      <w:bookmarkEnd w:id="32"/>
      <w:bookmarkStart w:id="57" w:name="_GoBack"/>
      <w:bookmarkEnd w:id="57"/>
    </w:p>
    <w:p>
      <w:pPr>
        <w:pStyle w:val="57"/>
        <w:ind w:firstLine="420"/>
        <w:rPr>
          <w:color w:val="000000" w:themeColor="text1"/>
        </w:rPr>
      </w:pPr>
      <w:r>
        <w:rPr>
          <w:rFonts w:hint="eastAsia" w:hAnsi="宋体"/>
          <w:color w:val="000000" w:themeColor="text1"/>
        </w:rPr>
        <w:t>本文件没有需要界定的术语和定义。</w:t>
      </w:r>
    </w:p>
    <w:p>
      <w:pPr>
        <w:pStyle w:val="105"/>
        <w:numPr>
          <w:ilvl w:val="0"/>
          <w:numId w:val="0"/>
        </w:numPr>
        <w:spacing w:before="312" w:after="312"/>
        <w:rPr>
          <w:color w:val="000000" w:themeColor="text1"/>
        </w:rPr>
      </w:pPr>
      <w:bookmarkStart w:id="33" w:name="_Toc165803466"/>
      <w:r>
        <w:rPr>
          <w:rFonts w:hint="eastAsia"/>
          <w:color w:val="000000" w:themeColor="text1"/>
        </w:rPr>
        <w:t>4</w:t>
      </w:r>
      <w:r>
        <w:rPr>
          <w:rFonts w:hint="eastAsia"/>
          <w:color w:val="000000" w:themeColor="text1"/>
          <w:lang w:val="en-US" w:eastAsia="zh-CN"/>
        </w:rPr>
        <w:t xml:space="preserve">  </w:t>
      </w:r>
      <w:r>
        <w:rPr>
          <w:rFonts w:hint="eastAsia"/>
          <w:color w:val="000000" w:themeColor="text1"/>
        </w:rPr>
        <w:t>使用范围</w:t>
      </w:r>
      <w:bookmarkEnd w:id="33"/>
    </w:p>
    <w:p>
      <w:pPr>
        <w:pStyle w:val="57"/>
        <w:ind w:firstLine="420"/>
        <w:rPr>
          <w:color w:val="000000" w:themeColor="text1"/>
        </w:rPr>
      </w:pPr>
      <w:r>
        <w:rPr>
          <w:rFonts w:hint="eastAsia"/>
          <w:color w:val="000000" w:themeColor="text1"/>
        </w:rPr>
        <w:t>限于赤峰市行政区域内谷子标准化生产。</w:t>
      </w:r>
    </w:p>
    <w:p>
      <w:pPr>
        <w:pStyle w:val="105"/>
        <w:numPr>
          <w:ilvl w:val="0"/>
          <w:numId w:val="0"/>
        </w:numPr>
        <w:spacing w:before="312" w:after="312"/>
        <w:rPr>
          <w:color w:val="000000" w:themeColor="text1"/>
        </w:rPr>
      </w:pPr>
      <w:bookmarkStart w:id="34" w:name="_Toc165803467"/>
      <w:r>
        <w:rPr>
          <w:rFonts w:hint="eastAsia"/>
          <w:color w:val="000000" w:themeColor="text1"/>
        </w:rPr>
        <w:t>5</w:t>
      </w:r>
      <w:r>
        <w:rPr>
          <w:rFonts w:hint="eastAsia"/>
          <w:color w:val="000000" w:themeColor="text1"/>
          <w:lang w:val="en-US" w:eastAsia="zh-CN"/>
        </w:rPr>
        <w:t xml:space="preserve">  </w:t>
      </w:r>
      <w:r>
        <w:rPr>
          <w:rFonts w:hint="eastAsia"/>
          <w:color w:val="000000" w:themeColor="text1"/>
        </w:rPr>
        <w:t>分类</w:t>
      </w:r>
      <w:bookmarkEnd w:id="34"/>
    </w:p>
    <w:p>
      <w:pPr>
        <w:pStyle w:val="57"/>
        <w:ind w:firstLine="420"/>
        <w:rPr>
          <w:color w:val="000000" w:themeColor="text1"/>
        </w:rPr>
      </w:pPr>
      <w:r>
        <w:rPr>
          <w:rFonts w:hint="eastAsia"/>
          <w:color w:val="000000" w:themeColor="text1"/>
        </w:rPr>
        <w:t>根据作用不同投入品分为：种子、农药、肥料、地膜。</w:t>
      </w:r>
    </w:p>
    <w:p>
      <w:pPr>
        <w:pStyle w:val="105"/>
        <w:numPr>
          <w:ilvl w:val="0"/>
          <w:numId w:val="0"/>
        </w:numPr>
        <w:spacing w:before="312" w:after="312"/>
        <w:rPr>
          <w:color w:val="000000" w:themeColor="text1"/>
        </w:rPr>
      </w:pPr>
      <w:bookmarkStart w:id="35" w:name="_Toc165803468"/>
      <w:r>
        <w:rPr>
          <w:rFonts w:hint="eastAsia"/>
          <w:color w:val="000000" w:themeColor="text1"/>
        </w:rPr>
        <w:t>6</w:t>
      </w:r>
      <w:r>
        <w:rPr>
          <w:rFonts w:hint="eastAsia"/>
          <w:color w:val="000000" w:themeColor="text1"/>
          <w:lang w:val="en-US" w:eastAsia="zh-CN"/>
        </w:rPr>
        <w:t xml:space="preserve">  </w:t>
      </w:r>
      <w:r>
        <w:rPr>
          <w:rFonts w:hint="eastAsia"/>
          <w:color w:val="000000" w:themeColor="text1"/>
        </w:rPr>
        <w:t>种子</w:t>
      </w:r>
      <w:bookmarkEnd w:id="35"/>
    </w:p>
    <w:p>
      <w:pPr>
        <w:pStyle w:val="106"/>
        <w:numPr>
          <w:ilvl w:val="0"/>
          <w:numId w:val="0"/>
        </w:numPr>
        <w:spacing w:before="156" w:after="156"/>
        <w:rPr>
          <w:color w:val="000000" w:themeColor="text1"/>
        </w:rPr>
      </w:pPr>
      <w:bookmarkStart w:id="36" w:name="_Toc165803469"/>
      <w:r>
        <w:rPr>
          <w:rFonts w:hint="eastAsia"/>
          <w:color w:val="000000" w:themeColor="text1"/>
        </w:rPr>
        <w:t>6.1种子选择</w:t>
      </w:r>
      <w:bookmarkEnd w:id="36"/>
    </w:p>
    <w:p>
      <w:pPr>
        <w:pStyle w:val="57"/>
        <w:ind w:firstLine="420"/>
        <w:rPr>
          <w:color w:val="000000" w:themeColor="text1"/>
          <w:sz w:val="18"/>
        </w:rPr>
      </w:pPr>
      <w:r>
        <w:rPr>
          <w:rFonts w:hint="eastAsia" w:ascii="Times New Roman"/>
          <w:color w:val="000000" w:themeColor="text1"/>
          <w:szCs w:val="24"/>
        </w:rPr>
        <w:t>选用优质、高产、抗病虫害（白发病、黑穗病、谷瘟病、叶锈病等）、抗逆性强、经备案或登记的生育期适宜、籽粒外观和产品适口性好的非转基因、适合当地种植的良种。建议选用包衣种子。</w:t>
      </w:r>
    </w:p>
    <w:p>
      <w:pPr>
        <w:pStyle w:val="106"/>
        <w:numPr>
          <w:ilvl w:val="0"/>
          <w:numId w:val="0"/>
        </w:numPr>
        <w:spacing w:before="156" w:after="156"/>
        <w:rPr>
          <w:color w:val="000000" w:themeColor="text1"/>
        </w:rPr>
      </w:pPr>
      <w:bookmarkStart w:id="37" w:name="_Toc165803470"/>
      <w:r>
        <w:rPr>
          <w:rFonts w:hint="eastAsia"/>
          <w:color w:val="000000" w:themeColor="text1"/>
        </w:rPr>
        <w:t>6.2种子质量</w:t>
      </w:r>
      <w:bookmarkEnd w:id="37"/>
    </w:p>
    <w:p>
      <w:pPr>
        <w:pStyle w:val="57"/>
        <w:ind w:firstLine="420"/>
        <w:rPr>
          <w:color w:val="000000" w:themeColor="text1"/>
          <w:szCs w:val="21"/>
        </w:rPr>
      </w:pPr>
      <w:r>
        <w:rPr>
          <w:rFonts w:hint="eastAsia" w:ascii="Times New Roman"/>
          <w:color w:val="000000" w:themeColor="text1"/>
          <w:szCs w:val="21"/>
        </w:rPr>
        <w:t>应符合GB 4404.1规定的一级良种标准。要求籽粒饱满，纯度和净度达到98%，发芽率不低于85%</w:t>
      </w:r>
      <w:r>
        <w:rPr>
          <w:rFonts w:hint="eastAsia"/>
          <w:color w:val="000000" w:themeColor="text1"/>
          <w:szCs w:val="21"/>
        </w:rPr>
        <w:t>。</w:t>
      </w:r>
    </w:p>
    <w:p>
      <w:pPr>
        <w:pStyle w:val="106"/>
        <w:numPr>
          <w:ilvl w:val="0"/>
          <w:numId w:val="0"/>
        </w:numPr>
        <w:spacing w:before="156" w:after="156"/>
        <w:rPr>
          <w:color w:val="000000" w:themeColor="text1"/>
        </w:rPr>
      </w:pPr>
      <w:bookmarkStart w:id="38" w:name="_Toc165803471"/>
      <w:r>
        <w:rPr>
          <w:rFonts w:hint="eastAsia"/>
          <w:color w:val="000000" w:themeColor="text1"/>
        </w:rPr>
        <w:t>6.3种子精选</w:t>
      </w:r>
      <w:bookmarkEnd w:id="38"/>
    </w:p>
    <w:p>
      <w:pPr>
        <w:pStyle w:val="57"/>
        <w:ind w:firstLine="420"/>
        <w:rPr>
          <w:color w:val="000000" w:themeColor="text1"/>
          <w:szCs w:val="21"/>
        </w:rPr>
      </w:pPr>
      <w:r>
        <w:rPr>
          <w:rFonts w:hint="eastAsia" w:ascii="Times New Roman"/>
          <w:color w:val="000000" w:themeColor="text1"/>
          <w:szCs w:val="21"/>
        </w:rPr>
        <w:t>播前精选，剔除杂质和秕粒</w:t>
      </w:r>
      <w:r>
        <w:rPr>
          <w:rFonts w:hint="eastAsia"/>
          <w:color w:val="000000" w:themeColor="text1"/>
          <w:szCs w:val="21"/>
        </w:rPr>
        <w:t>。</w:t>
      </w:r>
    </w:p>
    <w:p>
      <w:pPr>
        <w:pStyle w:val="106"/>
        <w:numPr>
          <w:ilvl w:val="0"/>
          <w:numId w:val="0"/>
        </w:numPr>
        <w:spacing w:before="156" w:after="156"/>
        <w:rPr>
          <w:color w:val="000000" w:themeColor="text1"/>
        </w:rPr>
      </w:pPr>
      <w:bookmarkStart w:id="39" w:name="_Toc165803472"/>
      <w:r>
        <w:rPr>
          <w:rFonts w:hint="eastAsia"/>
          <w:color w:val="000000" w:themeColor="text1"/>
        </w:rPr>
        <w:t>6.4种子处理</w:t>
      </w:r>
      <w:bookmarkEnd w:id="39"/>
    </w:p>
    <w:p>
      <w:pPr>
        <w:pStyle w:val="57"/>
        <w:ind w:firstLine="420"/>
        <w:rPr>
          <w:rFonts w:hAnsi="宋体"/>
          <w:color w:val="000000" w:themeColor="text1"/>
        </w:rPr>
      </w:pPr>
      <w:r>
        <w:rPr>
          <w:rFonts w:hint="eastAsia" w:hAnsi="宋体"/>
          <w:color w:val="000000" w:themeColor="text1"/>
          <w:szCs w:val="21"/>
        </w:rPr>
        <w:t>自留种播前，将种子在阳光下晒2d~3d。采用温汤浸种灭菌，用55~57℃温水，浸泡10min，也可用石灰水浸泡1h</w:t>
      </w:r>
      <w:r>
        <w:rPr>
          <w:rFonts w:hint="eastAsia" w:hAnsi="宋体"/>
          <w:color w:val="000000" w:themeColor="text1"/>
        </w:rPr>
        <w:t>。</w:t>
      </w:r>
    </w:p>
    <w:p>
      <w:pPr>
        <w:pStyle w:val="105"/>
        <w:numPr>
          <w:ilvl w:val="0"/>
          <w:numId w:val="0"/>
        </w:numPr>
        <w:spacing w:before="312" w:after="312"/>
        <w:rPr>
          <w:color w:val="000000" w:themeColor="text1"/>
        </w:rPr>
      </w:pPr>
      <w:bookmarkStart w:id="40" w:name="_Toc165803473"/>
      <w:r>
        <w:rPr>
          <w:rFonts w:hint="eastAsia"/>
          <w:color w:val="000000" w:themeColor="text1"/>
        </w:rPr>
        <w:t>7农药</w:t>
      </w:r>
      <w:bookmarkEnd w:id="40"/>
    </w:p>
    <w:p>
      <w:pPr>
        <w:pStyle w:val="106"/>
        <w:numPr>
          <w:ilvl w:val="0"/>
          <w:numId w:val="0"/>
        </w:numPr>
        <w:spacing w:before="156" w:after="156"/>
        <w:rPr>
          <w:color w:val="000000" w:themeColor="text1"/>
        </w:rPr>
      </w:pPr>
      <w:bookmarkStart w:id="41" w:name="_Toc165803474"/>
      <w:r>
        <w:rPr>
          <w:rFonts w:hint="eastAsia"/>
          <w:color w:val="000000" w:themeColor="text1"/>
        </w:rPr>
        <w:t>7.1农药选择</w:t>
      </w:r>
      <w:bookmarkEnd w:id="41"/>
    </w:p>
    <w:p>
      <w:pPr>
        <w:pStyle w:val="57"/>
        <w:ind w:firstLine="420"/>
        <w:rPr>
          <w:color w:val="000000" w:themeColor="text1"/>
        </w:rPr>
      </w:pPr>
      <w:r>
        <w:rPr>
          <w:rFonts w:hint="eastAsia"/>
          <w:color w:val="000000" w:themeColor="text1"/>
        </w:rPr>
        <w:t>所选用的农药应符合相关的法律法规，并获得国家在相应作物上的使用登记或省级农业主管部门的临时用药措施，但不属于农药使用登记范围的产品（如薄荷油、食醋、蜂蜡、香根草、乙醇、海盐等）除外。</w:t>
      </w:r>
    </w:p>
    <w:p>
      <w:pPr>
        <w:pStyle w:val="106"/>
        <w:numPr>
          <w:ilvl w:val="0"/>
          <w:numId w:val="0"/>
        </w:numPr>
        <w:spacing w:before="156" w:after="156"/>
        <w:rPr>
          <w:color w:val="000000" w:themeColor="text1"/>
        </w:rPr>
      </w:pPr>
      <w:bookmarkStart w:id="42" w:name="_Toc165803475"/>
      <w:r>
        <w:rPr>
          <w:rFonts w:hint="eastAsia"/>
          <w:color w:val="000000" w:themeColor="text1"/>
        </w:rPr>
        <w:t>7.2农药使用原则</w:t>
      </w:r>
      <w:bookmarkEnd w:id="42"/>
    </w:p>
    <w:p>
      <w:pPr>
        <w:pStyle w:val="57"/>
        <w:ind w:left="0" w:leftChars="0" w:firstLine="0" w:firstLineChars="0"/>
        <w:outlineLvl w:val="2"/>
        <w:rPr>
          <w:color w:val="000000" w:themeColor="text1"/>
        </w:rPr>
      </w:pPr>
      <w:r>
        <w:rPr>
          <w:rFonts w:hint="eastAsia" w:ascii="黑体" w:hAnsi="黑体" w:eastAsia="黑体"/>
          <w:color w:val="000000" w:themeColor="text1"/>
        </w:rPr>
        <w:t>7.2.1</w:t>
      </w:r>
      <w:r>
        <w:rPr>
          <w:rFonts w:hint="eastAsia"/>
          <w:color w:val="000000" w:themeColor="text1"/>
        </w:rPr>
        <w:t xml:space="preserve"> 应根据有害生物的发生特点、危害程度和农药特性，在主要防治对象的防治适期，选择适当的施药方式。</w:t>
      </w:r>
    </w:p>
    <w:p>
      <w:pPr>
        <w:pStyle w:val="57"/>
        <w:ind w:left="0" w:leftChars="0" w:firstLine="0" w:firstLineChars="0"/>
        <w:outlineLvl w:val="2"/>
        <w:rPr>
          <w:color w:val="000000" w:themeColor="text1"/>
        </w:rPr>
      </w:pPr>
      <w:r>
        <w:rPr>
          <w:rFonts w:hint="eastAsia" w:ascii="黑体" w:hAnsi="黑体" w:eastAsia="黑体"/>
          <w:color w:val="000000" w:themeColor="text1"/>
        </w:rPr>
        <w:t>7.2.2</w:t>
      </w:r>
      <w:r>
        <w:rPr>
          <w:rFonts w:ascii="黑体" w:hAnsi="黑体" w:eastAsia="黑体"/>
          <w:color w:val="000000" w:themeColor="text1"/>
        </w:rPr>
        <w:t xml:space="preserve"> </w:t>
      </w:r>
      <w:r>
        <w:rPr>
          <w:rFonts w:hint="eastAsia"/>
          <w:color w:val="000000" w:themeColor="text1"/>
        </w:rPr>
        <w:t>应按照农药产品标签或GB/T 8321和GB 12475的规定要求使用农药，控制施药剂量（或浓度）、施药次数和安全间隔期，提倡兼治和不同作用机理农药交替使用。</w:t>
      </w:r>
    </w:p>
    <w:p>
      <w:pPr>
        <w:pStyle w:val="106"/>
        <w:numPr>
          <w:ilvl w:val="0"/>
          <w:numId w:val="0"/>
        </w:numPr>
        <w:spacing w:before="156" w:after="156"/>
        <w:rPr>
          <w:color w:val="000000" w:themeColor="text1"/>
        </w:rPr>
      </w:pPr>
      <w:bookmarkStart w:id="43" w:name="_Toc165803476"/>
      <w:r>
        <w:rPr>
          <w:rFonts w:hint="eastAsia"/>
          <w:color w:val="000000" w:themeColor="text1"/>
        </w:rPr>
        <w:t>7.3绿色防控</w:t>
      </w:r>
      <w:bookmarkEnd w:id="43"/>
    </w:p>
    <w:p>
      <w:pPr>
        <w:pStyle w:val="57"/>
        <w:ind w:firstLine="420"/>
        <w:rPr>
          <w:color w:val="000000" w:themeColor="text1"/>
        </w:rPr>
      </w:pPr>
      <w:r>
        <w:rPr>
          <w:rFonts w:hint="eastAsia"/>
          <w:color w:val="000000" w:themeColor="text1"/>
        </w:rPr>
        <w:t>倡导</w:t>
      </w:r>
      <w:r>
        <w:rPr>
          <w:color w:val="000000" w:themeColor="text1"/>
        </w:rPr>
        <w:t>采用农业、生物、物理等方法控制病虫害，只在必要时使用化学农药。提倡使用生物源和矿物源农药</w:t>
      </w:r>
      <w:r>
        <w:rPr>
          <w:rFonts w:hint="eastAsia"/>
          <w:color w:val="000000" w:themeColor="text1"/>
        </w:rPr>
        <w:t>，</w:t>
      </w:r>
      <w:r>
        <w:rPr>
          <w:color w:val="000000" w:themeColor="text1"/>
        </w:rPr>
        <w:t>以及高效、低毒、低残留的农药，以保护生态</w:t>
      </w:r>
      <w:r>
        <w:rPr>
          <w:rFonts w:hint="eastAsia"/>
          <w:color w:val="000000" w:themeColor="text1"/>
        </w:rPr>
        <w:t>环境</w:t>
      </w:r>
      <w:r>
        <w:rPr>
          <w:color w:val="000000" w:themeColor="text1"/>
        </w:rPr>
        <w:t>和农产品质量</w:t>
      </w:r>
      <w:r>
        <w:rPr>
          <w:rFonts w:hint="eastAsia"/>
          <w:color w:val="000000" w:themeColor="text1"/>
        </w:rPr>
        <w:t>安全</w:t>
      </w:r>
      <w:r>
        <w:rPr>
          <w:color w:val="000000" w:themeColor="text1"/>
        </w:rPr>
        <w:t>。</w:t>
      </w:r>
    </w:p>
    <w:p>
      <w:pPr>
        <w:pStyle w:val="106"/>
        <w:numPr>
          <w:ilvl w:val="0"/>
          <w:numId w:val="0"/>
        </w:numPr>
        <w:spacing w:before="156" w:after="156"/>
        <w:rPr>
          <w:color w:val="000000" w:themeColor="text1"/>
        </w:rPr>
      </w:pPr>
      <w:bookmarkStart w:id="44" w:name="_Toc165803477"/>
      <w:r>
        <w:rPr>
          <w:rFonts w:hint="eastAsia"/>
          <w:color w:val="000000" w:themeColor="text1"/>
        </w:rPr>
        <w:t>7.4农药包装废弃物处理</w:t>
      </w:r>
      <w:bookmarkEnd w:id="44"/>
    </w:p>
    <w:p>
      <w:pPr>
        <w:pStyle w:val="57"/>
        <w:ind w:firstLine="420"/>
        <w:rPr>
          <w:color w:val="000000" w:themeColor="text1"/>
        </w:rPr>
      </w:pPr>
      <w:r>
        <w:rPr>
          <w:rFonts w:hint="eastAsia"/>
          <w:color w:val="000000" w:themeColor="text1"/>
        </w:rPr>
        <w:t>应按《农药包装废弃物回收处理管理办法》规定妥善处理。</w:t>
      </w:r>
    </w:p>
    <w:p>
      <w:pPr>
        <w:pStyle w:val="105"/>
        <w:numPr>
          <w:ilvl w:val="0"/>
          <w:numId w:val="0"/>
        </w:numPr>
        <w:spacing w:before="156" w:beforeLines="50" w:after="156" w:afterLines="50"/>
        <w:rPr>
          <w:color w:val="000000" w:themeColor="text1"/>
        </w:rPr>
      </w:pPr>
      <w:bookmarkStart w:id="45" w:name="_Toc165803478"/>
      <w:r>
        <w:rPr>
          <w:rFonts w:hint="eastAsia"/>
          <w:color w:val="000000" w:themeColor="text1"/>
        </w:rPr>
        <w:t>8肥料</w:t>
      </w:r>
      <w:bookmarkEnd w:id="45"/>
    </w:p>
    <w:p>
      <w:pPr>
        <w:pStyle w:val="57"/>
        <w:ind w:left="0" w:leftChars="0" w:firstLine="0" w:firstLineChars="0"/>
        <w:outlineLvl w:val="1"/>
        <w:rPr>
          <w:rFonts w:ascii="黑体" w:hAnsi="黑体" w:eastAsia="黑体"/>
        </w:rPr>
      </w:pPr>
      <w:bookmarkStart w:id="46" w:name="_Toc165803479"/>
      <w:r>
        <w:rPr>
          <w:rFonts w:ascii="黑体" w:hAnsi="黑体" w:eastAsia="黑体"/>
        </w:rPr>
        <w:t>8.1肥料选择</w:t>
      </w:r>
      <w:bookmarkEnd w:id="46"/>
      <w:r>
        <w:rPr>
          <w:rFonts w:ascii="黑体" w:hAnsi="黑体" w:eastAsia="黑体"/>
        </w:rPr>
        <w:t xml:space="preserve"> </w:t>
      </w:r>
    </w:p>
    <w:p>
      <w:pPr>
        <w:pStyle w:val="57"/>
        <w:spacing w:before="156" w:beforeLines="50"/>
        <w:ind w:firstLine="420"/>
      </w:pPr>
      <w:r>
        <w:t>推荐符合NY/T 525规定的有机肥料，合理施用化学肥料并严格控制氮肥使用，微生物肥料、叶面肥料和微量元素肥料只能作为辅助性肥料，微量元素的施用要有针对性。选用农家肥必须经过充分发酵腐熟。</w:t>
      </w:r>
    </w:p>
    <w:p>
      <w:pPr>
        <w:pStyle w:val="57"/>
        <w:spacing w:before="156" w:beforeLines="50" w:after="156" w:afterLines="50"/>
        <w:ind w:left="0" w:leftChars="0" w:firstLine="0" w:firstLineChars="0"/>
        <w:outlineLvl w:val="1"/>
        <w:rPr>
          <w:rFonts w:ascii="黑体" w:hAnsi="黑体" w:eastAsia="黑体"/>
        </w:rPr>
      </w:pPr>
      <w:bookmarkStart w:id="47" w:name="_Toc165803480"/>
      <w:r>
        <w:rPr>
          <w:rFonts w:ascii="黑体" w:hAnsi="黑体" w:eastAsia="黑体"/>
        </w:rPr>
        <w:t>8.2肥料使用原则</w:t>
      </w:r>
      <w:bookmarkEnd w:id="47"/>
    </w:p>
    <w:p>
      <w:pPr>
        <w:pStyle w:val="57"/>
        <w:spacing w:before="156" w:beforeLines="50" w:after="156" w:afterLines="50"/>
        <w:ind w:left="0" w:leftChars="0" w:firstLine="0" w:firstLineChars="0"/>
        <w:outlineLvl w:val="2"/>
        <w:rPr>
          <w:rFonts w:ascii="黑体" w:hAnsi="黑体" w:eastAsia="黑体"/>
        </w:rPr>
      </w:pPr>
      <w:r>
        <w:rPr>
          <w:rFonts w:ascii="黑体" w:hAnsi="黑体" w:eastAsia="黑体"/>
        </w:rPr>
        <w:t>8.2.1 土壤健康原则</w:t>
      </w:r>
    </w:p>
    <w:p>
      <w:pPr>
        <w:spacing w:before="156" w:beforeLines="50"/>
        <w:ind w:firstLine="420" w:firstLineChars="200"/>
        <w:rPr>
          <w:rFonts w:ascii="宋体" w:hAnsi="Times New Roman" w:eastAsia="宋体" w:cs="Times New Roman"/>
          <w:kern w:val="0"/>
          <w:szCs w:val="20"/>
        </w:rPr>
      </w:pPr>
      <w:r>
        <w:rPr>
          <w:rFonts w:ascii="宋体" w:hAnsi="Times New Roman" w:eastAsia="宋体" w:cs="Times New Roman"/>
          <w:kern w:val="0"/>
          <w:szCs w:val="20"/>
        </w:rPr>
        <w:t>坚持有机与无机养分结合，提高土壤有机质含量和肥力，改善土壤物理、化学与生物性质，构建高产、抗逆的健康土壤。</w:t>
      </w:r>
    </w:p>
    <w:p>
      <w:pPr>
        <w:pStyle w:val="57"/>
        <w:spacing w:before="156" w:beforeLines="50" w:after="156" w:afterLines="50"/>
        <w:ind w:left="0" w:leftChars="0" w:firstLine="0" w:firstLineChars="0"/>
        <w:outlineLvl w:val="2"/>
        <w:rPr>
          <w:rFonts w:ascii="黑体" w:hAnsi="黑体" w:eastAsia="黑体"/>
        </w:rPr>
      </w:pPr>
      <w:r>
        <w:rPr>
          <w:rFonts w:ascii="黑体" w:hAnsi="黑体" w:eastAsia="黑体"/>
        </w:rPr>
        <w:t xml:space="preserve">8.2.2 安全优质原则 </w:t>
      </w:r>
    </w:p>
    <w:p>
      <w:pPr>
        <w:pStyle w:val="57"/>
        <w:ind w:firstLine="420"/>
      </w:pPr>
      <w:r>
        <w:t>使用安全、优质的肥料产品，有机肥的腐熟应符合NY/T 3442要求，肥料中重金属、有害微生物、抗生素等有毒有害物质限量应符合GB 38400要求，肥料的使用不应对作物感官、安全和营养等品质、以及环境造成不良影响。</w:t>
      </w:r>
    </w:p>
    <w:p>
      <w:pPr>
        <w:pStyle w:val="57"/>
        <w:spacing w:before="156" w:beforeLines="50" w:after="156" w:afterLines="50"/>
        <w:ind w:left="0" w:leftChars="0" w:firstLine="0" w:firstLineChars="0"/>
        <w:outlineLvl w:val="2"/>
        <w:rPr>
          <w:rFonts w:ascii="黑体" w:hAnsi="黑体" w:eastAsia="黑体"/>
        </w:rPr>
      </w:pPr>
      <w:r>
        <w:rPr>
          <w:rFonts w:ascii="黑体" w:hAnsi="黑体" w:eastAsia="黑体"/>
        </w:rPr>
        <w:t xml:space="preserve">8.2.3 化肥减控原则 </w:t>
      </w:r>
    </w:p>
    <w:p>
      <w:pPr>
        <w:pStyle w:val="57"/>
        <w:ind w:firstLine="420"/>
      </w:pPr>
      <w:r>
        <w:t>在保障养分充足供给的基础上，减少化肥使用总量，提高配方肥、专用肥施用比例，减少不合理养分投入。合理利用有机养分资源，推进增施有机肥、种植绿肥、秸秆还田、生物固氮等多元替代化肥方式，推动有机无机结合。</w:t>
      </w:r>
    </w:p>
    <w:p>
      <w:pPr>
        <w:pStyle w:val="105"/>
        <w:numPr>
          <w:ilvl w:val="0"/>
          <w:numId w:val="0"/>
        </w:numPr>
        <w:spacing w:before="156" w:beforeLines="50" w:after="156" w:afterLines="50"/>
        <w:rPr>
          <w:color w:val="000000" w:themeColor="text1"/>
        </w:rPr>
      </w:pPr>
      <w:bookmarkStart w:id="48" w:name="_Toc165803481"/>
      <w:r>
        <w:rPr>
          <w:rFonts w:hint="eastAsia"/>
          <w:color w:val="000000" w:themeColor="text1"/>
        </w:rPr>
        <w:t>9地膜</w:t>
      </w:r>
      <w:bookmarkEnd w:id="48"/>
    </w:p>
    <w:p>
      <w:pPr>
        <w:pStyle w:val="106"/>
        <w:numPr>
          <w:ilvl w:val="0"/>
          <w:numId w:val="0"/>
        </w:numPr>
        <w:spacing w:before="156" w:after="156"/>
        <w:rPr>
          <w:color w:val="000000" w:themeColor="text1"/>
        </w:rPr>
      </w:pPr>
      <w:bookmarkStart w:id="49" w:name="_Toc165803482"/>
      <w:r>
        <w:rPr>
          <w:rFonts w:hint="eastAsia"/>
          <w:color w:val="000000" w:themeColor="text1"/>
        </w:rPr>
        <w:t>9.1地膜选择</w:t>
      </w:r>
      <w:bookmarkEnd w:id="49"/>
    </w:p>
    <w:p>
      <w:pPr>
        <w:pStyle w:val="57"/>
        <w:ind w:left="142" w:firstLine="420"/>
        <w:rPr>
          <w:rFonts w:hAnsi="宋体"/>
          <w:color w:val="000000" w:themeColor="text1"/>
        </w:rPr>
      </w:pPr>
      <w:r>
        <w:rPr>
          <w:rFonts w:hAnsi="宋体"/>
          <w:color w:val="000000" w:themeColor="text1"/>
          <w:szCs w:val="21"/>
        </w:rPr>
        <w:t>应符合GB</w:t>
      </w:r>
      <w:r>
        <w:rPr>
          <w:rFonts w:hint="eastAsia" w:hAnsi="宋体"/>
          <w:color w:val="000000" w:themeColor="text1"/>
          <w:szCs w:val="21"/>
        </w:rPr>
        <w:t xml:space="preserve"> </w:t>
      </w:r>
      <w:r>
        <w:rPr>
          <w:rFonts w:hAnsi="宋体"/>
          <w:color w:val="000000" w:themeColor="text1"/>
          <w:szCs w:val="21"/>
        </w:rPr>
        <w:t>13735</w:t>
      </w:r>
      <w:r>
        <w:rPr>
          <w:rFonts w:hint="eastAsia" w:hAnsi="宋体"/>
          <w:color w:val="000000" w:themeColor="text1"/>
          <w:szCs w:val="21"/>
        </w:rPr>
        <w:t xml:space="preserve"> </w:t>
      </w:r>
      <w:r>
        <w:rPr>
          <w:rFonts w:hAnsi="宋体"/>
          <w:color w:val="000000" w:themeColor="text1"/>
          <w:szCs w:val="21"/>
        </w:rPr>
        <w:t>标准</w:t>
      </w:r>
      <w:r>
        <w:rPr>
          <w:rFonts w:hint="eastAsia" w:hAnsi="宋体"/>
          <w:color w:val="000000" w:themeColor="text1"/>
          <w:szCs w:val="21"/>
        </w:rPr>
        <w:t>规定</w:t>
      </w:r>
      <w:r>
        <w:rPr>
          <w:rFonts w:hAnsi="宋体"/>
          <w:color w:val="000000" w:themeColor="text1"/>
          <w:szCs w:val="21"/>
        </w:rPr>
        <w:t>要求，在秋季覆膜上推荐厚度为0.014mm、耐候期不小于360d的地膜，便于人工或机械回收</w:t>
      </w:r>
      <w:r>
        <w:rPr>
          <w:rFonts w:hint="eastAsia" w:hAnsi="宋体"/>
          <w:color w:val="000000" w:themeColor="text1"/>
        </w:rPr>
        <w:t>。推荐使用生物降解地膜，减少环境污染。</w:t>
      </w:r>
    </w:p>
    <w:p>
      <w:pPr>
        <w:pStyle w:val="106"/>
        <w:numPr>
          <w:ilvl w:val="0"/>
          <w:numId w:val="0"/>
        </w:numPr>
        <w:spacing w:before="156" w:after="156"/>
        <w:rPr>
          <w:color w:val="000000" w:themeColor="text1"/>
        </w:rPr>
      </w:pPr>
      <w:bookmarkStart w:id="50" w:name="_Toc165803483"/>
      <w:r>
        <w:rPr>
          <w:rFonts w:hint="eastAsia"/>
          <w:color w:val="000000" w:themeColor="text1"/>
        </w:rPr>
        <w:t>9.2地膜使用</w:t>
      </w:r>
      <w:bookmarkEnd w:id="50"/>
    </w:p>
    <w:p>
      <w:pPr>
        <w:pStyle w:val="57"/>
        <w:ind w:firstLine="420"/>
        <w:rPr>
          <w:color w:val="000000" w:themeColor="text1"/>
        </w:rPr>
      </w:pPr>
      <w:r>
        <w:rPr>
          <w:rFonts w:hint="eastAsia"/>
          <w:color w:val="000000" w:themeColor="text1"/>
        </w:rPr>
        <w:t>一膜种植三行，幅宽130cm；一膜种植两行，幅宽75cm。</w:t>
      </w:r>
    </w:p>
    <w:p>
      <w:pPr>
        <w:pStyle w:val="106"/>
        <w:numPr>
          <w:ilvl w:val="0"/>
          <w:numId w:val="0"/>
        </w:numPr>
        <w:spacing w:before="156" w:after="156"/>
        <w:outlineLvl w:val="0"/>
        <w:rPr>
          <w:color w:val="000000" w:themeColor="text1"/>
        </w:rPr>
      </w:pPr>
      <w:bookmarkStart w:id="51" w:name="_Toc165803484"/>
      <w:r>
        <w:rPr>
          <w:rFonts w:hint="eastAsia"/>
          <w:color w:val="000000" w:themeColor="text1"/>
        </w:rPr>
        <w:t>10</w:t>
      </w:r>
      <w:r>
        <w:rPr>
          <w:color w:val="000000" w:themeColor="text1"/>
        </w:rPr>
        <w:t>投入品管理</w:t>
      </w:r>
      <w:bookmarkEnd w:id="51"/>
    </w:p>
    <w:p>
      <w:pPr>
        <w:pStyle w:val="57"/>
        <w:ind w:left="0" w:leftChars="0" w:firstLine="0" w:firstLineChars="0"/>
        <w:outlineLvl w:val="1"/>
        <w:rPr>
          <w:rFonts w:ascii="黑体" w:hAnsi="黑体" w:eastAsia="黑体"/>
          <w:color w:val="000000" w:themeColor="text1"/>
        </w:rPr>
      </w:pPr>
      <w:bookmarkStart w:id="52" w:name="_Toc165803485"/>
      <w:r>
        <w:rPr>
          <w:rFonts w:hint="eastAsia" w:ascii="黑体" w:hAnsi="黑体" w:eastAsia="黑体"/>
          <w:color w:val="000000" w:themeColor="text1"/>
        </w:rPr>
        <w:t>10.1 专人管理</w:t>
      </w:r>
      <w:bookmarkEnd w:id="52"/>
    </w:p>
    <w:p>
      <w:pPr>
        <w:pStyle w:val="57"/>
        <w:spacing w:before="156" w:beforeLines="50" w:after="156" w:afterLines="50"/>
        <w:ind w:firstLine="420"/>
        <w:rPr>
          <w:rFonts w:hAnsi="宋体"/>
          <w:color w:val="000000" w:themeColor="text1"/>
        </w:rPr>
      </w:pPr>
      <w:r>
        <w:rPr>
          <w:rFonts w:hint="eastAsia" w:hAnsi="宋体"/>
          <w:color w:val="000000" w:themeColor="text1"/>
        </w:rPr>
        <w:t>建立投入品专人统一管理制度，管理人员需持证上岗，</w:t>
      </w:r>
      <w:r>
        <w:rPr>
          <w:rFonts w:hAnsi="宋体"/>
          <w:color w:val="000000" w:themeColor="text1"/>
        </w:rPr>
        <w:t>投入品入库前必须进行检验，经检验合格后方可入库。入库的农业投入品要进行分类整理且排放整齐，并作好登记，其中包括品种、数量、规格等，并做好《农业投入品仓库管理卡》</w:t>
      </w:r>
      <w:r>
        <w:rPr>
          <w:rFonts w:hint="eastAsia" w:hAnsi="宋体"/>
          <w:color w:val="000000" w:themeColor="text1"/>
        </w:rPr>
        <w:t>。</w:t>
      </w:r>
    </w:p>
    <w:p>
      <w:pPr>
        <w:pStyle w:val="57"/>
        <w:ind w:left="0" w:leftChars="0" w:firstLine="0" w:firstLineChars="0"/>
        <w:outlineLvl w:val="1"/>
        <w:rPr>
          <w:rFonts w:ascii="黑体" w:hAnsi="黑体" w:eastAsia="黑体"/>
          <w:color w:val="000000" w:themeColor="text1"/>
        </w:rPr>
      </w:pPr>
      <w:bookmarkStart w:id="53" w:name="_Toc165803486"/>
      <w:r>
        <w:rPr>
          <w:rFonts w:hint="eastAsia" w:ascii="黑体" w:hAnsi="黑体" w:eastAsia="黑体"/>
          <w:color w:val="000000" w:themeColor="text1"/>
        </w:rPr>
        <w:t xml:space="preserve">10.2 </w:t>
      </w:r>
      <w:r>
        <w:rPr>
          <w:rFonts w:ascii="黑体" w:hAnsi="黑体" w:eastAsia="黑体"/>
          <w:color w:val="000000" w:themeColor="text1"/>
        </w:rPr>
        <w:t>仓储环境要求</w:t>
      </w:r>
      <w:bookmarkEnd w:id="53"/>
    </w:p>
    <w:p>
      <w:pPr>
        <w:pStyle w:val="57"/>
        <w:spacing w:before="156" w:beforeLines="50" w:after="156" w:afterLines="50"/>
        <w:ind w:firstLine="420"/>
        <w:rPr>
          <w:rFonts w:hAnsi="宋体"/>
          <w:color w:val="000000" w:themeColor="text1"/>
        </w:rPr>
      </w:pPr>
      <w:r>
        <w:rPr>
          <w:rFonts w:hAnsi="宋体"/>
          <w:color w:val="000000" w:themeColor="text1"/>
        </w:rPr>
        <w:t>种子、肥料和农药应有干燥、通风的专用仓库储放</w:t>
      </w:r>
      <w:r>
        <w:rPr>
          <w:rFonts w:hint="eastAsia" w:hAnsi="宋体"/>
          <w:color w:val="000000" w:themeColor="text1"/>
        </w:rPr>
        <w:t>，</w:t>
      </w:r>
      <w:r>
        <w:rPr>
          <w:rFonts w:hAnsi="宋体"/>
          <w:color w:val="000000" w:themeColor="text1"/>
        </w:rPr>
        <w:t>防止种子、化肥和农药霉烂、变质、受潮、结块等，做好仓库的防火、防盗、防水等工作。农药要有专门的房间存放，对杀菌剂、杀虫剂分开放并</w:t>
      </w:r>
      <w:r>
        <w:rPr>
          <w:rFonts w:hint="eastAsia" w:hAnsi="宋体"/>
          <w:color w:val="000000" w:themeColor="text1"/>
        </w:rPr>
        <w:t>做</w:t>
      </w:r>
      <w:r>
        <w:rPr>
          <w:rFonts w:hAnsi="宋体"/>
          <w:color w:val="000000" w:themeColor="text1"/>
        </w:rPr>
        <w:t>好标记，对农药的进出必须严格登记。</w:t>
      </w:r>
    </w:p>
    <w:p>
      <w:pPr>
        <w:pStyle w:val="57"/>
        <w:ind w:left="0" w:leftChars="0" w:firstLine="0" w:firstLineChars="0"/>
        <w:outlineLvl w:val="1"/>
        <w:rPr>
          <w:rFonts w:ascii="黑体" w:hAnsi="黑体" w:eastAsia="黑体"/>
          <w:color w:val="000000" w:themeColor="text1"/>
        </w:rPr>
      </w:pPr>
      <w:bookmarkStart w:id="54" w:name="_Toc165803487"/>
      <w:r>
        <w:rPr>
          <w:rFonts w:hint="eastAsia" w:ascii="黑体" w:hAnsi="黑体" w:eastAsia="黑体"/>
          <w:color w:val="000000" w:themeColor="text1"/>
        </w:rPr>
        <w:t>10.3 使用记录的填写</w:t>
      </w:r>
      <w:bookmarkEnd w:id="54"/>
    </w:p>
    <w:p>
      <w:pPr>
        <w:pStyle w:val="57"/>
        <w:spacing w:before="156" w:beforeLines="50" w:after="156" w:afterLines="50"/>
        <w:ind w:firstLine="420"/>
        <w:rPr>
          <w:rFonts w:hAnsi="宋体"/>
          <w:color w:val="000000" w:themeColor="text1"/>
        </w:rPr>
      </w:pPr>
      <w:r>
        <w:rPr>
          <w:rFonts w:hint="eastAsia" w:hAnsi="宋体"/>
          <w:color w:val="000000" w:themeColor="text1"/>
        </w:rPr>
        <w:t>及时填写投入品使用记录，保证使用记录清晰、可溯源，使用记录保存不低于2年。</w:t>
      </w:r>
    </w:p>
    <w:p>
      <w:pPr>
        <w:pStyle w:val="57"/>
        <w:numPr>
          <w:numId w:val="0"/>
        </w:numPr>
        <w:outlineLvl w:val="1"/>
        <w:rPr>
          <w:rFonts w:ascii="黑体" w:hAnsi="黑体" w:eastAsia="黑体"/>
          <w:color w:val="000000" w:themeColor="text1"/>
        </w:rPr>
      </w:pPr>
      <w:bookmarkStart w:id="55" w:name="_Toc165803488"/>
      <w:r>
        <w:rPr>
          <w:rFonts w:hint="eastAsia" w:ascii="黑体" w:hAnsi="黑体" w:eastAsia="黑体"/>
          <w:color w:val="000000" w:themeColor="text1"/>
          <w:lang w:val="en-US" w:eastAsia="zh-CN"/>
        </w:rPr>
        <w:t xml:space="preserve">10.4 </w:t>
      </w:r>
      <w:r>
        <w:rPr>
          <w:rFonts w:hint="eastAsia" w:ascii="黑体" w:hAnsi="黑体" w:eastAsia="黑体"/>
          <w:color w:val="000000" w:themeColor="text1"/>
        </w:rPr>
        <w:t>废弃物处理</w:t>
      </w:r>
      <w:bookmarkEnd w:id="55"/>
    </w:p>
    <w:p>
      <w:pPr>
        <w:pStyle w:val="57"/>
        <w:spacing w:before="156" w:beforeLines="50" w:after="156" w:afterLines="50"/>
        <w:ind w:firstLine="420"/>
        <w:rPr>
          <w:rFonts w:hAnsi="宋体"/>
          <w:color w:val="000000" w:themeColor="text1"/>
        </w:rPr>
      </w:pPr>
      <w:r>
        <w:rPr>
          <w:rFonts w:hAnsi="宋体"/>
          <w:color w:val="000000" w:themeColor="text1"/>
        </w:rPr>
        <w:t>对使用后的投入品(肥料、农药等)的包装袋、瓶、箱</w:t>
      </w:r>
      <w:r>
        <w:rPr>
          <w:rFonts w:hint="eastAsia" w:hAnsi="宋体"/>
          <w:color w:val="000000" w:themeColor="text1"/>
        </w:rPr>
        <w:t>、罐等</w:t>
      </w:r>
      <w:r>
        <w:rPr>
          <w:rFonts w:hAnsi="宋体"/>
          <w:color w:val="000000" w:themeColor="text1"/>
        </w:rPr>
        <w:t>应集中回收，统一处理，以防止造成环境二次污染。</w:t>
      </w:r>
    </w:p>
    <w:bookmarkEnd w:id="30"/>
    <w:p>
      <w:pPr>
        <w:pStyle w:val="57"/>
        <w:spacing w:before="156" w:beforeLines="50" w:after="156" w:afterLines="50"/>
        <w:ind w:left="0" w:leftChars="0" w:firstLine="0" w:firstLineChars="0"/>
        <w:rPr>
          <w:rFonts w:hAnsi="宋体"/>
          <w:color w:val="000000" w:themeColor="text1"/>
        </w:rPr>
      </w:pPr>
    </w:p>
    <w:p>
      <w:pPr>
        <w:pStyle w:val="236"/>
        <w:ind w:left="420" w:firstLine="420"/>
      </w:pPr>
    </w:p>
    <w:p>
      <w:pPr>
        <w:pStyle w:val="57"/>
        <w:spacing w:before="156" w:beforeLines="50" w:after="156" w:afterLines="50"/>
        <w:ind w:firstLine="199" w:firstLineChars="95"/>
        <w:jc w:val="center"/>
        <w:rPr>
          <w:rFonts w:hAnsi="宋体"/>
          <w:color w:val="000000" w:themeColor="text1"/>
        </w:rPr>
      </w:pPr>
      <w:r>
        <w:t>_________________________________</w:t>
      </w:r>
    </w:p>
    <w:p>
      <w:pPr>
        <w:pStyle w:val="236"/>
      </w:pPr>
    </w:p>
    <w:sectPr>
      <w:headerReference r:id="rId13" w:type="default"/>
      <w:footerReference r:id="rId14"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Light">
    <w:altName w:val="宋体"/>
    <w:panose1 w:val="02010600030101010101"/>
    <w:charset w:val="86"/>
    <w:family w:val="roman"/>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8382944"/>
    </w:sdtPr>
    <w:sdtEndPr>
      <w:rPr>
        <w:rFonts w:ascii="宋体" w:hAnsi="宋体" w:eastAsia="宋体"/>
      </w:rPr>
    </w:sdtEndPr>
    <w:sdtContent>
      <w:p>
        <w:pPr>
          <w:pStyle w:val="17"/>
          <w:ind w:right="180" w:firstLine="180" w:firstLineChars="100"/>
          <w:jc w:val="right"/>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I</w:t>
        </w:r>
        <w:r>
          <w:rPr>
            <w:rFonts w:ascii="宋体" w:hAnsi="宋体" w:eastAsia="宋体"/>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9"/>
      <w:spacing w:before="0"/>
      <w:rPr>
        <w:rFonts w:ascii="黑体" w:hAnsi="黑体" w:eastAsia="黑体"/>
        <w:sz w:val="21"/>
        <w:szCs w:val="15"/>
      </w:rPr>
    </w:pPr>
    <w:r>
      <w:rPr>
        <w:rFonts w:hint="eastAsia" w:ascii="黑体" w:hAnsi="黑体" w:eastAsia="黑体"/>
        <w:sz w:val="21"/>
        <w:szCs w:val="15"/>
      </w:rPr>
      <w:t>DB1504/T XXXX</w:t>
    </w:r>
    <w:r>
      <w:rPr>
        <w:rFonts w:ascii="黑体" w:hAnsi="黑体" w:eastAsia="黑体"/>
        <w:sz w:val="21"/>
        <w:szCs w:val="15"/>
      </w:rPr>
      <w:t>—</w:t>
    </w:r>
    <w:r>
      <w:rPr>
        <w:rFonts w:hint="eastAsia" w:ascii="黑体" w:hAnsi="黑体" w:eastAsia="黑体"/>
        <w:sz w:val="21"/>
        <w:szCs w:val="15"/>
      </w:rPr>
      <w:t>XXXX</w:t>
    </w:r>
  </w:p>
  <w:p>
    <w:pPr>
      <w:pStyle w:val="233"/>
      <w:jc w:val="left"/>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2F5D3243"/>
    <w:multiLevelType w:val="multilevel"/>
    <w:tmpl w:val="2F5D324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3"/>
      <w:lvlText w:val="%1.%2.%3.%4."/>
      <w:lvlJc w:val="left"/>
      <w:pPr>
        <w:ind w:left="1135"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JjMGM1ZmMwYTViNGNkYTY0MzVkNTU4OTZiMTBmMWY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5035C62"/>
    <w:rsid w:val="066868C0"/>
    <w:rsid w:val="0BFD1FAB"/>
    <w:rsid w:val="0CFA4CFF"/>
    <w:rsid w:val="0EF75616"/>
    <w:rsid w:val="132C72CB"/>
    <w:rsid w:val="15E57F55"/>
    <w:rsid w:val="196229FF"/>
    <w:rsid w:val="1B111B4F"/>
    <w:rsid w:val="1B7F0DE3"/>
    <w:rsid w:val="1DA86AD8"/>
    <w:rsid w:val="1EB04003"/>
    <w:rsid w:val="217C30B5"/>
    <w:rsid w:val="2A6B74CB"/>
    <w:rsid w:val="2AA75275"/>
    <w:rsid w:val="35BF731B"/>
    <w:rsid w:val="35D023FC"/>
    <w:rsid w:val="39411873"/>
    <w:rsid w:val="453F2418"/>
    <w:rsid w:val="4D333244"/>
    <w:rsid w:val="4E5F0337"/>
    <w:rsid w:val="519A1FFA"/>
    <w:rsid w:val="58D25A1D"/>
    <w:rsid w:val="5D0C7301"/>
    <w:rsid w:val="60752640"/>
    <w:rsid w:val="65205DE7"/>
    <w:rsid w:val="672E733A"/>
    <w:rsid w:val="6ABE2867"/>
    <w:rsid w:val="6D1C2BBC"/>
    <w:rsid w:val="7A747DC6"/>
    <w:rsid w:val="7E9D7114"/>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8"/>
    <w:autoRedefine/>
    <w:qFormat/>
    <w:uiPriority w:val="99"/>
    <w:rPr>
      <w:kern w:val="2"/>
      <w:sz w:val="18"/>
      <w:szCs w:val="18"/>
    </w:rPr>
  </w:style>
  <w:style w:type="character" w:customStyle="1" w:styleId="45">
    <w:name w:val="页脚 Char"/>
    <w:link w:val="17"/>
    <w:autoRedefine/>
    <w:qFormat/>
    <w:uiPriority w:val="99"/>
    <w:rPr>
      <w:rFonts w:ascii="宋体"/>
      <w:kern w:val="2"/>
      <w:sz w:val="18"/>
      <w:szCs w:val="18"/>
    </w:rPr>
  </w:style>
  <w:style w:type="character" w:customStyle="1" w:styleId="46">
    <w:name w:val="批注框文本 Char"/>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2">
    <w:name w:val=" 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章标题"/>
    <w:next w:val="236"/>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前言、引言标题"/>
    <w:next w:val="23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240">
    <w:name w:val="15"/>
    <w:qFormat/>
    <w:uiPriority w:val="0"/>
    <w:rPr>
      <w:rFonts w:hint="default" w:ascii="Times New Roman" w:hAnsi="Times New Roman" w:cs="Times New Roman"/>
    </w:rPr>
  </w:style>
  <w:style w:type="character" w:customStyle="1" w:styleId="241">
    <w:name w:val="NormalCharacter"/>
    <w:semiHidden/>
    <w:qFormat/>
    <w:uiPriority w:val="99"/>
  </w:style>
  <w:style w:type="paragraph" w:customStyle="1" w:styleId="242">
    <w:name w:val="二级条标题"/>
    <w:basedOn w:val="237"/>
    <w:next w:val="236"/>
    <w:qFormat/>
    <w:uiPriority w:val="0"/>
    <w:pPr>
      <w:outlineLvl w:val="3"/>
    </w:pPr>
  </w:style>
  <w:style w:type="paragraph" w:customStyle="1" w:styleId="243">
    <w:name w:val="三级无"/>
    <w:basedOn w:val="244"/>
    <w:qFormat/>
    <w:uiPriority w:val="0"/>
    <w:pPr>
      <w:numPr>
        <w:ilvl w:val="3"/>
        <w:numId w:val="33"/>
      </w:numPr>
      <w:adjustRightInd/>
      <w:snapToGrid/>
      <w:spacing w:before="0" w:line="240" w:lineRule="auto"/>
      <w:ind w:left="0" w:firstLine="0"/>
      <w:jc w:val="left"/>
    </w:pPr>
    <w:rPr>
      <w:rFonts w:ascii="宋体" w:hAnsi="Times New Roman" w:eastAsia="宋体"/>
      <w:sz w:val="21"/>
    </w:rPr>
  </w:style>
  <w:style w:type="paragraph" w:customStyle="1" w:styleId="244">
    <w:name w:val="三级条标题"/>
    <w:basedOn w:val="242"/>
    <w:next w:val="236"/>
    <w:qFormat/>
    <w:uiPriority w:val="0"/>
    <w:pPr>
      <w:outlineLvl w:val="4"/>
    </w:pPr>
  </w:style>
  <w:style w:type="paragraph" w:styleId="24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706B"/>
    <w:rsid w:val="000D56F1"/>
    <w:rsid w:val="000E39F5"/>
    <w:rsid w:val="00722E47"/>
    <w:rsid w:val="007C7077"/>
    <w:rsid w:val="008A17A9"/>
    <w:rsid w:val="009767D8"/>
    <w:rsid w:val="00EC2B5D"/>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4A46-581D-4FC5-86CF-009567057D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5</Pages>
  <Words>3274</Words>
  <Characters>3980</Characters>
  <Lines>20</Lines>
  <Paragraphs>5</Paragraphs>
  <TotalTime>2</TotalTime>
  <ScaleCrop>false</ScaleCrop>
  <LinksUpToDate>false</LinksUpToDate>
  <CharactersWithSpaces>4152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默默</cp:lastModifiedBy>
  <cp:lastPrinted>2020-08-30T10:00:00Z</cp:lastPrinted>
  <dcterms:modified xsi:type="dcterms:W3CDTF">2024-06-05T02:58:47Z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90B7486150AA4A8C91965193A5276226</vt:lpwstr>
  </property>
</Properties>
</file>