
<file path=[Content_Types].xml><?xml version="1.0" encoding="utf-8"?>
<Types xmlns="http://schemas.openxmlformats.org/package/2006/content-types">
  <Default Extension="xml" ContentType="application/xml"/>
  <Default Extension="tiff" ContentType="image/tiff"/>
  <Default Extension="png" ContentType="image/png"/>
  <Default Extension="wdp" ContentType="image/vnd.ms-photo"/>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1504</w:t>
            </w:r>
            <w:r>
              <w:fldChar w:fldCharType="end"/>
            </w:r>
            <w:bookmarkEnd w:id="3"/>
          </w:p>
        </w:tc>
      </w:tr>
    </w:tbl>
    <w:p>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 xml:space="preserve"> 赤峰市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6"/>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15</w:t>
      </w:r>
      <w:r>
        <w:rPr>
          <w:rFonts w:hint="eastAsia"/>
        </w:rPr>
        <w:t>04</w:t>
      </w:r>
      <w:r>
        <w:rPr>
          <w:lang w:val="fr-FR"/>
        </w:rPr>
        <w:t>/T</w:t>
      </w:r>
      <w:r>
        <w:rPr>
          <w:rFonts w:hint="eastAsia"/>
          <w:lang w:val="en-US" w:eastAsia="zh-CN"/>
        </w:rPr>
        <w:t xml:space="preserve"> </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XXXX</w:t>
      </w:r>
      <w:r>
        <w:fldChar w:fldCharType="end"/>
      </w:r>
      <w:bookmarkEnd w:id="7"/>
    </w:p>
    <w:p>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lang w:bidi="mn-Mong-CN"/>
        </w:rPr>
        <w:pict>
          <v:line id="_x0000_s1026" o:spid="_x0000_s1026"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赤峰小米地理标志农产品质量追溯要求</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Chifeng millet quality traceability practice</w:t>
      </w:r>
      <w:r>
        <w:rPr>
          <w:rFonts w:eastAsia="黑体"/>
          <w:szCs w:val="28"/>
        </w:rPr>
        <w:t>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val="en-US" w:eastAsia="zh-CN"/>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val="en-US" w:eastAsia="zh-CN"/>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赤峰市市场监督管理局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lang w:bidi="mn-Mong-CN"/>
        </w:rPr>
        <w:pict>
          <v:line id="_x0000_s1027" o:spid="_x0000_s1027"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07DBFB969B734393A2128F887F63D3E3"/>
        </w:placeholder>
      </w:sdtPr>
      <w:sdtContent>
        <w:p>
          <w:pPr>
            <w:pStyle w:val="2"/>
            <w:keepNext w:val="0"/>
            <w:keepLines w:val="0"/>
            <w:numPr>
              <w:ilvl w:val="0"/>
              <w:numId w:val="0"/>
            </w:numPr>
            <w:spacing w:before="312" w:after="312" w:line="360" w:lineRule="auto"/>
            <w:jc w:val="center"/>
            <w:rPr>
              <w:rFonts w:ascii="Times New Roman" w:hAnsi="Times New Roman" w:cs="Times New Roman"/>
              <w:sz w:val="32"/>
              <w:szCs w:val="32"/>
            </w:rPr>
          </w:pPr>
          <w:bookmarkStart w:id="22" w:name="_Toc81757554"/>
          <w:bookmarkStart w:id="23" w:name="NEW_STAND_NAME"/>
          <w:r>
            <w:rPr>
              <w:rFonts w:hint="eastAsia"/>
              <w:lang w:val="en-US" w:eastAsia="zh-CN"/>
            </w:rPr>
            <w:t xml:space="preserve"> </w:t>
          </w:r>
          <w:bookmarkStart w:id="24" w:name="_Toc90371857"/>
          <w:bookmarkStart w:id="25" w:name="_Toc151715349"/>
          <w:bookmarkStart w:id="26" w:name="_Toc87358141"/>
          <w:r>
            <w:rPr>
              <w:rFonts w:ascii="Times New Roman" w:hAnsi="Times New Roman" w:cs="Times New Roman"/>
              <w:sz w:val="32"/>
              <w:szCs w:val="32"/>
            </w:rPr>
            <w:t>前    言</w:t>
          </w:r>
          <w:bookmarkEnd w:id="24"/>
          <w:bookmarkEnd w:id="25"/>
          <w:bookmarkEnd w:id="26"/>
        </w:p>
        <w:p>
          <w:pPr>
            <w:pStyle w:val="245"/>
            <w:spacing w:before="680" w:line="360" w:lineRule="auto"/>
            <w:rPr>
              <w:rFonts w:ascii="Times New Roman" w:hAnsi="Times New Roman" w:eastAsia="宋体" w:cs="Times New Roman"/>
            </w:rPr>
          </w:pPr>
          <w:r>
            <w:rPr>
              <w:rFonts w:ascii="Times New Roman" w:hAnsi="Times New Roman" w:eastAsia="宋体" w:cs="Times New Roman"/>
            </w:rPr>
            <w:t>本文件</w:t>
          </w:r>
          <w:r>
            <w:rPr>
              <w:rFonts w:hint="eastAsia" w:ascii="Times New Roman" w:hAnsi="Times New Roman" w:eastAsia="宋体" w:cs="Times New Roman"/>
            </w:rPr>
            <w:t>按</w:t>
          </w:r>
          <w:r>
            <w:rPr>
              <w:rFonts w:hint="eastAsia" w:ascii="宋体" w:hAnsi="宋体" w:eastAsia="宋体" w:cs="Times New Roman"/>
            </w:rPr>
            <w:t>照G</w:t>
          </w:r>
          <w:r>
            <w:rPr>
              <w:rFonts w:ascii="宋体" w:hAnsi="宋体" w:eastAsia="宋体" w:cs="Times New Roman"/>
            </w:rPr>
            <w:t>B/T 1.1</w:t>
          </w:r>
          <w:r>
            <w:rPr>
              <w:rFonts w:hint="eastAsia" w:ascii="宋体" w:hAnsi="宋体" w:eastAsia="宋体" w:cs="Times New Roman"/>
            </w:rPr>
            <w:t>—2</w:t>
          </w:r>
          <w:r>
            <w:rPr>
              <w:rFonts w:ascii="宋体" w:hAnsi="宋体" w:eastAsia="宋体" w:cs="Times New Roman"/>
            </w:rPr>
            <w:t>020</w:t>
          </w:r>
          <w:r>
            <w:rPr>
              <w:rFonts w:hint="eastAsia" w:ascii="宋体" w:hAnsi="宋体" w:eastAsia="宋体" w:cs="Times New Roman"/>
            </w:rPr>
            <w:t>《标准工作导则 第1部分：标准化文件的结构和起草规则》的</w:t>
          </w:r>
          <w:r>
            <w:rPr>
              <w:rFonts w:hint="eastAsia" w:ascii="Times New Roman" w:hAnsi="Times New Roman" w:eastAsia="宋体" w:cs="Times New Roman"/>
            </w:rPr>
            <w:t>规定起草</w:t>
          </w:r>
          <w:r>
            <w:rPr>
              <w:rFonts w:ascii="Times New Roman" w:hAnsi="Times New Roman" w:eastAsia="宋体" w:cs="Times New Roman"/>
            </w:rPr>
            <w:t>。</w:t>
          </w:r>
        </w:p>
        <w:p>
          <w:pPr>
            <w:pStyle w:val="57"/>
            <w:ind w:firstLine="420"/>
          </w:pPr>
          <w:r>
            <w:rPr>
              <w:rFonts w:hint="eastAsia"/>
            </w:rPr>
            <w:t>本文件由赤峰市</w:t>
          </w:r>
          <w:r>
            <w:t>农牧业综合检验检测中心</w:t>
          </w:r>
          <w:r>
            <w:rPr>
              <w:rFonts w:hint="eastAsia"/>
            </w:rPr>
            <w:t>提出。</w:t>
          </w:r>
        </w:p>
        <w:p>
          <w:pPr>
            <w:pStyle w:val="57"/>
            <w:ind w:firstLine="420"/>
          </w:pPr>
          <w:r>
            <w:rPr>
              <w:rFonts w:hint="eastAsia"/>
            </w:rPr>
            <w:t>本文件由赤峰市农牧局归口。</w:t>
          </w:r>
        </w:p>
        <w:p>
          <w:pPr>
            <w:pStyle w:val="57"/>
            <w:ind w:firstLine="420"/>
          </w:pPr>
          <w:r>
            <w:rPr>
              <w:rFonts w:hint="eastAsia"/>
            </w:rPr>
            <w:t>本文件起草单位：赤峰市农牧业</w:t>
          </w:r>
          <w:r>
            <w:t>综合检验检测中心</w:t>
          </w:r>
          <w:r>
            <w:rPr>
              <w:rFonts w:hint="eastAsia"/>
            </w:rPr>
            <w:t>、</w:t>
          </w:r>
          <w:r>
            <w:rPr>
              <w:rFonts w:hint="eastAsia"/>
              <w:szCs w:val="21"/>
            </w:rPr>
            <w:t>赤峰市农牧技术推广中心、</w:t>
          </w:r>
          <w:r>
            <w:rPr>
              <w:rFonts w:hint="eastAsia"/>
              <w:szCs w:val="21"/>
              <w:lang w:eastAsia="zh-CN"/>
            </w:rPr>
            <w:t>赤峰市农牧科学研究所、</w:t>
          </w:r>
          <w:bookmarkStart w:id="60" w:name="_GoBack"/>
          <w:bookmarkEnd w:id="60"/>
          <w:r>
            <w:rPr>
              <w:rFonts w:hint="eastAsia"/>
              <w:szCs w:val="21"/>
            </w:rPr>
            <w:t>宁城县农牧局、喀喇沁旗农牧局</w:t>
          </w:r>
        </w:p>
        <w:p>
          <w:pPr>
            <w:pStyle w:val="57"/>
            <w:ind w:firstLine="420"/>
            <w:sectPr>
              <w:headerReference r:id="rId11" w:type="default"/>
              <w:footerReference r:id="rId13" w:type="default"/>
              <w:headerReference r:id="rId12" w:type="even"/>
              <w:footerReference r:id="rId14" w:type="even"/>
              <w:pgSz w:w="11906" w:h="16838"/>
              <w:pgMar w:top="1418" w:right="1134" w:bottom="1134" w:left="1418" w:header="851" w:footer="992" w:gutter="0"/>
              <w:pgNumType w:fmt="upperRoman" w:start="1"/>
              <w:cols w:space="425" w:num="1"/>
              <w:docGrid w:type="linesAndChars" w:linePitch="312" w:charSpace="0"/>
            </w:sectPr>
          </w:pPr>
          <w:r>
            <w:rPr>
              <w:rFonts w:hint="eastAsia"/>
            </w:rPr>
            <w:t>本文件主要起草人：郇志荣、毕忠泽、于新会、刘景秀、王雪洁、马文静、刘志军、邱思、刘铭、邢瑶、靳宝令、张冠华、冯彬、付晓敏</w:t>
          </w:r>
        </w:p>
        <w:bookmarkEnd w:id="22"/>
        <w:p>
          <w:pPr>
            <w:pStyle w:val="25"/>
            <w:shd w:val="clear" w:color="auto" w:fill="FFFFFF"/>
            <w:spacing w:before="78" w:beforeAutospacing="0" w:after="78" w:afterAutospacing="0"/>
            <w:jc w:val="center"/>
            <w:rPr>
              <w:rFonts w:hint="eastAsia" w:ascii="黑体" w:hAnsi="黑体" w:eastAsia="黑体" w:cs="Times New Roman"/>
              <w:kern w:val="2"/>
              <w:sz w:val="32"/>
              <w:szCs w:val="32"/>
              <w:lang w:val="en-US" w:eastAsia="zh-CN" w:bidi="ar-SA"/>
            </w:rPr>
          </w:pPr>
          <w:bookmarkStart w:id="27" w:name="_Toc531183357"/>
          <w:bookmarkStart w:id="28" w:name="_Toc531183319"/>
          <w:bookmarkStart w:id="29" w:name="_Toc531183239"/>
          <w:bookmarkStart w:id="30" w:name="_Toc531183280"/>
          <w:r>
            <w:rPr>
              <w:rFonts w:hint="eastAsia" w:ascii="黑体" w:hAnsi="黑体" w:eastAsia="黑体" w:cs="Times New Roman"/>
              <w:kern w:val="2"/>
              <w:sz w:val="32"/>
              <w:szCs w:val="32"/>
              <w:lang w:val="en-US" w:eastAsia="zh-CN" w:bidi="ar-SA"/>
            </w:rPr>
            <w:t>赤峰小米</w:t>
          </w:r>
          <w:bookmarkStart w:id="31" w:name="_Hlk162595978"/>
          <w:r>
            <w:rPr>
              <w:rFonts w:hint="eastAsia" w:ascii="黑体" w:hAnsi="黑体" w:eastAsia="黑体" w:cs="Times New Roman"/>
              <w:kern w:val="2"/>
              <w:sz w:val="32"/>
              <w:szCs w:val="32"/>
              <w:lang w:val="en-US" w:eastAsia="zh-CN" w:bidi="ar-SA"/>
            </w:rPr>
            <w:t>地理标志农产品</w:t>
          </w:r>
          <w:bookmarkEnd w:id="31"/>
          <w:r>
            <w:rPr>
              <w:rFonts w:hint="eastAsia" w:ascii="黑体" w:hAnsi="黑体" w:eastAsia="黑体" w:cs="Times New Roman"/>
              <w:kern w:val="2"/>
              <w:sz w:val="32"/>
              <w:szCs w:val="32"/>
              <w:lang w:val="en-US" w:eastAsia="zh-CN" w:bidi="ar-SA"/>
            </w:rPr>
            <w:t>质量追溯要求</w:t>
          </w:r>
        </w:p>
        <w:p>
          <w:pPr>
            <w:pStyle w:val="25"/>
            <w:shd w:val="clear" w:color="auto" w:fill="FFFFFF"/>
            <w:spacing w:before="78" w:beforeAutospacing="0" w:after="78" w:afterAutospacing="0"/>
            <w:jc w:val="center"/>
            <w:rPr>
              <w:rFonts w:hint="eastAsia" w:ascii="黑体" w:hAnsi="黑体" w:eastAsia="黑体" w:cs="Times New Roman"/>
              <w:kern w:val="2"/>
              <w:sz w:val="32"/>
              <w:szCs w:val="32"/>
              <w:lang w:val="en-US" w:eastAsia="zh-CN" w:bidi="ar-SA"/>
            </w:rPr>
          </w:pPr>
        </w:p>
        <w:bookmarkEnd w:id="21"/>
        <w:bookmarkEnd w:id="23"/>
        <w:bookmarkEnd w:id="27"/>
        <w:bookmarkEnd w:id="28"/>
        <w:bookmarkEnd w:id="29"/>
        <w:bookmarkEnd w:id="30"/>
        <w:p>
          <w:pPr>
            <w:pStyle w:val="105"/>
            <w:numPr>
              <w:ilvl w:val="0"/>
              <w:numId w:val="0"/>
            </w:numPr>
            <w:spacing w:before="312" w:after="312"/>
          </w:pPr>
          <w:bookmarkStart w:id="32" w:name="_Toc151715350"/>
          <w:r>
            <w:rPr>
              <w:rFonts w:hint="eastAsia"/>
            </w:rPr>
            <w:t>1范围</w:t>
          </w:r>
          <w:bookmarkEnd w:id="32"/>
        </w:p>
        <w:p>
          <w:pPr>
            <w:pStyle w:val="57"/>
            <w:ind w:firstLine="420"/>
          </w:pPr>
          <w:r>
            <w:rPr>
              <w:rFonts w:hint="eastAsia"/>
            </w:rPr>
            <w:t>本文件规定了赤峰小米地理标志农产品质量追溯的术语定义、追溯体系、追溯平台、追溯流程、信息采集管理、追溯编码标识、质量安全问题处置等内容。</w:t>
          </w:r>
        </w:p>
        <w:p>
          <w:pPr>
            <w:pStyle w:val="57"/>
            <w:ind w:firstLine="420"/>
          </w:pPr>
          <w:r>
            <w:rPr>
              <w:rFonts w:hint="eastAsia"/>
            </w:rPr>
            <w:t>本文件适用于赤峰小米地理标志农产品质量追溯体系的实施。</w:t>
          </w:r>
        </w:p>
        <w:p>
          <w:pPr>
            <w:pStyle w:val="105"/>
            <w:numPr>
              <w:numId w:val="0"/>
            </w:numPr>
            <w:spacing w:before="312" w:after="312"/>
            <w:ind w:leftChars="0"/>
          </w:pPr>
          <w:bookmarkStart w:id="33" w:name="_Toc151715351"/>
          <w:r>
            <w:rPr>
              <w:rFonts w:hint="eastAsia"/>
              <w:lang w:val="en-US" w:eastAsia="zh-CN"/>
            </w:rPr>
            <w:t xml:space="preserve">2 </w:t>
          </w:r>
          <w:r>
            <w:rPr>
              <w:rFonts w:hint="eastAsia"/>
            </w:rPr>
            <w:t>规范性引用文件</w:t>
          </w:r>
          <w:bookmarkEnd w:id="33"/>
        </w:p>
        <w:p>
          <w:pPr>
            <w:pStyle w:val="57"/>
            <w:ind w:firstLine="420"/>
          </w:pPr>
          <w:r>
            <w:rPr>
              <w:rFonts w:hint="eastAsia"/>
            </w:rPr>
            <w:t>下列文件对于本文件的应用是必不可少的。凡是注明日期的引用文件，仅所注明日期的版本适用于本文件。凡是不注明日期的引用文件，其最新版本</w:t>
          </w:r>
          <w:r>
            <w:t>(包括所有的修改单)适用于本文件。</w:t>
          </w:r>
        </w:p>
        <w:p>
          <w:pPr>
            <w:ind w:firstLine="420" w:firstLineChars="200"/>
            <w:rPr>
              <w:rFonts w:ascii="宋体" w:hAnsi="宋体"/>
            </w:rPr>
          </w:pPr>
          <w:r>
            <w:rPr>
              <w:rFonts w:ascii="宋体" w:hAnsi="宋体"/>
            </w:rPr>
            <w:t>GB/T38574  食品追溯二维码通用技术要求</w:t>
          </w:r>
        </w:p>
        <w:p>
          <w:pPr>
            <w:pStyle w:val="236"/>
            <w:ind w:firstLine="420"/>
          </w:pPr>
          <w:r>
            <w:rPr>
              <w:rFonts w:hint="eastAsia"/>
            </w:rPr>
            <w:t>G</w:t>
          </w:r>
          <w:r>
            <w:t>B/T38155  重要产品追溯 追溯术语</w:t>
          </w:r>
        </w:p>
        <w:p>
          <w:pPr>
            <w:pStyle w:val="236"/>
            <w:ind w:firstLine="420"/>
          </w:pPr>
          <w:r>
            <w:rPr>
              <w:rFonts w:hint="eastAsia"/>
            </w:rPr>
            <w:t>N</w:t>
          </w:r>
          <w:r>
            <w:t>Y/T1761   农产品质量追溯操作规程 通则</w:t>
          </w:r>
        </w:p>
        <w:p>
          <w:pPr>
            <w:pStyle w:val="236"/>
            <w:ind w:firstLine="420"/>
          </w:pPr>
          <w:r>
            <w:t>NY/T1765   农产品质量追溯操作规程 谷物</w:t>
          </w:r>
        </w:p>
        <w:p>
          <w:pPr>
            <w:pStyle w:val="236"/>
            <w:ind w:firstLine="420"/>
          </w:pPr>
          <w:r>
            <w:rPr>
              <w:rFonts w:hint="eastAsia"/>
            </w:rPr>
            <w:t>D</w:t>
          </w:r>
          <w:r>
            <w:t>B15/T</w:t>
          </w:r>
          <w:r>
            <w:rPr>
              <w:rFonts w:hint="eastAsia"/>
            </w:rPr>
            <w:t>XXXX</w:t>
          </w:r>
          <w:r>
            <w:t xml:space="preserve"> 赤峰小米</w:t>
          </w:r>
          <w:r>
            <w:rPr>
              <w:rFonts w:hint="eastAsia"/>
            </w:rPr>
            <w:t>地理标志农产品品牌管理规范</w:t>
          </w:r>
        </w:p>
        <w:p>
          <w:pPr>
            <w:pStyle w:val="105"/>
            <w:numPr>
              <w:ilvl w:val="0"/>
              <w:numId w:val="0"/>
            </w:numPr>
            <w:spacing w:before="312" w:after="312"/>
          </w:pPr>
          <w:bookmarkStart w:id="34" w:name="_Toc151715352"/>
          <w:r>
            <w:rPr>
              <w:rFonts w:hint="eastAsia"/>
              <w:szCs w:val="21"/>
            </w:rPr>
            <w:t>3</w:t>
          </w:r>
          <w:r>
            <w:rPr>
              <w:rFonts w:hint="eastAsia"/>
              <w:szCs w:val="21"/>
              <w:lang w:val="en-US" w:eastAsia="zh-CN"/>
            </w:rPr>
            <w:t xml:space="preserve"> </w:t>
          </w:r>
          <w:r>
            <w:rPr>
              <w:rFonts w:hint="eastAsia"/>
              <w:szCs w:val="21"/>
            </w:rPr>
            <w:t>术语和定义</w:t>
          </w:r>
          <w:bookmarkEnd w:id="34"/>
        </w:p>
        <w:p>
          <w:pPr>
            <w:pStyle w:val="106"/>
            <w:numPr>
              <w:ilvl w:val="0"/>
              <w:numId w:val="0"/>
            </w:numPr>
            <w:spacing w:before="156" w:after="156"/>
            <w:rPr>
              <w:rFonts w:hAnsi="黑体"/>
              <w:bCs/>
            </w:rPr>
          </w:pPr>
          <w:bookmarkStart w:id="35" w:name="_Toc151715355"/>
          <w:r>
            <w:rPr>
              <w:rFonts w:hAnsi="黑体"/>
              <w:bCs/>
            </w:rPr>
            <w:t>3.1</w:t>
          </w:r>
        </w:p>
        <w:p>
          <w:pPr>
            <w:pStyle w:val="106"/>
            <w:numPr>
              <w:ilvl w:val="0"/>
              <w:numId w:val="0"/>
            </w:numPr>
            <w:spacing w:before="156" w:after="156"/>
            <w:ind w:left="420" w:leftChars="50" w:hanging="315" w:hangingChars="150"/>
          </w:pPr>
          <w:r>
            <w:rPr>
              <w:rFonts w:hint="eastAsia" w:hAnsi="黑体"/>
              <w:bCs/>
            </w:rPr>
            <w:t xml:space="preserve">    追溯主体</w:t>
          </w:r>
          <w:r>
            <w:rPr>
              <w:rFonts w:hint="eastAsia"/>
            </w:rPr>
            <w:t xml:space="preserve">  t</w:t>
          </w:r>
          <w:r>
            <w:t>raceability subject</w:t>
          </w:r>
          <w:bookmarkEnd w:id="35"/>
        </w:p>
        <w:p>
          <w:pPr>
            <w:autoSpaceDE w:val="0"/>
            <w:autoSpaceDN w:val="0"/>
            <w:ind w:firstLine="420" w:firstLineChars="200"/>
            <w:rPr>
              <w:rFonts w:ascii="宋体" w:hAnsi="宋体" w:eastAsia="宋体"/>
              <w:kern w:val="0"/>
              <w:szCs w:val="20"/>
            </w:rPr>
          </w:pPr>
          <w:r>
            <w:rPr>
              <w:rFonts w:hint="eastAsia" w:ascii="宋体" w:hAnsi="宋体" w:eastAsia="宋体"/>
              <w:kern w:val="0"/>
              <w:szCs w:val="20"/>
            </w:rPr>
            <w:t xml:space="preserve"> 在追溯过程中，从事谷子种植，小米加工、贮存、流通、交易等环节的责任生产经营主体，包括生产经营企业、农民专业合作社、家庭农场等。</w:t>
          </w:r>
        </w:p>
        <w:p>
          <w:pPr>
            <w:pStyle w:val="106"/>
            <w:numPr>
              <w:ilvl w:val="0"/>
              <w:numId w:val="0"/>
            </w:numPr>
            <w:spacing w:before="156" w:after="156"/>
            <w:rPr>
              <w:rFonts w:hAnsi="黑体"/>
              <w:bCs/>
            </w:rPr>
          </w:pPr>
          <w:bookmarkStart w:id="36" w:name="_Toc151715356"/>
          <w:r>
            <w:rPr>
              <w:rFonts w:hAnsi="黑体"/>
              <w:bCs/>
            </w:rPr>
            <w:t>3.2</w:t>
          </w:r>
        </w:p>
        <w:p>
          <w:pPr>
            <w:pStyle w:val="106"/>
            <w:numPr>
              <w:ilvl w:val="0"/>
              <w:numId w:val="0"/>
            </w:numPr>
            <w:spacing w:before="156" w:after="156"/>
            <w:ind w:left="342" w:leftChars="63" w:hanging="210" w:hangingChars="100"/>
            <w:rPr>
              <w:rFonts w:hint="eastAsia" w:eastAsia="黑体"/>
              <w:lang w:eastAsia="zh-CN"/>
            </w:rPr>
          </w:pPr>
          <w:r>
            <w:rPr>
              <w:rFonts w:hint="eastAsia" w:hAnsi="黑体"/>
              <w:bCs/>
            </w:rPr>
            <w:t xml:space="preserve">   追溯二维码 two-dimensional code of </w:t>
          </w:r>
          <w:r>
            <w:rPr>
              <w:rFonts w:hint="eastAsia"/>
            </w:rPr>
            <w:t>t</w:t>
          </w:r>
          <w:r>
            <w:t>raceability</w:t>
          </w:r>
        </w:p>
        <w:p>
          <w:pPr>
            <w:pStyle w:val="106"/>
            <w:numPr>
              <w:ilvl w:val="0"/>
              <w:numId w:val="0"/>
            </w:numPr>
            <w:spacing w:before="156" w:after="156"/>
            <w:ind w:left="342" w:leftChars="63" w:hanging="210" w:hangingChars="100"/>
            <w:rPr>
              <w:rFonts w:ascii="宋体" w:hAnsi="宋体" w:eastAsia="宋体"/>
            </w:rPr>
          </w:pPr>
          <w:r>
            <w:rPr>
              <w:rFonts w:hint="eastAsia" w:ascii="宋体" w:hAnsi="宋体" w:eastAsia="宋体"/>
            </w:rPr>
            <w:t xml:space="preserve"> 承载赤峰小米地理标志农产品追溯关键信息的二维码。</w:t>
          </w:r>
          <w:bookmarkEnd w:id="36"/>
        </w:p>
        <w:p>
          <w:pPr>
            <w:pStyle w:val="106"/>
            <w:numPr>
              <w:ilvl w:val="0"/>
              <w:numId w:val="0"/>
            </w:numPr>
            <w:spacing w:before="156" w:after="156"/>
            <w:rPr>
              <w:rFonts w:hAnsi="黑体"/>
              <w:bCs/>
            </w:rPr>
          </w:pPr>
          <w:bookmarkStart w:id="37" w:name="_Toc151715357"/>
          <w:r>
            <w:rPr>
              <w:rFonts w:hAnsi="黑体"/>
              <w:bCs/>
            </w:rPr>
            <w:t>3.</w:t>
          </w:r>
          <w:r>
            <w:rPr>
              <w:rFonts w:hint="eastAsia" w:hAnsi="黑体"/>
              <w:bCs/>
            </w:rPr>
            <w:t>3</w:t>
          </w:r>
        </w:p>
        <w:p>
          <w:pPr>
            <w:pStyle w:val="106"/>
            <w:numPr>
              <w:ilvl w:val="0"/>
              <w:numId w:val="0"/>
            </w:numPr>
            <w:spacing w:before="156" w:after="156"/>
            <w:ind w:left="342" w:leftChars="63" w:hanging="210" w:hangingChars="100"/>
            <w:rPr>
              <w:rFonts w:hAnsi="黑体" w:cs="黑体"/>
            </w:rPr>
          </w:pPr>
          <w:r>
            <w:rPr>
              <w:rFonts w:hint="eastAsia" w:hAnsi="黑体"/>
              <w:bCs/>
            </w:rPr>
            <w:t xml:space="preserve">   </w:t>
          </w:r>
          <w:r>
            <w:rPr>
              <w:rFonts w:hint="eastAsia" w:hAnsi="黑体" w:cs="黑体"/>
            </w:rPr>
            <w:t>产品批次  product batch</w:t>
          </w:r>
        </w:p>
        <w:p>
          <w:pPr>
            <w:pStyle w:val="57"/>
            <w:ind w:firstLine="420"/>
            <w:rPr>
              <w:rFonts w:hAnsi="宋体" w:cs="宋体"/>
            </w:rPr>
          </w:pPr>
          <w:r>
            <w:rPr>
              <w:rFonts w:hint="eastAsia" w:hAnsi="宋体" w:cs="宋体"/>
            </w:rPr>
            <w:t>采用相同的原料、相同的环境、相同的工艺，同期生产的具有相同的（或相近的）性能特征的一定数量的赤峰小米产品。</w:t>
          </w:r>
        </w:p>
        <w:p>
          <w:pPr>
            <w:pStyle w:val="105"/>
            <w:numPr>
              <w:ilvl w:val="0"/>
              <w:numId w:val="0"/>
            </w:numPr>
            <w:spacing w:before="312" w:after="312"/>
          </w:pPr>
          <w:r>
            <w:rPr>
              <w:rFonts w:hint="eastAsia"/>
            </w:rPr>
            <w:t>4</w:t>
          </w:r>
          <w:r>
            <w:rPr>
              <w:rFonts w:hint="eastAsia"/>
              <w:lang w:val="en-US" w:eastAsia="zh-CN"/>
            </w:rPr>
            <w:t xml:space="preserve"> </w:t>
          </w:r>
          <w:r>
            <w:rPr>
              <w:rFonts w:hint="eastAsia"/>
            </w:rPr>
            <w:t>追溯体系</w:t>
          </w:r>
          <w:bookmarkEnd w:id="37"/>
        </w:p>
        <w:p>
          <w:pPr>
            <w:pStyle w:val="57"/>
            <w:ind w:firstLine="420"/>
          </w:pPr>
          <w:r>
            <w:rPr>
              <w:rFonts w:hint="eastAsia"/>
            </w:rPr>
            <w:t>赤峰小米可通过追溯二维码和生产记录档案追溯到生产管理、加工、储运、销售等各环节的产品、投入品、技术措施信息及相关责任主体。</w:t>
          </w:r>
        </w:p>
        <w:p>
          <w:pPr>
            <w:pStyle w:val="106"/>
            <w:numPr>
              <w:ilvl w:val="0"/>
              <w:numId w:val="0"/>
            </w:numPr>
            <w:spacing w:before="156" w:after="156"/>
          </w:pPr>
          <w:bookmarkStart w:id="38" w:name="_Toc151715358"/>
          <w:r>
            <w:rPr>
              <w:rFonts w:hint="eastAsia"/>
            </w:rPr>
            <w:t>4.1追溯平台</w:t>
          </w:r>
          <w:bookmarkEnd w:id="38"/>
        </w:p>
        <w:p>
          <w:pPr>
            <w:pStyle w:val="57"/>
            <w:ind w:firstLine="420"/>
          </w:pPr>
          <w:r>
            <w:rPr>
              <w:rFonts w:hint="eastAsia"/>
            </w:rPr>
            <w:t>应依托国家农产品质量安全追溯平台、内蒙古自治区农畜产品质量安全智慧大数据监管与服务平台或其他可实施追溯的大数据平台，推荐开展电子化追溯管理。</w:t>
          </w:r>
        </w:p>
        <w:p>
          <w:pPr>
            <w:pStyle w:val="106"/>
            <w:numPr>
              <w:ilvl w:val="0"/>
              <w:numId w:val="0"/>
            </w:numPr>
            <w:spacing w:before="156" w:after="156"/>
          </w:pPr>
          <w:bookmarkStart w:id="39" w:name="_Toc151715359"/>
          <w:r>
            <w:rPr>
              <w:rFonts w:hint="eastAsia"/>
            </w:rPr>
            <w:t>4.2管理制度</w:t>
          </w:r>
          <w:bookmarkEnd w:id="39"/>
        </w:p>
        <w:p>
          <w:pPr>
            <w:pStyle w:val="57"/>
            <w:ind w:firstLine="420"/>
          </w:pPr>
          <w:r>
            <w:rPr>
              <w:rFonts w:hint="eastAsia"/>
            </w:rPr>
            <w:t>生产经营主体应建立追溯体系工作规范、信息采集规范，产品质量安全控制、质量安全问题处置等相关内部制度，并做好组织实施。</w:t>
          </w:r>
        </w:p>
        <w:p>
          <w:pPr>
            <w:pStyle w:val="106"/>
            <w:numPr>
              <w:ilvl w:val="0"/>
              <w:numId w:val="0"/>
            </w:numPr>
            <w:spacing w:before="156" w:after="156"/>
          </w:pPr>
          <w:bookmarkStart w:id="40" w:name="_Toc151715360"/>
          <w:r>
            <w:rPr>
              <w:rFonts w:hint="eastAsia"/>
            </w:rPr>
            <w:t>4.3人员要求</w:t>
          </w:r>
          <w:bookmarkEnd w:id="40"/>
        </w:p>
        <w:p>
          <w:pPr>
            <w:pStyle w:val="57"/>
            <w:ind w:firstLine="420"/>
          </w:pPr>
          <w:r>
            <w:rPr>
              <w:rFonts w:hint="eastAsia"/>
            </w:rPr>
            <w:t>生产经营主体</w:t>
          </w:r>
          <w:r>
            <w:t>应指定其内部专人负责追溯的组织、实施，监控和信息的采集、上传、核实及发布等工作。按要求将所需信息录入平台，并对信息的及时性、</w:t>
          </w:r>
          <w:r>
            <w:rPr>
              <w:rFonts w:hint="eastAsia"/>
            </w:rPr>
            <w:t>准确性、</w:t>
          </w:r>
          <w:r>
            <w:t>真实性负责。</w:t>
          </w:r>
        </w:p>
        <w:p>
          <w:pPr>
            <w:pStyle w:val="106"/>
            <w:numPr>
              <w:ilvl w:val="0"/>
              <w:numId w:val="0"/>
            </w:numPr>
            <w:spacing w:before="156" w:after="156"/>
          </w:pPr>
          <w:bookmarkStart w:id="41" w:name="_Toc151715361"/>
          <w:r>
            <w:rPr>
              <w:rFonts w:hint="eastAsia"/>
            </w:rPr>
            <w:t>4.4设备和软件</w:t>
          </w:r>
          <w:bookmarkEnd w:id="41"/>
        </w:p>
        <w:p>
          <w:pPr>
            <w:pStyle w:val="57"/>
            <w:ind w:firstLine="420"/>
          </w:pPr>
          <w:r>
            <w:rPr>
              <w:rFonts w:hint="eastAsia"/>
            </w:rPr>
            <w:t>生产经营主体应配备必要的信息采集、传输、读写、标签打印等专用设备及相关软件，还应有相应的纸质档案、证明材料、原始包装或物品</w:t>
          </w:r>
          <w:r>
            <w:t>(留样)的保存措施。</w:t>
          </w:r>
        </w:p>
        <w:p>
          <w:pPr>
            <w:pStyle w:val="105"/>
            <w:numPr>
              <w:ilvl w:val="0"/>
              <w:numId w:val="0"/>
            </w:numPr>
            <w:spacing w:before="312" w:after="312"/>
          </w:pPr>
          <w:bookmarkStart w:id="42" w:name="_Toc151715362"/>
          <w:r>
            <w:rPr>
              <w:rFonts w:hint="eastAsia"/>
            </w:rPr>
            <w:t>5</w:t>
          </w:r>
          <w:r>
            <w:rPr>
              <w:rFonts w:hint="eastAsia"/>
              <w:lang w:val="en-US" w:eastAsia="zh-CN"/>
            </w:rPr>
            <w:t xml:space="preserve"> </w:t>
          </w:r>
          <w:r>
            <w:rPr>
              <w:rFonts w:hint="eastAsia"/>
            </w:rPr>
            <w:t>追溯流程</w:t>
          </w:r>
          <w:bookmarkEnd w:id="42"/>
        </w:p>
        <w:p>
          <w:pPr>
            <w:numPr>
              <w:ilvl w:val="2"/>
              <w:numId w:val="0"/>
            </w:numPr>
            <w:spacing w:before="156" w:beforeLines="50" w:after="156" w:afterLines="50"/>
            <w:jc w:val="both"/>
            <w:outlineLvl w:val="1"/>
            <w:rPr>
              <w:rFonts w:ascii="黑体" w:hAnsi="Times New Roman" w:eastAsia="黑体" w:cs="Times New Roman"/>
              <w:kern w:val="0"/>
              <w:szCs w:val="20"/>
            </w:rPr>
          </w:pPr>
          <w:bookmarkStart w:id="43" w:name="_Toc151715363"/>
          <w:r>
            <w:rPr>
              <w:rFonts w:hint="eastAsia" w:ascii="黑体" w:hAnsi="Times New Roman" w:eastAsia="黑体" w:cs="Times New Roman"/>
              <w:kern w:val="0"/>
              <w:szCs w:val="20"/>
            </w:rPr>
            <w:t xml:space="preserve">5.1 </w:t>
          </w:r>
          <w:r>
            <w:rPr>
              <w:rFonts w:ascii="黑体" w:hAnsi="Times New Roman" w:eastAsia="黑体" w:cs="Times New Roman"/>
              <w:kern w:val="0"/>
              <w:szCs w:val="20"/>
            </w:rPr>
            <w:t xml:space="preserve"> </w:t>
          </w:r>
          <w:r>
            <w:rPr>
              <w:rFonts w:hint="eastAsia" w:ascii="黑体" w:hAnsi="Times New Roman" w:eastAsia="黑体" w:cs="Times New Roman"/>
              <w:kern w:val="0"/>
              <w:szCs w:val="20"/>
            </w:rPr>
            <w:t>平台入驻</w:t>
          </w:r>
          <w:bookmarkEnd w:id="43"/>
        </w:p>
        <w:p>
          <w:pPr>
            <w:widowControl w:val="0"/>
            <w:numPr>
              <w:ilvl w:val="3"/>
              <w:numId w:val="0"/>
            </w:numPr>
            <w:spacing w:before="156" w:beforeLines="50" w:after="156" w:afterLines="50"/>
            <w:jc w:val="both"/>
            <w:outlineLvl w:val="2"/>
            <w:rPr>
              <w:rFonts w:ascii="黑体" w:hAnsi="Times New Roman" w:eastAsia="黑体" w:cs="Times New Roman"/>
              <w:kern w:val="0"/>
              <w:szCs w:val="20"/>
            </w:rPr>
          </w:pPr>
          <w:r>
            <w:rPr>
              <w:rFonts w:hint="eastAsia" w:ascii="黑体" w:hAnsi="Times New Roman" w:eastAsia="黑体" w:cs="Times New Roman"/>
              <w:kern w:val="0"/>
              <w:szCs w:val="20"/>
            </w:rPr>
            <w:t>5.1.1</w:t>
          </w:r>
          <w:r>
            <w:rPr>
              <w:rFonts w:ascii="黑体" w:hAnsi="Times New Roman" w:eastAsia="黑体" w:cs="Times New Roman"/>
              <w:kern w:val="0"/>
              <w:szCs w:val="20"/>
            </w:rPr>
            <w:t xml:space="preserve">  </w:t>
          </w:r>
          <w:r>
            <w:rPr>
              <w:rFonts w:hint="eastAsia" w:ascii="黑体" w:hAnsi="Times New Roman" w:eastAsia="黑体" w:cs="Times New Roman"/>
              <w:kern w:val="0"/>
              <w:szCs w:val="20"/>
            </w:rPr>
            <w:t>主体注册</w:t>
          </w:r>
        </w:p>
        <w:p>
          <w:pPr>
            <w:pStyle w:val="175"/>
            <w:numPr>
              <w:ilvl w:val="0"/>
              <w:numId w:val="0"/>
            </w:numPr>
            <w:ind w:left="851" w:hanging="426"/>
          </w:pPr>
          <w:r>
            <w:rPr>
              <w:rFonts w:hint="eastAsia"/>
            </w:rPr>
            <w:t>注册</w:t>
          </w:r>
          <w:r>
            <w:t>，如实填写基本信息</w:t>
          </w:r>
          <w:r>
            <w:rPr>
              <w:rFonts w:hint="eastAsia"/>
            </w:rPr>
            <w:t>，定位经纬度。</w:t>
          </w:r>
        </w:p>
        <w:p>
          <w:pPr>
            <w:pStyle w:val="118"/>
            <w:numPr>
              <w:ilvl w:val="0"/>
              <w:numId w:val="0"/>
            </w:numPr>
            <w:spacing w:before="156" w:beforeLines="50" w:after="156" w:afterLines="50"/>
            <w:jc w:val="both"/>
            <w:outlineLvl w:val="1"/>
            <w:rPr>
              <w:rFonts w:ascii="黑体" w:eastAsia="黑体"/>
            </w:rPr>
          </w:pPr>
          <w:bookmarkStart w:id="44" w:name="_Toc151714574"/>
          <w:bookmarkStart w:id="45" w:name="_Toc151714855"/>
          <w:bookmarkStart w:id="46" w:name="_Toc151715364"/>
          <w:r>
            <w:rPr>
              <w:rFonts w:hint="eastAsia" w:ascii="黑体" w:eastAsia="黑体"/>
            </w:rPr>
            <w:t>5.1.2</w:t>
          </w:r>
          <w:r>
            <w:rPr>
              <w:rFonts w:ascii="黑体" w:eastAsia="黑体"/>
            </w:rPr>
            <w:t xml:space="preserve">  </w:t>
          </w:r>
          <w:r>
            <w:rPr>
              <w:rFonts w:hint="eastAsia" w:ascii="黑体" w:eastAsia="黑体"/>
            </w:rPr>
            <w:t>信息登记</w:t>
          </w:r>
          <w:bookmarkEnd w:id="44"/>
          <w:bookmarkEnd w:id="45"/>
          <w:bookmarkEnd w:id="46"/>
        </w:p>
        <w:p>
          <w:pPr>
            <w:ind w:firstLine="420" w:firstLineChars="200"/>
            <w:jc w:val="both"/>
            <w:rPr>
              <w:rFonts w:ascii="宋体" w:hAnsi="Times New Roman" w:eastAsia="宋体" w:cs="Times New Roman"/>
              <w:kern w:val="0"/>
              <w:szCs w:val="20"/>
            </w:rPr>
          </w:pPr>
          <w:r>
            <w:rPr>
              <w:rFonts w:hint="eastAsia" w:ascii="宋体" w:hAnsi="Times New Roman" w:eastAsia="宋体" w:cs="Times New Roman"/>
              <w:kern w:val="0"/>
              <w:szCs w:val="20"/>
            </w:rPr>
            <w:t>完善主体信息、生产人信息、农产品信息</w:t>
          </w:r>
          <w:r>
            <w:rPr>
              <w:rFonts w:ascii="宋体" w:hAnsi="Times New Roman" w:eastAsia="宋体" w:cs="Times New Roman"/>
              <w:kern w:val="0"/>
              <w:szCs w:val="20"/>
            </w:rPr>
            <w:t>。</w:t>
          </w:r>
        </w:p>
        <w:p>
          <w:pPr>
            <w:numPr>
              <w:ilvl w:val="2"/>
              <w:numId w:val="0"/>
            </w:numPr>
            <w:spacing w:before="156" w:beforeLines="50" w:after="156" w:afterLines="50"/>
            <w:jc w:val="both"/>
            <w:outlineLvl w:val="1"/>
            <w:rPr>
              <w:rFonts w:ascii="黑体" w:hAnsi="Times New Roman" w:eastAsia="黑体" w:cs="Times New Roman"/>
              <w:kern w:val="0"/>
              <w:szCs w:val="20"/>
            </w:rPr>
          </w:pPr>
          <w:bookmarkStart w:id="47" w:name="_Toc151715365"/>
          <w:r>
            <w:rPr>
              <w:rFonts w:hint="eastAsia" w:ascii="黑体" w:hAnsi="Times New Roman" w:eastAsia="黑体" w:cs="Times New Roman"/>
              <w:kern w:val="0"/>
              <w:szCs w:val="20"/>
            </w:rPr>
            <w:t>5.2</w:t>
          </w:r>
          <w:r>
            <w:rPr>
              <w:rFonts w:ascii="黑体" w:hAnsi="Times New Roman" w:eastAsia="黑体" w:cs="Times New Roman"/>
              <w:kern w:val="0"/>
              <w:szCs w:val="20"/>
            </w:rPr>
            <w:t xml:space="preserve">  </w:t>
          </w:r>
          <w:r>
            <w:rPr>
              <w:rFonts w:hint="eastAsia" w:ascii="黑体" w:hAnsi="Times New Roman" w:eastAsia="黑体" w:cs="Times New Roman"/>
              <w:kern w:val="0"/>
              <w:szCs w:val="20"/>
            </w:rPr>
            <w:t>信息采集上传</w:t>
          </w:r>
          <w:bookmarkEnd w:id="47"/>
        </w:p>
        <w:p>
          <w:pPr>
            <w:widowControl w:val="0"/>
            <w:numPr>
              <w:ilvl w:val="3"/>
              <w:numId w:val="0"/>
            </w:numPr>
            <w:spacing w:before="156" w:beforeLines="50" w:after="156" w:afterLines="50"/>
            <w:jc w:val="both"/>
            <w:outlineLvl w:val="2"/>
            <w:rPr>
              <w:rFonts w:ascii="黑体" w:hAnsi="Times New Roman" w:eastAsia="黑体" w:cs="Times New Roman"/>
              <w:kern w:val="0"/>
              <w:szCs w:val="20"/>
            </w:rPr>
          </w:pPr>
          <w:r>
            <w:rPr>
              <w:rFonts w:hint="eastAsia" w:ascii="黑体" w:hAnsi="Times New Roman" w:eastAsia="黑体" w:cs="Times New Roman"/>
              <w:kern w:val="0"/>
              <w:szCs w:val="20"/>
            </w:rPr>
            <w:t>5.2.1</w:t>
          </w:r>
          <w:r>
            <w:rPr>
              <w:rFonts w:ascii="黑体" w:hAnsi="Times New Roman" w:eastAsia="黑体" w:cs="Times New Roman"/>
              <w:kern w:val="0"/>
              <w:szCs w:val="20"/>
            </w:rPr>
            <w:t xml:space="preserve">  </w:t>
          </w:r>
          <w:r>
            <w:rPr>
              <w:rFonts w:hint="eastAsia" w:ascii="黑体" w:hAnsi="Times New Roman" w:eastAsia="黑体" w:cs="Times New Roman"/>
              <w:kern w:val="0"/>
              <w:szCs w:val="20"/>
            </w:rPr>
            <w:t>信息采集管理</w:t>
          </w:r>
        </w:p>
        <w:p>
          <w:pPr>
            <w:autoSpaceDE w:val="0"/>
            <w:autoSpaceDN w:val="0"/>
            <w:ind w:firstLine="420" w:firstLineChars="200"/>
            <w:jc w:val="both"/>
            <w:rPr>
              <w:rFonts w:ascii="宋体" w:hAnsi="Times New Roman" w:eastAsia="宋体" w:cs="Times New Roman"/>
              <w:kern w:val="0"/>
              <w:szCs w:val="20"/>
            </w:rPr>
          </w:pPr>
          <w:r>
            <w:rPr>
              <w:rFonts w:ascii="宋体" w:hAnsi="Times New Roman" w:eastAsia="宋体" w:cs="Times New Roman"/>
              <w:kern w:val="0"/>
              <w:szCs w:val="20"/>
            </w:rPr>
            <w:t>包括生产、投入品使用、采收等农事操作信息</w:t>
          </w:r>
          <w:r>
            <w:rPr>
              <w:rFonts w:hint="eastAsia" w:ascii="宋体" w:hAnsi="Times New Roman" w:eastAsia="宋体" w:cs="Times New Roman"/>
              <w:kern w:val="0"/>
              <w:szCs w:val="20"/>
            </w:rPr>
            <w:t>，以及加工、储运、销售等产后信息采集，分为基本追溯信息和拓展追溯信息。</w:t>
          </w:r>
        </w:p>
        <w:p>
          <w:pPr>
            <w:numPr>
              <w:ilvl w:val="2"/>
              <w:numId w:val="0"/>
            </w:numPr>
            <w:spacing w:before="156" w:beforeLines="50" w:after="156" w:afterLines="50"/>
            <w:jc w:val="both"/>
            <w:outlineLvl w:val="1"/>
            <w:rPr>
              <w:rFonts w:ascii="黑体" w:hAnsi="Times New Roman" w:eastAsia="黑体" w:cs="Times New Roman"/>
              <w:kern w:val="0"/>
              <w:szCs w:val="20"/>
            </w:rPr>
          </w:pPr>
          <w:bookmarkStart w:id="48" w:name="_Toc151714857"/>
          <w:bookmarkStart w:id="49" w:name="_Toc151715366"/>
          <w:r>
            <w:rPr>
              <w:rFonts w:hint="eastAsia" w:ascii="黑体" w:hAnsi="Times New Roman" w:eastAsia="黑体" w:cs="Times New Roman"/>
              <w:kern w:val="0"/>
              <w:szCs w:val="20"/>
            </w:rPr>
            <w:t>5.2.2</w:t>
          </w:r>
          <w:r>
            <w:rPr>
              <w:rFonts w:ascii="黑体" w:hAnsi="Times New Roman" w:eastAsia="黑体" w:cs="Times New Roman"/>
              <w:kern w:val="0"/>
              <w:szCs w:val="20"/>
            </w:rPr>
            <w:t xml:space="preserve">  </w:t>
          </w:r>
          <w:r>
            <w:rPr>
              <w:rFonts w:hint="eastAsia" w:ascii="黑体" w:hAnsi="Times New Roman" w:eastAsia="黑体" w:cs="Times New Roman"/>
              <w:kern w:val="0"/>
              <w:szCs w:val="20"/>
            </w:rPr>
            <w:t>信息</w:t>
          </w:r>
          <w:bookmarkEnd w:id="48"/>
          <w:bookmarkEnd w:id="49"/>
          <w:r>
            <w:rPr>
              <w:rFonts w:hint="eastAsia" w:ascii="黑体" w:hAnsi="Times New Roman" w:eastAsia="黑体" w:cs="Times New Roman"/>
              <w:kern w:val="0"/>
              <w:szCs w:val="20"/>
            </w:rPr>
            <w:t>传输</w:t>
          </w:r>
        </w:p>
        <w:p>
          <w:pPr>
            <w:tabs>
              <w:tab w:val="left" w:pos="851"/>
            </w:tabs>
            <w:ind w:firstLine="420" w:firstLineChars="200"/>
            <w:jc w:val="both"/>
            <w:rPr>
              <w:rFonts w:ascii="宋体" w:hAnsi="Times New Roman" w:eastAsia="宋体" w:cs="Times New Roman"/>
              <w:kern w:val="0"/>
              <w:szCs w:val="20"/>
            </w:rPr>
          </w:pPr>
          <w:r>
            <w:rPr>
              <w:rFonts w:hint="eastAsia" w:ascii="宋体" w:hAnsi="Times New Roman" w:eastAsia="宋体" w:cs="Times New Roman"/>
              <w:kern w:val="0"/>
              <w:szCs w:val="20"/>
            </w:rPr>
            <w:t>将采集的农事活动信息录入平台，投入品购买来源、用法用量，农事操作等信息需按实际录入，推荐添加照片或者视频说明。</w:t>
          </w:r>
        </w:p>
        <w:p>
          <w:pPr>
            <w:tabs>
              <w:tab w:val="left" w:pos="851"/>
            </w:tabs>
            <w:ind w:firstLine="420" w:firstLineChars="200"/>
            <w:jc w:val="both"/>
            <w:rPr>
              <w:rFonts w:ascii="宋体" w:hAnsi="Times New Roman" w:eastAsia="宋体" w:cs="Times New Roman"/>
              <w:kern w:val="0"/>
              <w:szCs w:val="20"/>
            </w:rPr>
          </w:pPr>
          <w:r>
            <w:rPr>
              <w:rFonts w:hint="eastAsia" w:ascii="宋体" w:hAnsi="Times New Roman" w:eastAsia="宋体" w:cs="Times New Roman"/>
              <w:kern w:val="0"/>
              <w:szCs w:val="20"/>
            </w:rPr>
            <w:t>产后拓展信息如加工、产品检测、储运、销售等各环节，应当根据实际情况录入电子信息或者纸质记录存档，便于产地溯源信息全链条查询。</w:t>
          </w:r>
        </w:p>
        <w:p>
          <w:pPr>
            <w:numPr>
              <w:ilvl w:val="2"/>
              <w:numId w:val="0"/>
            </w:numPr>
            <w:spacing w:before="156" w:beforeLines="50" w:after="156" w:afterLines="50"/>
            <w:jc w:val="both"/>
            <w:outlineLvl w:val="1"/>
            <w:rPr>
              <w:rFonts w:ascii="黑体" w:hAnsi="Times New Roman" w:eastAsia="黑体" w:cs="Times New Roman"/>
              <w:kern w:val="0"/>
              <w:szCs w:val="20"/>
            </w:rPr>
          </w:pPr>
          <w:bookmarkStart w:id="50" w:name="_Toc151715367"/>
          <w:r>
            <w:rPr>
              <w:rFonts w:ascii="黑体" w:hAnsi="Times New Roman" w:eastAsia="黑体" w:cs="Times New Roman"/>
              <w:kern w:val="0"/>
              <w:szCs w:val="20"/>
            </w:rPr>
            <w:t>5.</w:t>
          </w:r>
          <w:r>
            <w:rPr>
              <w:rFonts w:hint="eastAsia" w:ascii="黑体" w:hAnsi="Times New Roman" w:eastAsia="黑体" w:cs="Times New Roman"/>
              <w:kern w:val="0"/>
              <w:szCs w:val="20"/>
            </w:rPr>
            <w:t>3</w:t>
          </w:r>
          <w:r>
            <w:rPr>
              <w:rFonts w:ascii="黑体" w:hAnsi="Times New Roman" w:eastAsia="黑体" w:cs="Times New Roman"/>
              <w:kern w:val="0"/>
              <w:szCs w:val="20"/>
            </w:rPr>
            <w:t xml:space="preserve">  </w:t>
          </w:r>
          <w:r>
            <w:rPr>
              <w:rFonts w:hint="eastAsia" w:ascii="黑体" w:hAnsi="Times New Roman" w:eastAsia="黑体" w:cs="Times New Roman"/>
              <w:kern w:val="0"/>
              <w:szCs w:val="20"/>
            </w:rPr>
            <w:t>赋码</w:t>
          </w:r>
          <w:bookmarkEnd w:id="50"/>
          <w:r>
            <w:rPr>
              <w:rFonts w:hint="eastAsia" w:ascii="黑体" w:hAnsi="Times New Roman" w:eastAsia="黑体" w:cs="Times New Roman"/>
              <w:kern w:val="0"/>
              <w:szCs w:val="20"/>
            </w:rPr>
            <w:t>上市</w:t>
          </w:r>
        </w:p>
        <w:p>
          <w:pPr>
            <w:autoSpaceDE w:val="0"/>
            <w:autoSpaceDN w:val="0"/>
            <w:ind w:firstLine="420" w:firstLineChars="200"/>
            <w:jc w:val="both"/>
            <w:rPr>
              <w:rFonts w:ascii="宋体" w:hAnsi="Times New Roman" w:eastAsia="宋体" w:cs="Times New Roman"/>
              <w:kern w:val="0"/>
              <w:szCs w:val="20"/>
            </w:rPr>
          </w:pPr>
          <w:r>
            <w:rPr>
              <w:rFonts w:hint="eastAsia" w:ascii="宋体" w:hAnsi="Times New Roman" w:eastAsia="宋体" w:cs="Times New Roman"/>
              <w:kern w:val="0"/>
              <w:szCs w:val="20"/>
            </w:rPr>
            <w:t>按照追溯平台要求生成产品追溯二维码，打印后粘贴在包装上。可以单包装、单箱、单批赋码。</w:t>
          </w:r>
        </w:p>
        <w:p>
          <w:pPr>
            <w:autoSpaceDE w:val="0"/>
            <w:autoSpaceDN w:val="0"/>
            <w:ind w:firstLine="420" w:firstLineChars="200"/>
            <w:jc w:val="both"/>
            <w:rPr>
              <w:rFonts w:ascii="宋体" w:hAnsi="Times New Roman" w:eastAsia="宋体" w:cs="Times New Roman"/>
              <w:kern w:val="0"/>
              <w:szCs w:val="20"/>
            </w:rPr>
          </w:pPr>
          <w:r>
            <w:rPr>
              <w:rFonts w:hint="eastAsia" w:ascii="宋体" w:hAnsi="Times New Roman" w:eastAsia="宋体" w:cs="Times New Roman"/>
              <w:kern w:val="0"/>
              <w:szCs w:val="20"/>
            </w:rPr>
            <w:t>从纸质记录档案到电子追溯二维码，最终达到产品可追溯、信息可查询。</w:t>
          </w:r>
        </w:p>
        <w:p>
          <w:pPr>
            <w:pStyle w:val="57"/>
            <w:ind w:firstLine="0" w:firstLineChars="0"/>
          </w:pPr>
        </w:p>
        <w:p>
          <w:pPr>
            <w:pStyle w:val="57"/>
            <w:ind w:firstLine="0" w:firstLineChars="0"/>
          </w:pPr>
        </w:p>
        <w:p>
          <w:pPr>
            <w:pStyle w:val="57"/>
            <w:ind w:firstLine="420"/>
          </w:pPr>
          <w:r>
            <w:rPr>
              <w:rFonts w:hint="eastAsia"/>
            </w:rPr>
            <w:t>详见</w:t>
          </w:r>
          <w:bookmarkStart w:id="51" w:name="_Hlk163664478"/>
          <w:r>
            <w:rPr>
              <w:rFonts w:hint="eastAsia"/>
            </w:rPr>
            <w:t>图1</w:t>
          </w:r>
          <w:r>
            <w:t xml:space="preserve"> 追溯流程框架</w:t>
          </w:r>
          <w:r>
            <w:rPr>
              <w:rFonts w:hint="eastAsia"/>
            </w:rPr>
            <w:t>图。</w:t>
          </w:r>
          <w:bookmarkEnd w:id="51"/>
        </w:p>
        <w:p>
          <w:pPr>
            <w:pStyle w:val="57"/>
            <w:ind w:firstLine="420"/>
          </w:pPr>
        </w:p>
        <w:p>
          <w:pPr>
            <w:pStyle w:val="57"/>
            <w:ind w:firstLine="420"/>
            <w:jc w:val="center"/>
          </w:pPr>
          <w:r>
            <w:drawing>
              <wp:inline distT="0" distB="0" distL="0" distR="0">
                <wp:extent cx="2711450" cy="3924300"/>
                <wp:effectExtent l="0" t="0" r="1270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extLst>
                            <a:ext uri="{BEBA8EAE-BF5A-486C-A8C5-ECC9F3942E4B}">
                              <a14:imgProps xmlns:a14="http://schemas.microsoft.com/office/drawing/2010/main">
                                <a14:imgLayer r:embed="rId20">
                                  <a14:imgEffect>
                                    <a14:saturation sat="0"/>
                                  </a14:imgEffect>
                                </a14:imgLayer>
                              </a14:imgProps>
                            </a:ext>
                          </a:extLst>
                        </a:blip>
                        <a:stretch>
                          <a:fillRect/>
                        </a:stretch>
                      </pic:blipFill>
                      <pic:spPr>
                        <a:xfrm>
                          <a:off x="0" y="0"/>
                          <a:ext cx="2722641" cy="3939906"/>
                        </a:xfrm>
                        <a:prstGeom prst="rect">
                          <a:avLst/>
                        </a:prstGeom>
                      </pic:spPr>
                    </pic:pic>
                  </a:graphicData>
                </a:graphic>
              </wp:inline>
            </w:drawing>
          </w:r>
        </w:p>
        <w:p>
          <w:pPr>
            <w:pStyle w:val="175"/>
            <w:numPr>
              <w:ilvl w:val="0"/>
              <w:numId w:val="0"/>
            </w:numPr>
            <w:ind w:left="851" w:hanging="426"/>
            <w:jc w:val="center"/>
          </w:pPr>
          <w:r>
            <w:rPr>
              <w:rFonts w:hint="eastAsia"/>
            </w:rPr>
            <w:t>图</w:t>
          </w:r>
          <w:r>
            <w:t>1 追溯流程框架图</w:t>
          </w:r>
        </w:p>
        <w:p>
          <w:pPr>
            <w:pStyle w:val="175"/>
            <w:numPr>
              <w:ilvl w:val="0"/>
              <w:numId w:val="0"/>
            </w:numPr>
            <w:ind w:left="851" w:hanging="426"/>
          </w:pPr>
        </w:p>
        <w:p>
          <w:pPr>
            <w:pStyle w:val="175"/>
            <w:numPr>
              <w:ilvl w:val="0"/>
              <w:numId w:val="0"/>
            </w:numPr>
          </w:pPr>
        </w:p>
        <w:p>
          <w:pPr>
            <w:pStyle w:val="105"/>
            <w:numPr>
              <w:ilvl w:val="0"/>
              <w:numId w:val="0"/>
            </w:numPr>
            <w:spacing w:before="312" w:after="312"/>
          </w:pPr>
          <w:bookmarkStart w:id="52" w:name="_Toc151715368"/>
          <w:r>
            <w:rPr>
              <w:rFonts w:hint="eastAsia"/>
            </w:rPr>
            <w:t>6</w:t>
          </w:r>
          <w:r>
            <w:rPr>
              <w:rFonts w:hint="eastAsia"/>
              <w:lang w:val="en-US" w:eastAsia="zh-CN"/>
            </w:rPr>
            <w:t xml:space="preserve"> </w:t>
          </w:r>
          <w:r>
            <w:rPr>
              <w:rFonts w:hint="eastAsia"/>
            </w:rPr>
            <w:t>信息采集</w:t>
          </w:r>
          <w:r>
            <w:t>管理</w:t>
          </w:r>
          <w:bookmarkEnd w:id="52"/>
        </w:p>
        <w:p>
          <w:pPr>
            <w:pStyle w:val="106"/>
            <w:numPr>
              <w:ilvl w:val="0"/>
              <w:numId w:val="0"/>
            </w:numPr>
            <w:spacing w:before="156" w:after="156"/>
          </w:pPr>
          <w:bookmarkStart w:id="53" w:name="_Toc151715369"/>
          <w:r>
            <w:rPr>
              <w:rFonts w:hint="eastAsia" w:ascii="黑体" w:hAnsi="黑体" w:eastAsia="黑体" w:cs="黑体"/>
            </w:rPr>
            <w:t>6.1信息采集</w:t>
          </w:r>
          <w:r>
            <w:rPr>
              <w:rFonts w:hint="eastAsia"/>
            </w:rPr>
            <w:t>管理要求</w:t>
          </w:r>
          <w:bookmarkEnd w:id="53"/>
        </w:p>
        <w:p>
          <w:pPr>
            <w:pStyle w:val="57"/>
            <w:ind w:firstLine="420"/>
          </w:pPr>
          <w:r>
            <w:rPr>
              <w:rFonts w:hint="eastAsia"/>
            </w:rPr>
            <w:t>根据平台生产管理过程信息系统要求，收集、整理、分析录入与赤峰小米质量追溯相关的信息，其余信息纸质记录归档，所有追溯信息应当至少保存二年。</w:t>
          </w:r>
        </w:p>
        <w:p>
          <w:pPr>
            <w:pStyle w:val="57"/>
            <w:ind w:firstLine="420"/>
          </w:pPr>
          <w:r>
            <w:rPr>
              <w:rFonts w:hint="eastAsia"/>
            </w:rPr>
            <w:t>应记录基本追溯信息，可根据实际生产情况记录扩展追溯信息。若产品涉及流程少于所列环节，可依据自身需要，记录其它追溯信息。</w:t>
          </w:r>
        </w:p>
        <w:p>
          <w:pPr>
            <w:pStyle w:val="57"/>
            <w:ind w:firstLine="420"/>
          </w:pPr>
          <w:r>
            <w:rPr>
              <w:rFonts w:hint="eastAsia"/>
            </w:rPr>
            <w:t>追溯系统所有信息应遵守国家法律法规规定，做好保密工作。</w:t>
          </w:r>
        </w:p>
        <w:p>
          <w:pPr>
            <w:pStyle w:val="106"/>
            <w:numPr>
              <w:ilvl w:val="0"/>
              <w:numId w:val="0"/>
            </w:numPr>
            <w:spacing w:before="156" w:after="156"/>
          </w:pPr>
          <w:bookmarkStart w:id="54" w:name="_Toc151715370"/>
          <w:r>
            <w:rPr>
              <w:rFonts w:hint="eastAsia"/>
            </w:rPr>
            <w:t>6.2采集信息记录</w:t>
          </w:r>
          <w:bookmarkEnd w:id="54"/>
        </w:p>
        <w:p>
          <w:pPr>
            <w:pStyle w:val="57"/>
            <w:ind w:firstLine="420"/>
          </w:pPr>
          <w:r>
            <w:rPr>
              <w:rFonts w:hint="eastAsia"/>
            </w:rPr>
            <w:t>见表</w:t>
          </w:r>
          <w:r>
            <w:t>1。</w:t>
          </w:r>
        </w:p>
        <w:p>
          <w:pPr>
            <w:pStyle w:val="57"/>
            <w:ind w:firstLine="420"/>
            <w:jc w:val="center"/>
          </w:pPr>
          <w:r>
            <w:rPr>
              <w:rFonts w:hint="eastAsia"/>
            </w:rPr>
            <w:t>表</w:t>
          </w:r>
          <w:r>
            <w:t>1 种植环节信息采集表</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3"/>
            <w:gridCol w:w="5388"/>
            <w:gridCol w:w="1003"/>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93" w:type="dxa"/>
                <w:vMerge w:val="restart"/>
                <w:vAlign w:val="center"/>
              </w:tcPr>
              <w:p>
                <w:pPr>
                  <w:widowControl w:val="0"/>
                  <w:jc w:val="center"/>
                  <w:rPr>
                    <w:rFonts w:ascii="Calibri" w:hAnsi="Calibri" w:eastAsia="宋体" w:cs="Times New Roman"/>
                  </w:rPr>
                </w:pPr>
                <w:r>
                  <w:rPr>
                    <w:rFonts w:hint="eastAsia" w:ascii="Calibri" w:hAnsi="Calibri" w:eastAsia="宋体" w:cs="Times New Roman"/>
                  </w:rPr>
                  <w:t>追溯信息</w:t>
                </w:r>
              </w:p>
            </w:tc>
            <w:tc>
              <w:tcPr>
                <w:tcW w:w="5388" w:type="dxa"/>
                <w:vMerge w:val="restart"/>
                <w:vAlign w:val="center"/>
              </w:tcPr>
              <w:p>
                <w:pPr>
                  <w:widowControl w:val="0"/>
                  <w:jc w:val="center"/>
                  <w:rPr>
                    <w:rFonts w:ascii="Calibri" w:hAnsi="Calibri" w:eastAsia="宋体" w:cs="Times New Roman"/>
                  </w:rPr>
                </w:pPr>
                <w:r>
                  <w:rPr>
                    <w:rFonts w:hint="eastAsia" w:ascii="Calibri" w:hAnsi="Calibri" w:eastAsia="宋体" w:cs="Times New Roman"/>
                  </w:rPr>
                  <w:t>描述</w:t>
                </w:r>
              </w:p>
            </w:tc>
            <w:tc>
              <w:tcPr>
                <w:tcW w:w="1905" w:type="dxa"/>
                <w:gridSpan w:val="2"/>
              </w:tcPr>
              <w:p>
                <w:pPr>
                  <w:widowControl w:val="0"/>
                  <w:jc w:val="center"/>
                  <w:rPr>
                    <w:rFonts w:ascii="Calibri" w:hAnsi="Calibri" w:eastAsia="宋体" w:cs="Times New Roman"/>
                  </w:rPr>
                </w:pPr>
                <w:r>
                  <w:rPr>
                    <w:rFonts w:hint="eastAsia" w:ascii="Calibri" w:hAnsi="Calibri" w:eastAsia="宋体" w:cs="Times New Roman"/>
                  </w:rPr>
                  <w:t>信息类型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93" w:type="dxa"/>
                <w:vMerge w:val="continue"/>
              </w:tcPr>
              <w:p>
                <w:pPr>
                  <w:widowControl w:val="0"/>
                  <w:rPr>
                    <w:rFonts w:ascii="Calibri" w:hAnsi="Calibri" w:eastAsia="宋体" w:cs="Times New Roman"/>
                  </w:rPr>
                </w:pPr>
              </w:p>
            </w:tc>
            <w:tc>
              <w:tcPr>
                <w:tcW w:w="5388" w:type="dxa"/>
                <w:vMerge w:val="continue"/>
              </w:tcPr>
              <w:p>
                <w:pPr>
                  <w:widowControl w:val="0"/>
                  <w:rPr>
                    <w:rFonts w:ascii="Calibri" w:hAnsi="Calibri" w:eastAsia="宋体" w:cs="Times New Roman"/>
                  </w:rPr>
                </w:pPr>
              </w:p>
            </w:tc>
            <w:tc>
              <w:tcPr>
                <w:tcW w:w="1003" w:type="dxa"/>
              </w:tcPr>
              <w:p>
                <w:pPr>
                  <w:widowControl w:val="0"/>
                  <w:jc w:val="center"/>
                  <w:rPr>
                    <w:rFonts w:ascii="Calibri" w:hAnsi="Calibri" w:eastAsia="宋体" w:cs="Times New Roman"/>
                  </w:rPr>
                </w:pPr>
                <w:r>
                  <w:rPr>
                    <w:rFonts w:hint="eastAsia" w:ascii="Calibri" w:hAnsi="Calibri" w:eastAsia="宋体" w:cs="Times New Roman"/>
                  </w:rPr>
                  <w:t>基本追溯信息</w:t>
                </w:r>
              </w:p>
            </w:tc>
            <w:tc>
              <w:tcPr>
                <w:tcW w:w="902" w:type="dxa"/>
              </w:tcPr>
              <w:p>
                <w:pPr>
                  <w:widowControl w:val="0"/>
                  <w:jc w:val="center"/>
                  <w:rPr>
                    <w:rFonts w:ascii="Calibri" w:hAnsi="Calibri" w:eastAsia="宋体" w:cs="Times New Roman"/>
                  </w:rPr>
                </w:pPr>
                <w:r>
                  <w:rPr>
                    <w:rFonts w:hint="eastAsia" w:ascii="Calibri" w:hAnsi="Calibri" w:eastAsia="宋体" w:cs="Times New Roman"/>
                  </w:rPr>
                  <w:t>扩展追溯信息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93" w:type="dxa"/>
                <w:vMerge w:val="restart"/>
                <w:vAlign w:val="center"/>
              </w:tcPr>
              <w:p>
                <w:pPr>
                  <w:widowControl w:val="0"/>
                  <w:jc w:val="center"/>
                  <w:rPr>
                    <w:rFonts w:ascii="Calibri" w:hAnsi="Calibri" w:eastAsia="宋体" w:cs="Times New Roman"/>
                  </w:rPr>
                </w:pPr>
                <w:r>
                  <w:rPr>
                    <w:rFonts w:hint="eastAsia" w:ascii="Calibri" w:hAnsi="Calibri" w:eastAsia="宋体" w:cs="Times New Roman"/>
                  </w:rPr>
                  <w:t>基地</w:t>
                </w:r>
              </w:p>
            </w:tc>
            <w:tc>
              <w:tcPr>
                <w:tcW w:w="5388" w:type="dxa"/>
              </w:tcPr>
              <w:p>
                <w:pPr>
                  <w:widowControl w:val="0"/>
                  <w:rPr>
                    <w:rFonts w:ascii="Calibri" w:hAnsi="Calibri" w:eastAsia="宋体" w:cs="Times New Roman"/>
                  </w:rPr>
                </w:pPr>
                <w:r>
                  <w:rPr>
                    <w:rFonts w:hint="eastAsia" w:ascii="Calibri" w:hAnsi="Calibri" w:eastAsia="宋体" w:cs="Times New Roman"/>
                  </w:rPr>
                  <w:t>基地名称、生产者名称、负责人、联系电话、地址或统一信用代码</w:t>
                </w:r>
              </w:p>
            </w:tc>
            <w:tc>
              <w:tcPr>
                <w:tcW w:w="1003" w:type="dxa"/>
              </w:tcPr>
              <w:p>
                <w:pPr>
                  <w:widowControl w:val="0"/>
                  <w:jc w:val="center"/>
                  <w:rPr>
                    <w:rFonts w:ascii="Calibri" w:hAnsi="Calibri" w:eastAsia="宋体" w:cs="Times New Roman"/>
                  </w:rPr>
                </w:pPr>
                <w:r>
                  <w:rPr>
                    <w:rFonts w:hint="eastAsia" w:ascii="宋体" w:hAnsi="宋体" w:eastAsia="宋体" w:cs="Times New Roman"/>
                  </w:rPr>
                  <w:t>√</w:t>
                </w:r>
              </w:p>
            </w:tc>
            <w:tc>
              <w:tcPr>
                <w:tcW w:w="902" w:type="dxa"/>
              </w:tcPr>
              <w:p>
                <w:pPr>
                  <w:widowControl w:val="0"/>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093" w:type="dxa"/>
                <w:vMerge w:val="continue"/>
                <w:vAlign w:val="center"/>
              </w:tcPr>
              <w:p>
                <w:pPr>
                  <w:widowControl w:val="0"/>
                  <w:jc w:val="center"/>
                  <w:rPr>
                    <w:rFonts w:ascii="Calibri" w:hAnsi="Calibri" w:eastAsia="宋体" w:cs="Times New Roman"/>
                  </w:rPr>
                </w:pPr>
              </w:p>
            </w:tc>
            <w:tc>
              <w:tcPr>
                <w:tcW w:w="5388" w:type="dxa"/>
              </w:tcPr>
              <w:p>
                <w:pPr>
                  <w:widowControl w:val="0"/>
                  <w:rPr>
                    <w:rFonts w:ascii="Calibri" w:hAnsi="Calibri" w:eastAsia="宋体" w:cs="Times New Roman"/>
                  </w:rPr>
                </w:pPr>
                <w:r>
                  <w:rPr>
                    <w:rFonts w:hint="eastAsia" w:ascii="Calibri" w:hAnsi="Calibri" w:eastAsia="宋体" w:cs="Times New Roman"/>
                  </w:rPr>
                  <w:t>生态环境信息（包括空气、土壤、气候、水质检测信息）</w:t>
                </w:r>
              </w:p>
            </w:tc>
            <w:tc>
              <w:tcPr>
                <w:tcW w:w="1003" w:type="dxa"/>
              </w:tcPr>
              <w:p>
                <w:pPr>
                  <w:widowControl w:val="0"/>
                  <w:jc w:val="center"/>
                  <w:rPr>
                    <w:rFonts w:ascii="Calibri" w:hAnsi="Calibri" w:eastAsia="宋体" w:cs="Times New Roman"/>
                  </w:rPr>
                </w:pPr>
                <w:r>
                  <w:rPr>
                    <w:rFonts w:hint="eastAsia" w:ascii="宋体" w:hAnsi="宋体" w:eastAsia="宋体" w:cs="Times New Roman"/>
                  </w:rPr>
                  <w:t>√</w:t>
                </w:r>
              </w:p>
            </w:tc>
            <w:tc>
              <w:tcPr>
                <w:tcW w:w="902" w:type="dxa"/>
              </w:tcPr>
              <w:p>
                <w:pPr>
                  <w:widowControl w:val="0"/>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093" w:type="dxa"/>
                <w:vAlign w:val="center"/>
              </w:tcPr>
              <w:p>
                <w:pPr>
                  <w:widowControl w:val="0"/>
                  <w:jc w:val="center"/>
                  <w:rPr>
                    <w:rFonts w:ascii="Calibri" w:hAnsi="Calibri" w:eastAsia="宋体" w:cs="Times New Roman"/>
                  </w:rPr>
                </w:pPr>
                <w:r>
                  <w:rPr>
                    <w:rFonts w:hint="eastAsia" w:ascii="Calibri" w:hAnsi="Calibri" w:eastAsia="宋体" w:cs="Times New Roman"/>
                  </w:rPr>
                  <w:t>品种</w:t>
                </w:r>
              </w:p>
            </w:tc>
            <w:tc>
              <w:tcPr>
                <w:tcW w:w="5388" w:type="dxa"/>
              </w:tcPr>
              <w:p>
                <w:pPr>
                  <w:widowControl w:val="0"/>
                  <w:rPr>
                    <w:rFonts w:ascii="Calibri" w:hAnsi="Calibri" w:eastAsia="宋体" w:cs="Times New Roman"/>
                  </w:rPr>
                </w:pPr>
                <w:r>
                  <w:rPr>
                    <w:rFonts w:hint="eastAsia" w:ascii="Calibri" w:hAnsi="Calibri" w:eastAsia="宋体" w:cs="Times New Roman"/>
                  </w:rPr>
                  <w:t>名称、批号、产地、数量、 规格</w:t>
                </w:r>
              </w:p>
            </w:tc>
            <w:tc>
              <w:tcPr>
                <w:tcW w:w="1003" w:type="dxa"/>
              </w:tcPr>
              <w:p>
                <w:pPr>
                  <w:widowControl w:val="0"/>
                  <w:jc w:val="center"/>
                  <w:rPr>
                    <w:rFonts w:ascii="Calibri" w:hAnsi="Calibri" w:eastAsia="宋体" w:cs="Times New Roman"/>
                  </w:rPr>
                </w:pPr>
                <w:r>
                  <w:rPr>
                    <w:rFonts w:hint="eastAsia" w:ascii="宋体" w:hAnsi="宋体" w:eastAsia="宋体" w:cs="Times New Roman"/>
                  </w:rPr>
                  <w:t>√</w:t>
                </w:r>
              </w:p>
            </w:tc>
            <w:tc>
              <w:tcPr>
                <w:tcW w:w="902" w:type="dxa"/>
              </w:tcPr>
              <w:p>
                <w:pPr>
                  <w:widowControl w:val="0"/>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93" w:type="dxa"/>
                <w:vMerge w:val="restart"/>
                <w:vAlign w:val="center"/>
              </w:tcPr>
              <w:p>
                <w:pPr>
                  <w:widowControl w:val="0"/>
                  <w:jc w:val="center"/>
                  <w:rPr>
                    <w:rFonts w:ascii="Calibri" w:hAnsi="Calibri" w:eastAsia="宋体" w:cs="Times New Roman"/>
                  </w:rPr>
                </w:pPr>
                <w:r>
                  <w:rPr>
                    <w:rFonts w:hint="eastAsia" w:ascii="Calibri" w:hAnsi="Calibri" w:eastAsia="宋体" w:cs="Times New Roman"/>
                  </w:rPr>
                  <w:t>投入品 采购</w:t>
                </w:r>
              </w:p>
            </w:tc>
            <w:tc>
              <w:tcPr>
                <w:tcW w:w="5388" w:type="dxa"/>
              </w:tcPr>
              <w:p>
                <w:pPr>
                  <w:widowControl w:val="0"/>
                  <w:rPr>
                    <w:rFonts w:ascii="Calibri" w:hAnsi="Calibri" w:eastAsia="宋体" w:cs="Times New Roman"/>
                  </w:rPr>
                </w:pPr>
                <w:r>
                  <w:rPr>
                    <w:rFonts w:hint="eastAsia" w:ascii="Calibri" w:hAnsi="Calibri" w:eastAsia="宋体" w:cs="Times New Roman"/>
                  </w:rPr>
                  <w:t>农业投入品通用名、采购时间、采购人、数量、规格、来源（保留采购票据）</w:t>
                </w:r>
              </w:p>
            </w:tc>
            <w:tc>
              <w:tcPr>
                <w:tcW w:w="1003" w:type="dxa"/>
              </w:tcPr>
              <w:p>
                <w:pPr>
                  <w:widowControl w:val="0"/>
                  <w:jc w:val="center"/>
                  <w:rPr>
                    <w:rFonts w:ascii="Calibri" w:hAnsi="Calibri" w:eastAsia="宋体" w:cs="Times New Roman"/>
                  </w:rPr>
                </w:pPr>
                <w:r>
                  <w:rPr>
                    <w:rFonts w:hint="eastAsia" w:ascii="宋体" w:hAnsi="宋体" w:eastAsia="宋体" w:cs="Times New Roman"/>
                  </w:rPr>
                  <w:t>√</w:t>
                </w:r>
              </w:p>
            </w:tc>
            <w:tc>
              <w:tcPr>
                <w:tcW w:w="902" w:type="dxa"/>
              </w:tcPr>
              <w:p>
                <w:pPr>
                  <w:widowControl w:val="0"/>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93" w:type="dxa"/>
                <w:vMerge w:val="continue"/>
              </w:tcPr>
              <w:p>
                <w:pPr>
                  <w:widowControl w:val="0"/>
                  <w:rPr>
                    <w:rFonts w:ascii="Calibri" w:hAnsi="Calibri" w:eastAsia="宋体" w:cs="Times New Roman"/>
                  </w:rPr>
                </w:pPr>
              </w:p>
            </w:tc>
            <w:tc>
              <w:tcPr>
                <w:tcW w:w="5388" w:type="dxa"/>
              </w:tcPr>
              <w:p>
                <w:pPr>
                  <w:widowControl w:val="0"/>
                  <w:rPr>
                    <w:rFonts w:ascii="Calibri" w:hAnsi="Calibri" w:eastAsia="宋体" w:cs="Times New Roman"/>
                  </w:rPr>
                </w:pPr>
                <w:r>
                  <w:rPr>
                    <w:rFonts w:hint="eastAsia" w:ascii="Calibri" w:hAnsi="Calibri" w:eastAsia="宋体" w:cs="Times New Roman"/>
                  </w:rPr>
                  <w:t>农业投入品商品名、生产企业、登记证号、生产批次号、有效期、安全间隔期、储存地点、管理人员</w:t>
                </w:r>
              </w:p>
            </w:tc>
            <w:tc>
              <w:tcPr>
                <w:tcW w:w="1003" w:type="dxa"/>
              </w:tcPr>
              <w:p>
                <w:pPr>
                  <w:widowControl w:val="0"/>
                  <w:jc w:val="center"/>
                  <w:rPr>
                    <w:rFonts w:ascii="Calibri" w:hAnsi="Calibri" w:eastAsia="宋体" w:cs="Times New Roman"/>
                  </w:rPr>
                </w:pPr>
                <w:r>
                  <w:rPr>
                    <w:rFonts w:hint="eastAsia" w:ascii="宋体" w:hAnsi="宋体" w:eastAsia="宋体" w:cs="Times New Roman"/>
                  </w:rPr>
                  <w:t>√</w:t>
                </w:r>
              </w:p>
            </w:tc>
            <w:tc>
              <w:tcPr>
                <w:tcW w:w="902" w:type="dxa"/>
              </w:tcPr>
              <w:p>
                <w:pPr>
                  <w:widowControl w:val="0"/>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093" w:type="dxa"/>
              </w:tcPr>
              <w:p>
                <w:pPr>
                  <w:widowControl w:val="0"/>
                  <w:jc w:val="center"/>
                  <w:rPr>
                    <w:rFonts w:ascii="Calibri" w:hAnsi="Calibri" w:eastAsia="宋体" w:cs="Times New Roman"/>
                  </w:rPr>
                </w:pPr>
                <w:r>
                  <w:rPr>
                    <w:rFonts w:hint="eastAsia" w:ascii="Calibri" w:hAnsi="Calibri" w:eastAsia="宋体" w:cs="Times New Roman"/>
                  </w:rPr>
                  <w:t>田间管理</w:t>
                </w:r>
              </w:p>
            </w:tc>
            <w:tc>
              <w:tcPr>
                <w:tcW w:w="5388" w:type="dxa"/>
              </w:tcPr>
              <w:p>
                <w:pPr>
                  <w:widowControl w:val="0"/>
                  <w:rPr>
                    <w:rFonts w:ascii="Calibri" w:hAnsi="Calibri" w:eastAsia="宋体" w:cs="Times New Roman"/>
                  </w:rPr>
                </w:pPr>
                <w:r>
                  <w:rPr>
                    <w:rFonts w:hint="eastAsia" w:ascii="Calibri" w:hAnsi="Calibri" w:eastAsia="宋体" w:cs="Times New Roman"/>
                  </w:rPr>
                  <w:t>包括但不限于选地、整地、播种、施肥、间定苗、中耕、灌溉信息等</w:t>
                </w:r>
              </w:p>
            </w:tc>
            <w:tc>
              <w:tcPr>
                <w:tcW w:w="1003" w:type="dxa"/>
              </w:tcPr>
              <w:p>
                <w:pPr>
                  <w:widowControl w:val="0"/>
                  <w:jc w:val="center"/>
                  <w:rPr>
                    <w:rFonts w:ascii="Calibri" w:hAnsi="Calibri" w:eastAsia="宋体" w:cs="Times New Roman"/>
                  </w:rPr>
                </w:pPr>
                <w:r>
                  <w:rPr>
                    <w:rFonts w:hint="eastAsia" w:ascii="宋体" w:hAnsi="宋体" w:eastAsia="宋体" w:cs="Times New Roman"/>
                  </w:rPr>
                  <w:t>√</w:t>
                </w:r>
              </w:p>
            </w:tc>
            <w:tc>
              <w:tcPr>
                <w:tcW w:w="902" w:type="dxa"/>
              </w:tcPr>
              <w:p>
                <w:pPr>
                  <w:widowControl w:val="0"/>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93" w:type="dxa"/>
                <w:vMerge w:val="restart"/>
                <w:vAlign w:val="center"/>
              </w:tcPr>
              <w:p>
                <w:pPr>
                  <w:widowControl w:val="0"/>
                  <w:jc w:val="center"/>
                  <w:rPr>
                    <w:rFonts w:ascii="Calibri" w:hAnsi="Calibri" w:eastAsia="宋体" w:cs="Times New Roman"/>
                  </w:rPr>
                </w:pPr>
                <w:r>
                  <w:rPr>
                    <w:rFonts w:hint="eastAsia" w:ascii="Calibri" w:hAnsi="Calibri" w:eastAsia="宋体" w:cs="Times New Roman"/>
                  </w:rPr>
                  <w:t>投入品 使用</w:t>
                </w:r>
              </w:p>
            </w:tc>
            <w:tc>
              <w:tcPr>
                <w:tcW w:w="5388" w:type="dxa"/>
              </w:tcPr>
              <w:p>
                <w:pPr>
                  <w:widowControl w:val="0"/>
                  <w:rPr>
                    <w:rFonts w:ascii="Calibri" w:hAnsi="Calibri" w:eastAsia="宋体" w:cs="Times New Roman"/>
                  </w:rPr>
                </w:pPr>
                <w:r>
                  <w:rPr>
                    <w:rFonts w:hint="eastAsia" w:ascii="Calibri" w:hAnsi="Calibri" w:eastAsia="宋体" w:cs="Times New Roman"/>
                  </w:rPr>
                  <w:t>病虫草害防治信息，包括病虫害名称、发病时间、防治方式（用药名称、剂量、次数、方法）、时间、人员)</w:t>
                </w:r>
              </w:p>
            </w:tc>
            <w:tc>
              <w:tcPr>
                <w:tcW w:w="1003" w:type="dxa"/>
              </w:tcPr>
              <w:p>
                <w:pPr>
                  <w:widowControl w:val="0"/>
                  <w:jc w:val="center"/>
                  <w:rPr>
                    <w:rFonts w:ascii="Calibri" w:hAnsi="Calibri" w:eastAsia="宋体" w:cs="Times New Roman"/>
                  </w:rPr>
                </w:pPr>
                <w:r>
                  <w:rPr>
                    <w:rFonts w:hint="eastAsia" w:ascii="宋体" w:hAnsi="宋体" w:eastAsia="宋体" w:cs="Times New Roman"/>
                  </w:rPr>
                  <w:t>√</w:t>
                </w:r>
              </w:p>
            </w:tc>
            <w:tc>
              <w:tcPr>
                <w:tcW w:w="902" w:type="dxa"/>
              </w:tcPr>
              <w:p>
                <w:pPr>
                  <w:widowControl w:val="0"/>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93" w:type="dxa"/>
                <w:vMerge w:val="continue"/>
              </w:tcPr>
              <w:p>
                <w:pPr>
                  <w:widowControl w:val="0"/>
                  <w:jc w:val="center"/>
                  <w:rPr>
                    <w:rFonts w:ascii="Calibri" w:hAnsi="Calibri" w:eastAsia="宋体" w:cs="Times New Roman"/>
                  </w:rPr>
                </w:pPr>
              </w:p>
            </w:tc>
            <w:tc>
              <w:tcPr>
                <w:tcW w:w="5388" w:type="dxa"/>
              </w:tcPr>
              <w:p>
                <w:pPr>
                  <w:widowControl w:val="0"/>
                  <w:rPr>
                    <w:rFonts w:ascii="Calibri" w:hAnsi="Calibri" w:eastAsia="宋体" w:cs="Times New Roman"/>
                  </w:rPr>
                </w:pPr>
                <w:r>
                  <w:rPr>
                    <w:rFonts w:hint="eastAsia" w:ascii="Calibri" w:hAnsi="Calibri" w:eastAsia="宋体" w:cs="Times New Roman"/>
                  </w:rPr>
                  <w:t>植物生长调节剂、肥料使用信息，包括名称、剂量、次数、方法、使用时间和使用人员</w:t>
                </w:r>
              </w:p>
            </w:tc>
            <w:tc>
              <w:tcPr>
                <w:tcW w:w="1003" w:type="dxa"/>
              </w:tcPr>
              <w:p>
                <w:pPr>
                  <w:widowControl w:val="0"/>
                  <w:jc w:val="center"/>
                  <w:rPr>
                    <w:rFonts w:ascii="Calibri" w:hAnsi="Calibri" w:eastAsia="宋体" w:cs="Times New Roman"/>
                  </w:rPr>
                </w:pPr>
                <w:r>
                  <w:rPr>
                    <w:rFonts w:hint="eastAsia" w:ascii="宋体" w:hAnsi="宋体" w:eastAsia="宋体" w:cs="Times New Roman"/>
                  </w:rPr>
                  <w:t>√</w:t>
                </w:r>
              </w:p>
            </w:tc>
            <w:tc>
              <w:tcPr>
                <w:tcW w:w="902" w:type="dxa"/>
              </w:tcPr>
              <w:p>
                <w:pPr>
                  <w:widowControl w:val="0"/>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093" w:type="dxa"/>
              </w:tcPr>
              <w:p>
                <w:pPr>
                  <w:widowControl w:val="0"/>
                  <w:jc w:val="center"/>
                  <w:rPr>
                    <w:rFonts w:ascii="Calibri" w:hAnsi="Calibri" w:eastAsia="宋体" w:cs="Times New Roman"/>
                  </w:rPr>
                </w:pPr>
                <w:r>
                  <w:rPr>
                    <w:rFonts w:hint="eastAsia" w:ascii="Calibri" w:hAnsi="Calibri" w:eastAsia="宋体" w:cs="Times New Roman"/>
                  </w:rPr>
                  <w:t>收获</w:t>
                </w:r>
              </w:p>
            </w:tc>
            <w:tc>
              <w:tcPr>
                <w:tcW w:w="5388" w:type="dxa"/>
              </w:tcPr>
              <w:p>
                <w:pPr>
                  <w:widowControl w:val="0"/>
                  <w:rPr>
                    <w:rFonts w:ascii="Calibri" w:hAnsi="Calibri" w:eastAsia="宋体" w:cs="Times New Roman"/>
                  </w:rPr>
                </w:pPr>
                <w:r>
                  <w:rPr>
                    <w:rFonts w:hint="eastAsia" w:ascii="Calibri" w:hAnsi="Calibri" w:eastAsia="宋体" w:cs="Times New Roman"/>
                  </w:rPr>
                  <w:t>采收日期、人员、采收方式</w:t>
                </w:r>
              </w:p>
            </w:tc>
            <w:tc>
              <w:tcPr>
                <w:tcW w:w="1003" w:type="dxa"/>
              </w:tcPr>
              <w:p>
                <w:pPr>
                  <w:widowControl w:val="0"/>
                  <w:jc w:val="center"/>
                  <w:rPr>
                    <w:rFonts w:ascii="Calibri" w:hAnsi="Calibri" w:eastAsia="宋体" w:cs="Times New Roman"/>
                  </w:rPr>
                </w:pPr>
                <w:r>
                  <w:rPr>
                    <w:rFonts w:hint="eastAsia" w:ascii="宋体" w:hAnsi="宋体" w:eastAsia="宋体" w:cs="Times New Roman"/>
                  </w:rPr>
                  <w:t>√</w:t>
                </w:r>
              </w:p>
            </w:tc>
            <w:tc>
              <w:tcPr>
                <w:tcW w:w="902" w:type="dxa"/>
              </w:tcPr>
              <w:p>
                <w:pPr>
                  <w:widowControl w:val="0"/>
                  <w:jc w:val="center"/>
                  <w:rPr>
                    <w:rFonts w:ascii="Calibri" w:hAnsi="Calibri"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jc w:val="center"/>
            </w:trPr>
            <w:tc>
              <w:tcPr>
                <w:tcW w:w="1093" w:type="dxa"/>
              </w:tcPr>
              <w:p>
                <w:pPr>
                  <w:widowControl w:val="0"/>
                  <w:jc w:val="center"/>
                  <w:rPr>
                    <w:rFonts w:ascii="Calibri" w:hAnsi="Calibri" w:eastAsia="宋体" w:cs="Times New Roman"/>
                  </w:rPr>
                </w:pPr>
                <w:r>
                  <w:rPr>
                    <w:rFonts w:hint="eastAsia" w:ascii="Calibri" w:hAnsi="Calibri" w:eastAsia="宋体" w:cs="Times New Roman"/>
                  </w:rPr>
                  <w:t>产品检测（或自我</w:t>
                </w:r>
                <w:r>
                  <w:rPr>
                    <w:rFonts w:ascii="Calibri" w:hAnsi="Calibri" w:eastAsia="宋体" w:cs="Times New Roman"/>
                  </w:rPr>
                  <w:t>承诺合格</w:t>
                </w:r>
                <w:r>
                  <w:rPr>
                    <w:rFonts w:hint="eastAsia" w:ascii="Calibri" w:hAnsi="Calibri" w:eastAsia="宋体" w:cs="Times New Roman"/>
                  </w:rPr>
                  <w:t>）</w:t>
                </w:r>
              </w:p>
            </w:tc>
            <w:tc>
              <w:tcPr>
                <w:tcW w:w="5388" w:type="dxa"/>
              </w:tcPr>
              <w:p>
                <w:pPr>
                  <w:widowControl w:val="0"/>
                  <w:rPr>
                    <w:rFonts w:ascii="Calibri" w:hAnsi="Calibri" w:eastAsia="宋体" w:cs="Times New Roman"/>
                  </w:rPr>
                </w:pPr>
                <w:r>
                  <w:rPr>
                    <w:rFonts w:hint="eastAsia" w:ascii="Calibri" w:hAnsi="Calibri" w:eastAsia="宋体" w:cs="Times New Roman"/>
                  </w:rPr>
                  <w:t>产品来源、检测日期、检测机构、产品标准、检测结果；</w:t>
                </w:r>
                <w:r>
                  <w:rPr>
                    <w:rFonts w:ascii="Calibri" w:hAnsi="Calibri" w:eastAsia="宋体" w:cs="Times New Roman"/>
                  </w:rPr>
                  <w:t>或自我承诺合格</w:t>
                </w:r>
              </w:p>
            </w:tc>
            <w:tc>
              <w:tcPr>
                <w:tcW w:w="1003" w:type="dxa"/>
              </w:tcPr>
              <w:p>
                <w:pPr>
                  <w:widowControl w:val="0"/>
                  <w:jc w:val="center"/>
                  <w:rPr>
                    <w:rFonts w:ascii="Calibri" w:hAnsi="Calibri" w:eastAsia="宋体" w:cs="Times New Roman"/>
                  </w:rPr>
                </w:pPr>
                <w:r>
                  <w:rPr>
                    <w:rFonts w:hint="eastAsia" w:ascii="宋体" w:hAnsi="宋体" w:eastAsia="宋体" w:cs="Times New Roman"/>
                  </w:rPr>
                  <w:t>√</w:t>
                </w:r>
              </w:p>
            </w:tc>
            <w:tc>
              <w:tcPr>
                <w:tcW w:w="902" w:type="dxa"/>
              </w:tcPr>
              <w:p>
                <w:pPr>
                  <w:widowControl w:val="0"/>
                  <w:jc w:val="center"/>
                  <w:rPr>
                    <w:rFonts w:ascii="Calibri" w:hAnsi="Calibri" w:eastAsia="宋体" w:cs="Times New Roman"/>
                  </w:rPr>
                </w:pPr>
                <w:r>
                  <w:rPr>
                    <w:rFonts w:hint="eastAsia" w:ascii="宋体" w:hAnsi="宋体" w:eastAsia="宋体" w:cs="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093" w:type="dxa"/>
                <w:vAlign w:val="center"/>
              </w:tcPr>
              <w:p>
                <w:pPr>
                  <w:widowControl w:val="0"/>
                  <w:jc w:val="center"/>
                  <w:rPr>
                    <w:rFonts w:ascii="Calibri" w:hAnsi="Calibri" w:eastAsia="宋体" w:cs="Times New Roman"/>
                  </w:rPr>
                </w:pPr>
                <w:r>
                  <w:rPr>
                    <w:rFonts w:hint="eastAsia" w:ascii="Calibri" w:hAnsi="Calibri" w:eastAsia="宋体" w:cs="Times New Roman"/>
                  </w:rPr>
                  <w:t>其它</w:t>
                </w:r>
              </w:p>
            </w:tc>
            <w:tc>
              <w:tcPr>
                <w:tcW w:w="5388" w:type="dxa"/>
              </w:tcPr>
              <w:p>
                <w:pPr>
                  <w:widowControl w:val="0"/>
                  <w:rPr>
                    <w:rFonts w:ascii="Calibri" w:hAnsi="Calibri" w:eastAsia="宋体" w:cs="Times New Roman"/>
                  </w:rPr>
                </w:pPr>
                <w:r>
                  <w:rPr>
                    <w:rFonts w:hint="eastAsia" w:ascii="Calibri" w:hAnsi="Calibri" w:eastAsia="宋体" w:cs="Times New Roman"/>
                  </w:rPr>
                  <w:t>产品认证、加工、储藏、运输、销售等信息</w:t>
                </w:r>
              </w:p>
            </w:tc>
            <w:tc>
              <w:tcPr>
                <w:tcW w:w="1003" w:type="dxa"/>
              </w:tcPr>
              <w:p>
                <w:pPr>
                  <w:widowControl w:val="0"/>
                  <w:jc w:val="center"/>
                  <w:rPr>
                    <w:rFonts w:ascii="Calibri" w:hAnsi="Calibri" w:eastAsia="宋体" w:cs="Times New Roman"/>
                  </w:rPr>
                </w:pPr>
                <w:r>
                  <w:rPr>
                    <w:rFonts w:hint="eastAsia" w:ascii="宋体" w:hAnsi="宋体" w:eastAsia="宋体" w:cs="Times New Roman"/>
                  </w:rPr>
                  <w:t>√</w:t>
                </w:r>
              </w:p>
            </w:tc>
            <w:tc>
              <w:tcPr>
                <w:tcW w:w="902" w:type="dxa"/>
              </w:tcPr>
              <w:p>
                <w:pPr>
                  <w:widowControl w:val="0"/>
                  <w:jc w:val="center"/>
                  <w:rPr>
                    <w:rFonts w:ascii="Calibri" w:hAnsi="Calibri" w:eastAsia="宋体" w:cs="Times New Roman"/>
                  </w:rPr>
                </w:pPr>
                <w:r>
                  <w:rPr>
                    <w:rFonts w:hint="eastAsia" w:ascii="宋体" w:hAnsi="宋体" w:eastAsia="宋体" w:cs="Times New Roman"/>
                  </w:rPr>
                  <w:t>√</w:t>
                </w:r>
              </w:p>
            </w:tc>
          </w:tr>
        </w:tbl>
        <w:p>
          <w:pPr>
            <w:pStyle w:val="57"/>
            <w:ind w:firstLine="420"/>
          </w:pPr>
        </w:p>
        <w:p>
          <w:pPr>
            <w:pStyle w:val="106"/>
            <w:numPr>
              <w:ilvl w:val="0"/>
              <w:numId w:val="0"/>
            </w:numPr>
            <w:spacing w:before="156" w:after="156"/>
          </w:pPr>
          <w:bookmarkStart w:id="55" w:name="_Toc151715371"/>
          <w:r>
            <w:rPr>
              <w:rFonts w:hint="eastAsia"/>
            </w:rPr>
            <w:t>6.3追溯编码标识</w:t>
          </w:r>
          <w:bookmarkEnd w:id="55"/>
        </w:p>
        <w:p>
          <w:pPr>
            <w:pStyle w:val="175"/>
            <w:numPr>
              <w:ilvl w:val="0"/>
              <w:numId w:val="0"/>
            </w:numPr>
            <w:ind w:firstLine="424" w:firstLineChars="202"/>
          </w:pPr>
          <w:r>
            <w:rPr>
              <w:rFonts w:hint="eastAsia"/>
            </w:rPr>
            <w:t>赤峰小米追溯单元的编码应符合唯一性、合理性、可扩展性、简明实用性和规范性的原则。谷子种植、检测或自我承诺合格、小米加工、销售等各环节按实际录入形成追溯标识和追溯记录，生成产品追溯二维码标签。</w:t>
          </w:r>
        </w:p>
        <w:p>
          <w:pPr>
            <w:pStyle w:val="106"/>
            <w:numPr>
              <w:ilvl w:val="0"/>
              <w:numId w:val="0"/>
            </w:numPr>
            <w:spacing w:before="156" w:after="156"/>
            <w:rPr>
              <w:rFonts w:hint="eastAsia"/>
            </w:rPr>
          </w:pPr>
          <w:bookmarkStart w:id="56" w:name="_Toc151715372"/>
          <w:r>
            <w:rPr>
              <w:rFonts w:hint="eastAsia"/>
            </w:rPr>
            <w:t>6.4信</w:t>
          </w:r>
          <w:r>
            <w:rPr>
              <w:rFonts w:hint="eastAsia"/>
            </w:rPr>
            <w:t>息查询</w:t>
          </w:r>
          <w:bookmarkEnd w:id="56"/>
        </w:p>
        <w:p>
          <w:pPr>
            <w:pStyle w:val="57"/>
            <w:ind w:firstLine="420"/>
          </w:pPr>
          <w:r>
            <w:rPr>
              <w:rFonts w:hint="eastAsia"/>
            </w:rPr>
            <w:t>赤峰小米生产经营主体的产品追溯信息应可查询。产品追溯二维码标签应粘贴或放置于产品销售包装的醒目位置，并能准确识读。以纸质档案记录为补充，实现赤峰小米质量安全全程可追溯。</w:t>
          </w:r>
        </w:p>
        <w:p>
          <w:pPr>
            <w:pStyle w:val="105"/>
            <w:numPr>
              <w:ilvl w:val="0"/>
              <w:numId w:val="0"/>
            </w:numPr>
            <w:spacing w:before="312" w:after="312"/>
          </w:pPr>
          <w:r>
            <w:rPr>
              <w:rFonts w:hint="eastAsia"/>
            </w:rPr>
            <w:t>7</w:t>
          </w:r>
          <w:r>
            <w:rPr>
              <w:rFonts w:hint="eastAsia"/>
              <w:lang w:val="en-US" w:eastAsia="zh-CN"/>
            </w:rPr>
            <w:t xml:space="preserve"> </w:t>
          </w:r>
          <w:r>
            <w:rPr>
              <w:rFonts w:hint="eastAsia"/>
            </w:rPr>
            <w:t>体系运行自检</w:t>
          </w:r>
        </w:p>
        <w:p>
          <w:pPr>
            <w:pStyle w:val="57"/>
            <w:ind w:firstLine="420"/>
          </w:pPr>
          <w:r>
            <w:rPr>
              <w:rFonts w:hint="eastAsia"/>
            </w:rPr>
            <w:t>生产经营主体应建立追溯监测制度，定期开展追溯运行情况自检，以确定追溯实施的可操作性和符合性，测评追溯信息的真实性和有效性，并形成自检记录，必要时提出追溯体系的改进意见。</w:t>
          </w:r>
        </w:p>
        <w:p>
          <w:pPr>
            <w:pStyle w:val="105"/>
            <w:numPr>
              <w:ilvl w:val="0"/>
              <w:numId w:val="0"/>
            </w:numPr>
            <w:spacing w:before="312" w:after="312"/>
          </w:pPr>
          <w:bookmarkStart w:id="57" w:name="_Toc151715373"/>
          <w:bookmarkStart w:id="58" w:name="_Hlk136971352"/>
          <w:r>
            <w:rPr>
              <w:rFonts w:hint="eastAsia"/>
            </w:rPr>
            <w:t>8</w:t>
          </w:r>
          <w:r>
            <w:rPr>
              <w:rFonts w:hint="eastAsia"/>
              <w:lang w:val="en-US" w:eastAsia="zh-CN"/>
            </w:rPr>
            <w:t xml:space="preserve"> </w:t>
          </w:r>
          <w:r>
            <w:rPr>
              <w:rFonts w:hint="eastAsia"/>
            </w:rPr>
            <w:t>质量</w:t>
          </w:r>
          <w:r>
            <w:t>安全问题处置</w:t>
          </w:r>
          <w:bookmarkEnd w:id="57"/>
        </w:p>
        <w:p>
          <w:pPr>
            <w:pStyle w:val="106"/>
            <w:numPr>
              <w:ilvl w:val="0"/>
              <w:numId w:val="0"/>
            </w:numPr>
            <w:spacing w:before="156" w:after="156"/>
            <w:rPr>
              <w:rFonts w:ascii="宋体" w:hAnsi="宋体" w:eastAsia="宋体" w:cs="宋体"/>
            </w:rPr>
          </w:pPr>
          <w:r>
            <w:rPr>
              <w:rFonts w:hint="eastAsia" w:ascii="宋体" w:hAnsi="宋体" w:eastAsia="宋体" w:cs="宋体"/>
            </w:rPr>
            <w:t>8.1生产经营主体对谷子种植，小米加工、贮运、经销等各环节应对上一环节提供的产品进行验收,对追溯信息进行核实，如发现问题，及时采取整改或者召回、销毁等措施。</w:t>
          </w:r>
        </w:p>
        <w:bookmarkEnd w:id="58"/>
        <w:p>
          <w:pPr>
            <w:pStyle w:val="106"/>
            <w:numPr>
              <w:ilvl w:val="0"/>
              <w:numId w:val="0"/>
            </w:numPr>
            <w:spacing w:before="156" w:after="156"/>
            <w:rPr>
              <w:rFonts w:ascii="宋体" w:hAnsi="宋体" w:eastAsia="宋体" w:cs="宋体"/>
            </w:rPr>
          </w:pPr>
          <w:r>
            <w:rPr>
              <w:rFonts w:hint="eastAsia" w:ascii="宋体" w:hAnsi="宋体" w:eastAsia="宋体" w:cs="宋体"/>
            </w:rPr>
            <w:t>8.2产品出现质量安全问题时，生产经营主体应依据追溯体系，迅速界定产品涉及范围，提供相关记录，确定质量安全问题发生的时间、地点、追溯单元和责任人，为问题处理提供科学依据。</w:t>
          </w:r>
        </w:p>
        <w:p>
          <w:pPr>
            <w:pStyle w:val="57"/>
            <w:ind w:firstLine="420"/>
            <w:rPr>
              <w:rFonts w:hAnsi="宋体" w:cs="宋体"/>
            </w:rPr>
          </w:pPr>
        </w:p>
        <w:p>
          <w:pPr>
            <w:pStyle w:val="246"/>
            <w:framePr w:hSpace="0" w:vSpace="0" w:wrap="auto" w:vAnchor="margin" w:hAnchor="text" w:xAlign="left" w:yAlign="inline"/>
            <w:jc w:val="center"/>
          </w:pPr>
          <w:r>
            <w:t>_________________________________</w:t>
          </w:r>
        </w:p>
        <w:p>
          <w:pPr>
            <w:pStyle w:val="236"/>
            <w:adjustRightInd w:val="0"/>
            <w:snapToGrid w:val="0"/>
            <w:spacing w:line="360" w:lineRule="auto"/>
            <w:ind w:left="0" w:leftChars="0" w:firstLine="0" w:firstLineChars="0"/>
            <w:rPr>
              <w:rFonts w:hint="eastAsia"/>
              <w:sz w:val="21"/>
              <w:szCs w:val="21"/>
            </w:rPr>
          </w:pPr>
        </w:p>
        <w:p>
          <w:pPr>
            <w:pStyle w:val="236"/>
            <w:adjustRightInd w:val="0"/>
            <w:snapToGrid w:val="0"/>
            <w:spacing w:line="360" w:lineRule="auto"/>
            <w:ind w:firstLine="420"/>
            <w:rPr>
              <w:rFonts w:hint="eastAsia"/>
              <w:sz w:val="21"/>
              <w:szCs w:val="21"/>
            </w:rPr>
          </w:pPr>
        </w:p>
        <w:p>
          <w:pPr>
            <w:pStyle w:val="236"/>
          </w:pPr>
        </w:p>
      </w:sdtContent>
    </w:sdt>
    <w:sectPr>
      <w:headerReference r:id="rId15" w:type="default"/>
      <w:footerReference r:id="rId16"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roman"/>
    <w:pitch w:val="default"/>
    <w:sig w:usb0="00000000" w:usb1="00000000" w:usb2="00000016" w:usb3="00000000" w:csb0="0004000F" w:csb1="00000000"/>
  </w:font>
  <w:font w:name="等线 Light">
    <w:altName w:val="宋体"/>
    <w:panose1 w:val="02010600030101010101"/>
    <w:charset w:val="86"/>
    <w:family w:val="roman"/>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1030101010101"/>
    <w:charset w:val="86"/>
    <w:family w:val="auto"/>
    <w:pitch w:val="default"/>
    <w:sig w:usb0="00000001" w:usb1="080E0000" w:usb2="00000000" w:usb3="00000000" w:csb0="00040000" w:csb1="00000000"/>
  </w:font>
  <w:font w:name="叶根友毛笔行书2.0版">
    <w:panose1 w:val="02010601030101010101"/>
    <w:charset w:val="86"/>
    <w:family w:val="auto"/>
    <w:pitch w:val="default"/>
    <w:sig w:usb0="00000001" w:usb1="080E0000" w:usb2="00000000" w:usb3="00000000" w:csb0="00040000" w:csb1="0000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59709071"/>
    </w:sdtPr>
    <w:sdtEndPr>
      <w:rPr>
        <w:rFonts w:ascii="宋体" w:hAnsi="宋体" w:eastAsia="宋体"/>
      </w:rPr>
    </w:sdtEndPr>
    <w:sdtContent>
      <w:p>
        <w:pPr>
          <w:pStyle w:val="17"/>
          <w:ind w:right="180" w:firstLine="180" w:firstLineChars="100"/>
          <w:jc w:val="right"/>
          <w:rPr>
            <w:rFonts w:ascii="宋体" w:hAnsi="宋体" w:eastAsia="宋体"/>
          </w:rPr>
        </w:pPr>
        <w:r>
          <w:rPr>
            <w:rFonts w:ascii="宋体" w:hAnsi="宋体" w:eastAsia="宋体"/>
          </w:rPr>
          <w:fldChar w:fldCharType="begin"/>
        </w:r>
        <w:r>
          <w:rPr>
            <w:rFonts w:ascii="宋体" w:hAnsi="宋体" w:eastAsia="宋体"/>
          </w:rPr>
          <w:instrText xml:space="preserve">PAGE   \* MERGEFORMAT</w:instrText>
        </w:r>
        <w:r>
          <w:rPr>
            <w:rFonts w:ascii="宋体" w:hAnsi="宋体" w:eastAsia="宋体"/>
          </w:rPr>
          <w:fldChar w:fldCharType="separate"/>
        </w:r>
        <w:r>
          <w:rPr>
            <w:rFonts w:ascii="宋体" w:hAnsi="宋体" w:eastAsia="宋体"/>
            <w:lang w:val="zh-CN"/>
          </w:rPr>
          <w:t>I</w:t>
        </w:r>
        <w:r>
          <w:rPr>
            <w:rFonts w:ascii="宋体" w:hAnsi="宋体" w:eastAsia="宋体"/>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180" w:firstLine="180" w:firstLineChars="100"/>
      <w:rPr>
        <w:rFonts w:ascii="宋体" w:hAnsi="宋体" w:eastAsia="宋体"/>
        <w:lang w:val="zh-CN"/>
      </w:rPr>
    </w:pPr>
    <w:r>
      <w:rPr>
        <w:rFonts w:hint="eastAsia" w:ascii="宋体" w:hAnsi="宋体" w:eastAsia="宋体"/>
        <w:lang w:val="zh-CN"/>
      </w:rPr>
      <w:t>Ⅱ</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3"/>
      <w:jc w:val="left"/>
      <w:rPr>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jc w:val="left"/>
      <w:rPr>
        <w:rFonts w:ascii="黑体" w:hAnsi="黑体" w:eastAsia="黑体" w:cs="Times New Roman"/>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DB1504/T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2F5D3243"/>
    <w:multiLevelType w:val="multilevel"/>
    <w:tmpl w:val="2F5D324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pStyle w:val="243"/>
      <w:lvlText w:val="%1.%2.%3.%4."/>
      <w:lvlJc w:val="left"/>
      <w:pPr>
        <w:ind w:left="1135"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397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3"/>
  </w:num>
  <w:num w:numId="13">
    <w:abstractNumId w:val="14"/>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0"/>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attachedTemplate r:id="rId1"/>
  <w:documentProtection w:edit="forms" w:enforcement="1"/>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JjMGM1ZmMwYTViNGNkYTY0MzVkNTU4OTZiMTBmMWYifQ=="/>
  </w:docVars>
  <w:rsids>
    <w:rsidRoot w:val="00E92D57"/>
    <w:rsid w:val="0000040A"/>
    <w:rsid w:val="00000A94"/>
    <w:rsid w:val="00001972"/>
    <w:rsid w:val="00001D9A"/>
    <w:rsid w:val="00006E7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29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5716"/>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588"/>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5E0"/>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1D9"/>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1C7E"/>
    <w:rsid w:val="00445574"/>
    <w:rsid w:val="004467FB"/>
    <w:rsid w:val="00452D6B"/>
    <w:rsid w:val="00454484"/>
    <w:rsid w:val="0045517B"/>
    <w:rsid w:val="00463B77"/>
    <w:rsid w:val="00463C7B"/>
    <w:rsid w:val="004644A6"/>
    <w:rsid w:val="004659BD"/>
    <w:rsid w:val="00467D00"/>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D21"/>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7E89"/>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DF6"/>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0C6"/>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C11"/>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752"/>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FCF"/>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111"/>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441"/>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8A7"/>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655"/>
    <w:rsid w:val="00B939B1"/>
    <w:rsid w:val="00B96D40"/>
    <w:rsid w:val="00B97386"/>
    <w:rsid w:val="00BA263B"/>
    <w:rsid w:val="00BA42B2"/>
    <w:rsid w:val="00BA58D4"/>
    <w:rsid w:val="00BA5B9E"/>
    <w:rsid w:val="00BA7C9A"/>
    <w:rsid w:val="00BB203B"/>
    <w:rsid w:val="00BB34B1"/>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322"/>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E7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E2A"/>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DFE"/>
    <w:rsid w:val="00E846C8"/>
    <w:rsid w:val="00E84957"/>
    <w:rsid w:val="00E84A55"/>
    <w:rsid w:val="00E85BFF"/>
    <w:rsid w:val="00E90391"/>
    <w:rsid w:val="00E906C2"/>
    <w:rsid w:val="00E92D57"/>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62F6"/>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DD0"/>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343830"/>
    <w:rsid w:val="05035C62"/>
    <w:rsid w:val="066868C0"/>
    <w:rsid w:val="0BFD1FAB"/>
    <w:rsid w:val="0CFA4CFF"/>
    <w:rsid w:val="0EF75616"/>
    <w:rsid w:val="15E57F55"/>
    <w:rsid w:val="196229FF"/>
    <w:rsid w:val="1B111B4F"/>
    <w:rsid w:val="1B7F0DE3"/>
    <w:rsid w:val="1DA86AD8"/>
    <w:rsid w:val="1EB04003"/>
    <w:rsid w:val="217C30B5"/>
    <w:rsid w:val="26376DAA"/>
    <w:rsid w:val="2A6B74CB"/>
    <w:rsid w:val="2AA75275"/>
    <w:rsid w:val="35BF731B"/>
    <w:rsid w:val="35D023FC"/>
    <w:rsid w:val="37405430"/>
    <w:rsid w:val="39411873"/>
    <w:rsid w:val="453F2418"/>
    <w:rsid w:val="4E5F0337"/>
    <w:rsid w:val="519A1FFA"/>
    <w:rsid w:val="58D25A1D"/>
    <w:rsid w:val="5D0C7301"/>
    <w:rsid w:val="65205DE7"/>
    <w:rsid w:val="672E733A"/>
    <w:rsid w:val="6D1C2BBC"/>
    <w:rsid w:val="7A747DC6"/>
    <w:rsid w:val="7E9D7114"/>
    <w:rsid w:val="7EED3E80"/>
    <w:rsid w:val="7FB459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autoRedefine/>
    <w:qFormat/>
    <w:uiPriority w:val="0"/>
    <w:rPr>
      <w:rFonts w:ascii="Arial" w:hAnsi="Arial" w:eastAsia="黑体"/>
      <w:kern w:val="2"/>
      <w:sz w:val="21"/>
      <w:szCs w:val="21"/>
    </w:rPr>
  </w:style>
  <w:style w:type="character" w:customStyle="1" w:styleId="44">
    <w:name w:val="页眉 Char"/>
    <w:link w:val="18"/>
    <w:autoRedefine/>
    <w:qFormat/>
    <w:uiPriority w:val="99"/>
    <w:rPr>
      <w:kern w:val="2"/>
      <w:sz w:val="18"/>
      <w:szCs w:val="18"/>
    </w:rPr>
  </w:style>
  <w:style w:type="character" w:customStyle="1" w:styleId="45">
    <w:name w:val="页脚 Char"/>
    <w:link w:val="17"/>
    <w:autoRedefine/>
    <w:qFormat/>
    <w:uiPriority w:val="99"/>
    <w:rPr>
      <w:rFonts w:ascii="宋体"/>
      <w:kern w:val="2"/>
      <w:sz w:val="18"/>
      <w:szCs w:val="18"/>
    </w:rPr>
  </w:style>
  <w:style w:type="character" w:customStyle="1" w:styleId="46">
    <w:name w:val="批注框文本 Char"/>
    <w:link w:val="16"/>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Char"/>
    <w:link w:val="47"/>
    <w:autoRedefine/>
    <w:qFormat/>
    <w:uiPriority w:val="29"/>
    <w:rPr>
      <w:i/>
      <w:iCs/>
      <w:color w:val="000000"/>
      <w:kern w:val="2"/>
      <w:sz w:val="21"/>
      <w:szCs w:val="21"/>
    </w:rPr>
  </w:style>
  <w:style w:type="character" w:customStyle="1" w:styleId="49">
    <w:name w:val="标题 Char"/>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autoRedefine/>
    <w:qFormat/>
    <w:uiPriority w:val="0"/>
    <w:rPr>
      <w:kern w:val="2"/>
      <w:sz w:val="21"/>
      <w:szCs w:val="21"/>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autoRedefine/>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Lines="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32">
    <w:name w:val=" Char1"/>
    <w:basedOn w:val="1"/>
    <w:autoRedefine/>
    <w:qFormat/>
    <w:uiPriority w:val="0"/>
    <w:pPr>
      <w:widowControl/>
      <w:adjustRightInd/>
      <w:spacing w:after="160" w:line="240" w:lineRule="exact"/>
      <w:jc w:val="left"/>
    </w:pPr>
    <w:rPr>
      <w:rFonts w:ascii="Verdana" w:hAnsi="Verdana" w:eastAsia="仿宋_GB2312"/>
      <w:kern w:val="0"/>
      <w:sz w:val="24"/>
      <w:szCs w:val="20"/>
      <w:lang w:eastAsia="en-US"/>
    </w:rPr>
  </w:style>
  <w:style w:type="paragraph" w:customStyle="1" w:styleId="23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5">
    <w:name w:val="章标题"/>
    <w:next w:val="236"/>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7">
    <w:name w:val="一级条标题"/>
    <w:next w:val="236"/>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8">
    <w:name w:val="前言、引言标题"/>
    <w:next w:val="23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240">
    <w:name w:val="15"/>
    <w:qFormat/>
    <w:uiPriority w:val="0"/>
    <w:rPr>
      <w:rFonts w:hint="default" w:ascii="Times New Roman" w:hAnsi="Times New Roman" w:cs="Times New Roman"/>
    </w:rPr>
  </w:style>
  <w:style w:type="character" w:customStyle="1" w:styleId="241">
    <w:name w:val="NormalCharacter"/>
    <w:semiHidden/>
    <w:qFormat/>
    <w:uiPriority w:val="99"/>
  </w:style>
  <w:style w:type="paragraph" w:customStyle="1" w:styleId="242">
    <w:name w:val="二级条标题"/>
    <w:basedOn w:val="237"/>
    <w:next w:val="236"/>
    <w:qFormat/>
    <w:uiPriority w:val="0"/>
    <w:pPr>
      <w:outlineLvl w:val="3"/>
    </w:pPr>
  </w:style>
  <w:style w:type="paragraph" w:customStyle="1" w:styleId="243">
    <w:name w:val="三级无"/>
    <w:basedOn w:val="244"/>
    <w:qFormat/>
    <w:uiPriority w:val="0"/>
    <w:pPr>
      <w:numPr>
        <w:ilvl w:val="3"/>
        <w:numId w:val="33"/>
      </w:numPr>
      <w:adjustRightInd/>
      <w:snapToGrid/>
      <w:spacing w:before="0" w:line="240" w:lineRule="auto"/>
      <w:ind w:left="0" w:firstLine="0"/>
      <w:jc w:val="left"/>
    </w:pPr>
    <w:rPr>
      <w:rFonts w:ascii="宋体" w:hAnsi="Times New Roman" w:eastAsia="宋体"/>
      <w:sz w:val="21"/>
    </w:rPr>
  </w:style>
  <w:style w:type="paragraph" w:customStyle="1" w:styleId="244">
    <w:name w:val="三级条标题"/>
    <w:basedOn w:val="242"/>
    <w:next w:val="236"/>
    <w:qFormat/>
    <w:uiPriority w:val="0"/>
    <w:pPr>
      <w:outlineLvl w:val="4"/>
    </w:pPr>
  </w:style>
  <w:style w:type="paragraph" w:styleId="245">
    <w:name w:val="List Paragraph"/>
    <w:basedOn w:val="1"/>
    <w:qFormat/>
    <w:uiPriority w:val="34"/>
    <w:pPr>
      <w:ind w:firstLine="420" w:firstLineChars="200"/>
    </w:pPr>
  </w:style>
  <w:style w:type="paragraph" w:customStyle="1" w:styleId="246">
    <w:name w:val="终结线"/>
    <w:basedOn w:val="1"/>
    <w:qFormat/>
    <w:uiPriority w:val="0"/>
    <w:pPr>
      <w:framePr w:hSpace="181" w:vSpace="181" w:wrap="around" w:vAnchor="text" w:hAnchor="margin" w:xAlign="center" w:y="285"/>
      <w:widowControl w:val="0"/>
      <w:jc w:val="both"/>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microsoft.com/office/2007/relationships/hdphoto" Target="media/image3.wdp"/><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tiff"/><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DBFB969B734393A2128F887F63D3E3"/>
        <w:style w:val=""/>
        <w:category>
          <w:name w:val="常规"/>
          <w:gallery w:val="placeholder"/>
        </w:category>
        <w:types>
          <w:type w:val="bbPlcHdr"/>
        </w:types>
        <w:behaviors>
          <w:behavior w:val="content"/>
        </w:behaviors>
        <w:description w:val=""/>
        <w:guid w:val="{C3568ADF-CF50-4E29-AAEC-F55B94CFAE79}"/>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roman"/>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706B"/>
    <w:rsid w:val="000D56F1"/>
    <w:rsid w:val="000E39F5"/>
    <w:rsid w:val="00722E47"/>
    <w:rsid w:val="007C7077"/>
    <w:rsid w:val="008A17A9"/>
    <w:rsid w:val="009767D8"/>
    <w:rsid w:val="00EC2B5D"/>
    <w:rsid w:val="00F070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8"/>
      <w:lang w:val="en-US" w:eastAsia="zh-CN" w:bidi="mn-Mong-CN"/>
    </w:rPr>
  </w:style>
  <w:style w:type="character" w:default="1" w:styleId="2">
    <w:name w:val="Default Paragraph Font"/>
    <w:autoRedefine/>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7DBFB969B734393A2128F887F63D3E3"/>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6">
    <w:name w:val="A8D35CFB9F4B4E449A244C9C0D9955C8"/>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7">
    <w:name w:val="E1ECE3AC81664175807446A0F246D050"/>
    <w:qFormat/>
    <w:uiPriority w:val="0"/>
    <w:pPr>
      <w:widowControl w:val="0"/>
      <w:jc w:val="both"/>
    </w:pPr>
    <w:rPr>
      <w:rFonts w:asciiTheme="minorHAnsi" w:hAnsiTheme="minorHAnsi" w:eastAsiaTheme="minorEastAsia" w:cstheme="minorBidi"/>
      <w:kern w:val="2"/>
      <w:sz w:val="21"/>
      <w:szCs w:val="28"/>
      <w:lang w:val="en-US" w:eastAsia="zh-CN" w:bidi="mn-Mong-CN"/>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B14A46-581D-4FC5-86CF-009567057D3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3274</Words>
  <Characters>3980</Characters>
  <Lines>20</Lines>
  <Paragraphs>5</Paragraphs>
  <TotalTime>0</TotalTime>
  <ScaleCrop>false</ScaleCrop>
  <LinksUpToDate>false</LinksUpToDate>
  <CharactersWithSpaces>4157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2023-11-29T04:27:00Z</dcterms:created>
  <dc:creator>China</dc:creator>
  <dc:description>&lt;config cover="true" show_menu="true" version="1.0.0" doctype="SDKXY"&gt;_x000d_
&lt;/config&gt;</dc:description>
  <cp:lastModifiedBy>默默</cp:lastModifiedBy>
  <cp:lastPrinted>2020-08-30T10:00:00Z</cp:lastPrinted>
  <dcterms:modified xsi:type="dcterms:W3CDTF">2024-06-05T02:48:37Z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90B7486150AA4A8C91965193A5276226</vt:lpwstr>
  </property>
</Properties>
</file>