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1504</w:t>
            </w:r>
            <w:r>
              <w:fldChar w:fldCharType="end"/>
            </w:r>
            <w:bookmarkEnd w:id="3"/>
          </w:p>
        </w:tc>
      </w:tr>
    </w:tbl>
    <w:p>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 xml:space="preserve"> 赤峰市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15</w:t>
      </w:r>
      <w:r>
        <w:rPr>
          <w:rFonts w:hint="eastAsia"/>
        </w:rPr>
        <w:t>04</w:t>
      </w:r>
      <w:r>
        <w:rPr>
          <w:lang w:val="fr-FR"/>
        </w:rPr>
        <w:t>/T</w:t>
      </w:r>
      <w:r>
        <w:rPr>
          <w:rFonts w:hint="eastAsia"/>
          <w:lang w:val="en-US" w:eastAsia="zh-CN"/>
        </w:rPr>
        <w:t xml:space="preserve"> </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en-US" w:eastAsia="zh-CN"/>
        </w:rPr>
        <w:t>XXXX</w:t>
      </w:r>
      <w:r>
        <w:fldChar w:fldCharType="end"/>
      </w:r>
      <w:bookmarkEnd w:id="7"/>
    </w:p>
    <w:p>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lang w:bidi="mn-Mong-CN"/>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谷子秸秆收贮和资源化利用技术规程</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 regulations for harvesting, storage, and resource utilization of millet straw</w:t>
      </w:r>
      <w:r>
        <w:rPr>
          <w:rFonts w:eastAsia="黑体"/>
          <w:szCs w:val="28"/>
        </w:rPr>
        <w:t> </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lang w:val="en-US" w:eastAsia="zh-CN"/>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val="en-US" w:eastAsia="zh-CN"/>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赤峰市市场监督管理局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lang w:bidi="mn-Mong-CN"/>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07DBFB969B734393A2128F887F63D3E3"/>
        </w:placeholder>
      </w:sdtPr>
      <w:sdtContent>
        <w:p>
          <w:pPr>
            <w:pStyle w:val="2"/>
            <w:keepNext w:val="0"/>
            <w:keepLines w:val="0"/>
            <w:numPr>
              <w:ilvl w:val="0"/>
              <w:numId w:val="0"/>
            </w:numPr>
            <w:spacing w:before="312" w:after="312" w:line="360" w:lineRule="auto"/>
            <w:jc w:val="center"/>
            <w:rPr>
              <w:rFonts w:ascii="Times New Roman" w:hAnsi="Times New Roman" w:cs="Times New Roman"/>
              <w:sz w:val="32"/>
              <w:szCs w:val="32"/>
            </w:rPr>
          </w:pPr>
          <w:bookmarkStart w:id="22" w:name="_Toc90371857"/>
          <w:bookmarkStart w:id="23" w:name="_Toc87358141"/>
          <w:bookmarkStart w:id="24" w:name="_Toc145488721"/>
          <w:bookmarkStart w:id="25" w:name="_Toc81757554"/>
          <w:bookmarkStart w:id="26" w:name="NEW_STAND_NAME"/>
          <w:r>
            <w:rPr>
              <w:rFonts w:ascii="Times New Roman" w:hAnsi="Times New Roman" w:cs="Times New Roman"/>
              <w:sz w:val="32"/>
              <w:szCs w:val="32"/>
            </w:rPr>
            <w:t>前    言</w:t>
          </w:r>
          <w:bookmarkEnd w:id="22"/>
          <w:bookmarkEnd w:id="23"/>
          <w:bookmarkEnd w:id="24"/>
        </w:p>
        <w:bookmarkEnd w:id="25"/>
        <w:p>
          <w:pPr>
            <w:pStyle w:val="57"/>
            <w:ind w:firstLine="420"/>
          </w:pPr>
          <w:bookmarkStart w:id="27" w:name="_Toc531183239"/>
          <w:bookmarkStart w:id="28" w:name="_Toc531183280"/>
          <w:bookmarkStart w:id="29" w:name="_Toc531183357"/>
          <w:bookmarkStart w:id="30" w:name="_Toc531183319"/>
          <w:r>
            <w:rPr>
              <w:rFonts w:hint="eastAsia"/>
            </w:rPr>
            <w:t>本文件按照GB/T 1.1—2020《标准化工作导则  第1部分：标准化文件的结构和起草规则》的规定起草。</w:t>
          </w:r>
        </w:p>
        <w:p>
          <w:pPr>
            <w:pStyle w:val="57"/>
            <w:ind w:firstLine="420"/>
          </w:pPr>
          <w:r>
            <w:rPr>
              <w:rFonts w:hint="eastAsia"/>
            </w:rPr>
            <w:t>本文件由赤峰市农牧业综合检验检测中心提出。</w:t>
          </w:r>
        </w:p>
        <w:p>
          <w:pPr>
            <w:pStyle w:val="57"/>
            <w:ind w:firstLine="420"/>
          </w:pPr>
          <w:r>
            <w:rPr>
              <w:rFonts w:hint="eastAsia"/>
            </w:rPr>
            <w:t>本文件由赤峰市农牧局归口。</w:t>
          </w:r>
        </w:p>
        <w:p>
          <w:pPr>
            <w:pStyle w:val="57"/>
            <w:ind w:firstLine="420"/>
          </w:pPr>
          <w:r>
            <w:rPr>
              <w:rFonts w:hint="eastAsia"/>
            </w:rPr>
            <w:t>本文件起草单位：赤峰市农牧业综合检验检测中心、</w:t>
          </w:r>
          <w:r>
            <w:rPr>
              <w:rFonts w:hint="eastAsia" w:hAnsi="宋体" w:cs="仿宋"/>
              <w:szCs w:val="21"/>
            </w:rPr>
            <w:t>赤峰市农牧技术推广中心、</w:t>
          </w:r>
          <w:r>
            <w:rPr>
              <w:rFonts w:hint="eastAsia"/>
              <w:szCs w:val="21"/>
            </w:rPr>
            <w:t>巴林右旗农牧业综合检验检测中心、赤峰市农牧业科学研究所</w:t>
          </w:r>
          <w:r>
            <w:rPr>
              <w:rFonts w:hint="eastAsia"/>
            </w:rPr>
            <w:t>。</w:t>
          </w:r>
        </w:p>
        <w:p>
          <w:pPr>
            <w:pStyle w:val="57"/>
            <w:ind w:firstLine="420"/>
            <w:sectPr>
              <w:headerReference r:id="rId11" w:type="default"/>
              <w:footerReference r:id="rId12" w:type="default"/>
              <w:pgSz w:w="11906" w:h="16838"/>
              <w:pgMar w:top="1418" w:right="1134" w:bottom="1134" w:left="1418" w:header="851" w:footer="992" w:gutter="0"/>
              <w:pgNumType w:fmt="upperRoman" w:start="1"/>
              <w:cols w:space="425" w:num="1"/>
              <w:docGrid w:type="linesAndChars" w:linePitch="312" w:charSpace="0"/>
            </w:sectPr>
          </w:pPr>
          <w:r>
            <w:rPr>
              <w:rFonts w:hint="eastAsia"/>
            </w:rPr>
            <w:t>本文件主要起草人：邰丽、李艳丽、王翠艳、孙宏业、侯长江、王雪洁、王向红、贾沐霖、朱鸿福、董娜、于磊、黄海、潘磊、胡舒凯、王嘉兴、刘淑艳</w:t>
          </w:r>
        </w:p>
        <w:p>
          <w:pPr>
            <w:pStyle w:val="25"/>
            <w:shd w:val="clear" w:color="auto" w:fill="FFFFFF"/>
            <w:spacing w:before="78" w:beforeAutospacing="0" w:after="78" w:afterAutospacing="0"/>
            <w:jc w:val="center"/>
            <w:rPr>
              <w:rFonts w:hint="eastAsia" w:ascii="黑体" w:hAnsi="黑体" w:eastAsia="黑体" w:cs="Times New Roman"/>
              <w:kern w:val="2"/>
              <w:sz w:val="32"/>
              <w:szCs w:val="32"/>
              <w:lang w:val="en-US" w:eastAsia="zh-CN" w:bidi="ar-SA"/>
            </w:rPr>
          </w:pPr>
          <w:r>
            <w:rPr>
              <w:rFonts w:hint="eastAsia" w:ascii="黑体" w:hAnsi="黑体" w:eastAsia="黑体" w:cs="Times New Roman"/>
              <w:kern w:val="2"/>
              <w:sz w:val="32"/>
              <w:szCs w:val="32"/>
              <w:lang w:val="en-US" w:eastAsia="zh-CN" w:bidi="ar-SA"/>
            </w:rPr>
            <w:t>谷子秸秆收贮和资源化利用技术规程</w:t>
          </w:r>
        </w:p>
        <w:p>
          <w:pPr>
            <w:pStyle w:val="25"/>
            <w:shd w:val="clear" w:color="auto" w:fill="FFFFFF"/>
            <w:spacing w:before="78" w:beforeAutospacing="0" w:after="78" w:afterAutospacing="0"/>
            <w:jc w:val="center"/>
            <w:rPr>
              <w:rFonts w:hint="eastAsia" w:ascii="黑体" w:hAnsi="黑体" w:eastAsia="黑体" w:cs="Times New Roman"/>
              <w:kern w:val="2"/>
              <w:sz w:val="32"/>
              <w:szCs w:val="32"/>
              <w:lang w:val="en-US" w:eastAsia="zh-CN" w:bidi="ar-SA"/>
            </w:rPr>
          </w:pPr>
        </w:p>
        <w:bookmarkEnd w:id="21"/>
        <w:bookmarkEnd w:id="26"/>
        <w:bookmarkEnd w:id="27"/>
        <w:bookmarkEnd w:id="28"/>
        <w:bookmarkEnd w:id="29"/>
        <w:bookmarkEnd w:id="30"/>
        <w:p>
          <w:pPr>
            <w:pStyle w:val="105"/>
            <w:spacing w:before="312" w:after="312"/>
          </w:pPr>
          <w:bookmarkStart w:id="31" w:name="_Toc151630394"/>
          <w:r>
            <w:rPr>
              <w:rFonts w:hint="eastAsia"/>
            </w:rPr>
            <w:t>范围</w:t>
          </w:r>
          <w:bookmarkEnd w:id="31"/>
        </w:p>
        <w:p>
          <w:pPr>
            <w:pStyle w:val="57"/>
            <w:ind w:firstLine="420"/>
            <w:rPr>
              <w:rFonts w:hAnsi="宋体"/>
              <w:szCs w:val="21"/>
            </w:rPr>
          </w:pPr>
          <w:r>
            <w:rPr>
              <w:rFonts w:hint="eastAsia" w:hAnsi="宋体"/>
              <w:szCs w:val="21"/>
            </w:rPr>
            <w:t>本文件规定了谷子秸秆收贮和资源化利用技术的术语和定义、刈割、晾晒干燥、储存要求、打捆、储存管理、储存记录、储存环境、贮藏要求。</w:t>
          </w:r>
        </w:p>
        <w:p>
          <w:pPr>
            <w:pStyle w:val="57"/>
            <w:ind w:firstLine="420"/>
            <w:rPr>
              <w:rFonts w:hAnsi="宋体"/>
              <w:szCs w:val="21"/>
            </w:rPr>
          </w:pPr>
          <w:r>
            <w:rPr>
              <w:rFonts w:hint="eastAsia" w:hAnsi="宋体"/>
              <w:szCs w:val="21"/>
            </w:rPr>
            <w:t>本文件适用于谷子秸秆干草、谷子秸秆颗粒的生产利用和储存。</w:t>
          </w:r>
        </w:p>
        <w:p>
          <w:pPr>
            <w:pStyle w:val="105"/>
            <w:spacing w:before="312" w:after="312"/>
          </w:pPr>
          <w:bookmarkStart w:id="32" w:name="_Toc151630395"/>
          <w:r>
            <w:rPr>
              <w:rFonts w:hint="eastAsia"/>
            </w:rPr>
            <w:t>规范性引用文件</w:t>
          </w:r>
          <w:bookmarkEnd w:id="32"/>
        </w:p>
        <w:p>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ind w:firstLine="420" w:firstLineChars="200"/>
            <w:rPr>
              <w:rFonts w:ascii="宋体" w:hAnsi="宋体" w:eastAsia="宋体"/>
            </w:rPr>
          </w:pPr>
          <w:r>
            <w:rPr>
              <w:rFonts w:hint="eastAsia" w:ascii="宋体" w:hAnsi="宋体" w:eastAsia="宋体"/>
            </w:rPr>
            <w:t>GB 10395.21 农林机械 安全 第21部分:动力摊晒机和搂草机</w:t>
          </w:r>
        </w:p>
        <w:p>
          <w:pPr>
            <w:ind w:firstLine="420" w:firstLineChars="200"/>
            <w:rPr>
              <w:rFonts w:ascii="宋体" w:hAnsi="宋体" w:eastAsia="宋体"/>
            </w:rPr>
          </w:pPr>
          <w:r>
            <w:rPr>
              <w:rFonts w:ascii="宋体" w:hAnsi="宋体" w:eastAsia="宋体"/>
              <w:color w:val="333333"/>
              <w:shd w:val="clear" w:color="auto" w:fill="FFFFFF"/>
            </w:rPr>
            <w:t>GB 10648 饲料标签</w:t>
          </w:r>
        </w:p>
        <w:p>
          <w:pPr>
            <w:ind w:firstLine="420" w:firstLineChars="200"/>
            <w:rPr>
              <w:rFonts w:ascii="宋体" w:hAnsi="宋体" w:eastAsia="宋体"/>
            </w:rPr>
          </w:pPr>
          <w:r>
            <w:rPr>
              <w:rFonts w:hint="eastAsia" w:ascii="宋体" w:hAnsi="宋体" w:eastAsia="宋体"/>
            </w:rPr>
            <w:t>GB 13078饲料卫生标准</w:t>
          </w:r>
        </w:p>
        <w:p>
          <w:pPr>
            <w:ind w:firstLine="420" w:firstLineChars="200"/>
            <w:rPr>
              <w:rFonts w:ascii="宋体" w:hAnsi="宋体" w:eastAsia="宋体"/>
            </w:rPr>
          </w:pPr>
          <w:r>
            <w:rPr>
              <w:rFonts w:hint="eastAsia" w:ascii="宋体" w:hAnsi="宋体" w:eastAsia="宋体"/>
            </w:rPr>
            <w:t>GB/T 14290 圆草捆打捆机</w:t>
          </w:r>
        </w:p>
        <w:p>
          <w:pPr>
            <w:ind w:firstLine="420" w:firstLineChars="200"/>
            <w:rPr>
              <w:rFonts w:ascii="宋体" w:hAnsi="宋体" w:eastAsia="宋体"/>
            </w:rPr>
          </w:pPr>
          <w:r>
            <w:rPr>
              <w:rFonts w:hint="eastAsia" w:ascii="宋体" w:hAnsi="宋体" w:eastAsia="宋体"/>
            </w:rPr>
            <w:t>GB/T 25423方草捆打捆机</w:t>
          </w:r>
        </w:p>
        <w:p>
          <w:pPr>
            <w:ind w:firstLine="420" w:firstLineChars="200"/>
            <w:rPr>
              <w:rFonts w:ascii="宋体" w:hAnsi="宋体" w:eastAsia="宋体"/>
            </w:rPr>
          </w:pPr>
          <w:r>
            <w:rPr>
              <w:rFonts w:hint="eastAsia" w:ascii="宋体" w:hAnsi="宋体" w:eastAsia="宋体"/>
            </w:rPr>
            <w:t xml:space="preserve">NY/T 1177 牧区干草贮藏设施建设技术规范 </w:t>
          </w:r>
        </w:p>
        <w:p>
          <w:pPr>
            <w:ind w:firstLine="420" w:firstLineChars="200"/>
            <w:rPr>
              <w:rFonts w:ascii="宋体" w:hAnsi="宋体" w:eastAsia="宋体"/>
            </w:rPr>
          </w:pPr>
          <w:r>
            <w:rPr>
              <w:rFonts w:hint="eastAsia" w:ascii="宋体" w:hAnsi="宋体" w:eastAsia="宋体"/>
            </w:rPr>
            <w:t>NY/T 1631 方草捆打捆机 作业质量</w:t>
          </w:r>
        </w:p>
        <w:p>
          <w:pPr>
            <w:ind w:firstLine="420" w:firstLineChars="200"/>
            <w:rPr>
              <w:rFonts w:ascii="宋体" w:hAnsi="宋体" w:eastAsia="宋体"/>
            </w:rPr>
          </w:pPr>
          <w:r>
            <w:rPr>
              <w:rFonts w:hint="eastAsia" w:ascii="宋体" w:hAnsi="宋体" w:eastAsia="宋体"/>
            </w:rPr>
            <w:t xml:space="preserve">NY/T 1930 秸秆颗粒饲料压制机质量评价技术规范 </w:t>
          </w:r>
        </w:p>
        <w:p>
          <w:pPr>
            <w:ind w:firstLine="420" w:firstLineChars="200"/>
            <w:rPr>
              <w:rFonts w:ascii="宋体" w:hAnsi="宋体" w:eastAsia="宋体"/>
            </w:rPr>
          </w:pPr>
          <w:r>
            <w:rPr>
              <w:rFonts w:hint="eastAsia" w:ascii="宋体" w:hAnsi="宋体" w:eastAsia="宋体"/>
            </w:rPr>
            <w:t>NY T 2461 牧草机械化收获作业技术规范</w:t>
          </w:r>
        </w:p>
        <w:p>
          <w:pPr>
            <w:ind w:firstLine="420" w:firstLineChars="200"/>
            <w:rPr>
              <w:rFonts w:ascii="宋体" w:hAnsi="宋体" w:eastAsia="宋体"/>
            </w:rPr>
          </w:pPr>
          <w:r>
            <w:rPr>
              <w:rFonts w:hint="eastAsia" w:ascii="宋体" w:hAnsi="宋体" w:eastAsia="宋体"/>
            </w:rPr>
            <w:t xml:space="preserve">NY/T 2463圆草捆打捆机作业质量 </w:t>
          </w:r>
        </w:p>
        <w:p>
          <w:pPr>
            <w:ind w:firstLine="420" w:firstLineChars="200"/>
            <w:rPr>
              <w:rFonts w:ascii="宋体" w:hAnsi="宋体" w:eastAsia="宋体"/>
            </w:rPr>
          </w:pPr>
          <w:r>
            <w:rPr>
              <w:rFonts w:hint="eastAsia" w:ascii="宋体" w:hAnsi="宋体" w:eastAsia="宋体"/>
            </w:rPr>
            <w:t xml:space="preserve">JB/T 7766 指轮式搂草机 </w:t>
          </w:r>
        </w:p>
        <w:p>
          <w:pPr>
            <w:ind w:firstLine="420" w:firstLineChars="200"/>
            <w:rPr>
              <w:rFonts w:ascii="宋体" w:hAnsi="宋体" w:eastAsia="宋体"/>
            </w:rPr>
          </w:pPr>
          <w:r>
            <w:rPr>
              <w:rFonts w:hint="eastAsia" w:ascii="宋体" w:hAnsi="宋体" w:eastAsia="宋体"/>
            </w:rPr>
            <w:t>JB/T 10905 旋转搂草机</w:t>
          </w:r>
        </w:p>
        <w:p>
          <w:pPr>
            <w:ind w:firstLine="420" w:firstLineChars="200"/>
            <w:rPr>
              <w:rFonts w:ascii="宋体" w:hAnsi="宋体" w:eastAsia="宋体"/>
            </w:rPr>
          </w:pPr>
          <w:r>
            <w:rPr>
              <w:rFonts w:hint="eastAsia" w:ascii="宋体" w:hAnsi="宋体" w:eastAsia="宋体"/>
            </w:rPr>
            <w:t>DB14/T 1699 谷子干草生产技术规程</w:t>
          </w:r>
        </w:p>
        <w:p>
          <w:pPr>
            <w:pStyle w:val="105"/>
            <w:spacing w:before="312" w:after="312"/>
          </w:pPr>
          <w:bookmarkStart w:id="33" w:name="_Toc151630396"/>
          <w:r>
            <w:rPr>
              <w:rFonts w:hint="eastAsia"/>
              <w:szCs w:val="21"/>
            </w:rPr>
            <w:t>术语和定义</w:t>
          </w:r>
          <w:bookmarkEnd w:id="33"/>
        </w:p>
        <w:p>
          <w:pPr>
            <w:pStyle w:val="57"/>
            <w:ind w:firstLine="420"/>
            <w:rPr>
              <w:color w:val="000000" w:themeColor="text1"/>
            </w:rPr>
          </w:pPr>
          <w:r>
            <w:rPr>
              <w:rFonts w:hint="eastAsia" w:hAnsi="宋体"/>
              <w:color w:val="000000" w:themeColor="text1"/>
            </w:rPr>
            <w:t>本文件没有需要界定的术语和定义</w:t>
          </w:r>
        </w:p>
        <w:p>
          <w:pPr>
            <w:pStyle w:val="105"/>
            <w:spacing w:before="312" w:after="312"/>
          </w:pPr>
          <w:bookmarkStart w:id="34" w:name="_Toc151630397"/>
          <w:r>
            <w:rPr>
              <w:rFonts w:hint="eastAsia"/>
            </w:rPr>
            <w:t>刈割</w:t>
          </w:r>
          <w:bookmarkEnd w:id="34"/>
        </w:p>
        <w:p>
          <w:pPr>
            <w:pStyle w:val="106"/>
            <w:spacing w:before="156" w:after="156"/>
          </w:pPr>
          <w:bookmarkStart w:id="35" w:name="_Toc151630398"/>
          <w:r>
            <w:rPr>
              <w:rFonts w:hint="eastAsia"/>
            </w:rPr>
            <w:t>刈割方法</w:t>
          </w:r>
          <w:bookmarkEnd w:id="35"/>
        </w:p>
        <w:p>
          <w:pPr>
            <w:pStyle w:val="57"/>
            <w:ind w:left="0" w:leftChars="0" w:firstLine="0" w:firstLineChars="0"/>
            <w:rPr>
              <w:rFonts w:ascii="黑体" w:hAnsi="黑体" w:eastAsia="黑体"/>
            </w:rPr>
          </w:pPr>
          <w:r>
            <w:rPr>
              <w:rFonts w:hint="eastAsia" w:ascii="黑体" w:hAnsi="黑体" w:eastAsia="黑体"/>
            </w:rPr>
            <w:t>4.1.1 人工刈割</w:t>
          </w:r>
        </w:p>
        <w:p>
          <w:pPr>
            <w:pStyle w:val="57"/>
            <w:ind w:firstLine="420"/>
            <w:rPr>
              <w:szCs w:val="21"/>
            </w:rPr>
          </w:pPr>
          <w:r>
            <w:rPr>
              <w:rFonts w:hint="eastAsia"/>
              <w:szCs w:val="21"/>
            </w:rPr>
            <w:t>地块面积较小时，人工用锤刀刈割，留茬高度3cm～5cm。</w:t>
          </w:r>
        </w:p>
        <w:p>
          <w:pPr>
            <w:pStyle w:val="57"/>
            <w:ind w:left="0" w:leftChars="0" w:firstLine="0" w:firstLineChars="0"/>
            <w:rPr>
              <w:rFonts w:ascii="黑体" w:hAnsi="黑体" w:eastAsia="黑体"/>
              <w:szCs w:val="21"/>
            </w:rPr>
          </w:pPr>
          <w:r>
            <w:rPr>
              <w:rFonts w:hint="eastAsia" w:ascii="黑体" w:hAnsi="黑体" w:eastAsia="黑体"/>
              <w:szCs w:val="21"/>
            </w:rPr>
            <w:t>4.1.2 机械刈割</w:t>
          </w:r>
        </w:p>
        <w:p>
          <w:pPr>
            <w:pStyle w:val="57"/>
            <w:ind w:firstLine="420"/>
            <w:rPr>
              <w:szCs w:val="21"/>
            </w:rPr>
          </w:pPr>
          <w:r>
            <w:rPr>
              <w:rFonts w:hint="eastAsia"/>
              <w:szCs w:val="21"/>
            </w:rPr>
            <w:t>地块面积较大时，用割晒机或谷子联合收割机刈割，留茬高度5cm～7cm。作业安全、割幅重叠应符合 NY/T 2461的要求。</w:t>
          </w:r>
        </w:p>
        <w:p>
          <w:pPr>
            <w:pStyle w:val="106"/>
            <w:spacing w:before="156" w:after="156"/>
          </w:pPr>
          <w:bookmarkStart w:id="36" w:name="_Toc151630399"/>
          <w:r>
            <w:rPr>
              <w:rFonts w:hint="eastAsia"/>
            </w:rPr>
            <w:t>刈割时期</w:t>
          </w:r>
          <w:bookmarkEnd w:id="36"/>
        </w:p>
        <w:p>
          <w:pPr>
            <w:pStyle w:val="57"/>
            <w:spacing w:before="156" w:beforeLines="50" w:after="156" w:afterLines="50"/>
            <w:ind w:left="0" w:leftChars="0" w:firstLine="0" w:firstLineChars="0"/>
            <w:rPr>
              <w:rFonts w:ascii="黑体" w:hAnsi="黑体" w:eastAsia="黑体"/>
            </w:rPr>
          </w:pPr>
          <w:r>
            <w:rPr>
              <w:rFonts w:hint="eastAsia" w:ascii="黑体" w:hAnsi="黑体" w:eastAsia="黑体"/>
            </w:rPr>
            <w:t>4.2.1 饲草型</w:t>
          </w:r>
        </w:p>
        <w:p>
          <w:pPr>
            <w:pStyle w:val="57"/>
            <w:ind w:firstLine="420"/>
            <w:rPr>
              <w:szCs w:val="21"/>
            </w:rPr>
          </w:pPr>
          <w:r>
            <w:rPr>
              <w:rFonts w:hint="eastAsia"/>
              <w:szCs w:val="21"/>
            </w:rPr>
            <w:t>饲草型谷子适宜在盛花期刈割。</w:t>
          </w:r>
        </w:p>
        <w:p>
          <w:pPr>
            <w:pStyle w:val="57"/>
            <w:spacing w:before="156" w:beforeLines="50" w:after="156" w:afterLines="50"/>
            <w:ind w:left="0" w:leftChars="0" w:firstLine="0" w:firstLineChars="0"/>
            <w:rPr>
              <w:rFonts w:ascii="黑体" w:hAnsi="黑体" w:eastAsia="黑体"/>
            </w:rPr>
          </w:pPr>
          <w:r>
            <w:rPr>
              <w:rFonts w:hint="eastAsia" w:ascii="黑体" w:hAnsi="黑体" w:eastAsia="黑体"/>
            </w:rPr>
            <w:t>4.2.2 粮草兼用型</w:t>
          </w:r>
        </w:p>
        <w:p>
          <w:pPr>
            <w:pStyle w:val="57"/>
            <w:ind w:firstLine="420"/>
          </w:pPr>
          <w:r>
            <w:rPr>
              <w:rFonts w:hint="eastAsia"/>
              <w:szCs w:val="21"/>
            </w:rPr>
            <w:t>粮草兼用型谷子适宜在蜡熟末期刈割。</w:t>
          </w:r>
        </w:p>
        <w:p>
          <w:pPr>
            <w:pStyle w:val="105"/>
            <w:spacing w:before="312" w:after="312"/>
          </w:pPr>
          <w:bookmarkStart w:id="37" w:name="_Toc151630400"/>
          <w:r>
            <w:rPr>
              <w:rFonts w:hint="eastAsia"/>
            </w:rPr>
            <w:t>晾晒干燥</w:t>
          </w:r>
          <w:bookmarkEnd w:id="37"/>
        </w:p>
        <w:p>
          <w:pPr>
            <w:pStyle w:val="106"/>
            <w:spacing w:before="156" w:after="156"/>
          </w:pPr>
          <w:bookmarkStart w:id="38" w:name="_Toc151630401"/>
          <w:r>
            <w:rPr>
              <w:rFonts w:hint="eastAsia"/>
            </w:rPr>
            <w:t>晾晒场所</w:t>
          </w:r>
          <w:bookmarkEnd w:id="38"/>
        </w:p>
        <w:p>
          <w:pPr>
            <w:pStyle w:val="57"/>
            <w:ind w:firstLine="420"/>
          </w:pPr>
          <w:r>
            <w:rPr>
              <w:rFonts w:hint="eastAsia"/>
              <w:szCs w:val="21"/>
            </w:rPr>
            <w:t>将谷子植株刈割后在原地或运到地势较干燥的地方进行晾晒</w:t>
          </w:r>
          <w:r>
            <w:rPr>
              <w:rFonts w:hint="eastAsia"/>
            </w:rPr>
            <w:t>。</w:t>
          </w:r>
        </w:p>
        <w:p>
          <w:pPr>
            <w:pStyle w:val="106"/>
            <w:spacing w:before="156" w:after="156"/>
          </w:pPr>
          <w:bookmarkStart w:id="39" w:name="_Toc151630402"/>
          <w:r>
            <w:rPr>
              <w:rFonts w:hint="eastAsia"/>
            </w:rPr>
            <w:t>晾晒方式</w:t>
          </w:r>
          <w:bookmarkEnd w:id="39"/>
        </w:p>
        <w:p>
          <w:pPr>
            <w:pStyle w:val="57"/>
            <w:ind w:firstLine="420"/>
            <w:rPr>
              <w:rFonts w:ascii="黑体" w:hAnsi="黑体" w:eastAsia="黑体"/>
            </w:rPr>
          </w:pPr>
          <w:r>
            <w:rPr>
              <w:rFonts w:hint="eastAsia" w:ascii="黑体" w:hAnsi="黑体" w:eastAsia="黑体"/>
            </w:rPr>
            <w:t>5.2.1 人工刈割晾晒</w:t>
          </w:r>
        </w:p>
        <w:p>
          <w:pPr>
            <w:pStyle w:val="175"/>
            <w:numPr>
              <w:ilvl w:val="0"/>
              <w:numId w:val="0"/>
            </w:numPr>
            <w:ind w:firstLine="420" w:firstLineChars="200"/>
          </w:pPr>
          <w:r>
            <w:rPr>
              <w:rFonts w:hint="eastAsia"/>
              <w:szCs w:val="21"/>
            </w:rPr>
            <w:t>人工刈割的谷子植株，可在谷子收获籽粒后，将秸秆进行摊晒。摊晒作业安全符合GB 10395.21的要求</w:t>
          </w:r>
          <w:r>
            <w:rPr>
              <w:rFonts w:hint="eastAsia"/>
            </w:rPr>
            <w:t>。</w:t>
          </w:r>
        </w:p>
        <w:p>
          <w:pPr>
            <w:pStyle w:val="175"/>
            <w:numPr>
              <w:ilvl w:val="0"/>
              <w:numId w:val="0"/>
            </w:numPr>
            <w:ind w:firstLine="420" w:firstLineChars="200"/>
            <w:rPr>
              <w:rFonts w:ascii="黑体" w:hAnsi="黑体" w:eastAsia="黑体"/>
            </w:rPr>
          </w:pPr>
          <w:r>
            <w:rPr>
              <w:rFonts w:hint="eastAsia" w:ascii="黑体" w:hAnsi="黑体" w:eastAsia="黑体"/>
            </w:rPr>
            <w:t>5.2.2 机械刈割晾晒</w:t>
          </w:r>
        </w:p>
        <w:p>
          <w:pPr>
            <w:pStyle w:val="175"/>
            <w:numPr>
              <w:ilvl w:val="0"/>
              <w:numId w:val="0"/>
            </w:numPr>
            <w:ind w:firstLine="420" w:firstLineChars="200"/>
            <w:rPr>
              <w:szCs w:val="21"/>
            </w:rPr>
          </w:pPr>
          <w:r>
            <w:rPr>
              <w:rFonts w:hint="eastAsia"/>
              <w:szCs w:val="21"/>
            </w:rPr>
            <w:t>机械刈割的谷子植株，在谷子秸秆含水量低于35%时，将谷子秸秆搂集成草垄，选用的搂草机参考 JB/T10905或者JB/T7766的要求。搂草作业安全符合GB 10395.21的要求。</w:t>
          </w:r>
        </w:p>
        <w:p>
          <w:pPr>
            <w:pStyle w:val="105"/>
            <w:spacing w:before="312" w:after="312"/>
          </w:pPr>
          <w:bookmarkStart w:id="40" w:name="_Toc151630403"/>
          <w:r>
            <w:t>加工</w:t>
          </w:r>
        </w:p>
        <w:p>
          <w:pPr>
            <w:pStyle w:val="105"/>
            <w:numPr>
              <w:ilvl w:val="0"/>
              <w:numId w:val="0"/>
            </w:numPr>
            <w:spacing w:before="312" w:after="312"/>
          </w:pPr>
          <w:bookmarkStart w:id="41" w:name="_Toc151630408"/>
          <w:bookmarkStart w:id="42" w:name="_Hlk136971352"/>
          <w:r>
            <w:rPr>
              <w:rFonts w:hint="eastAsia"/>
            </w:rPr>
            <w:t>6</w:t>
          </w:r>
          <w:r>
            <w:t>.1</w:t>
          </w:r>
          <w:r>
            <w:rPr>
              <w:rFonts w:hint="eastAsia"/>
            </w:rPr>
            <w:t>打捆</w:t>
          </w:r>
          <w:bookmarkEnd w:id="41"/>
        </w:p>
        <w:bookmarkEnd w:id="42"/>
        <w:p>
          <w:pPr>
            <w:pStyle w:val="106"/>
            <w:numPr>
              <w:ilvl w:val="0"/>
              <w:numId w:val="0"/>
            </w:numPr>
            <w:spacing w:before="156" w:after="156"/>
          </w:pPr>
          <w:bookmarkStart w:id="43" w:name="_Toc151630409"/>
          <w:r>
            <w:t>6.1.1</w:t>
          </w:r>
          <w:r>
            <w:rPr>
              <w:rFonts w:hint="eastAsia"/>
            </w:rPr>
            <w:t>打捆时间</w:t>
          </w:r>
          <w:bookmarkEnd w:id="43"/>
        </w:p>
        <w:p>
          <w:pPr>
            <w:pStyle w:val="57"/>
            <w:ind w:firstLine="420"/>
          </w:pPr>
          <w:r>
            <w:rPr>
              <w:rFonts w:hint="eastAsia"/>
              <w:szCs w:val="21"/>
            </w:rPr>
            <w:t>谷子干草水分在14%--18%时，用打捆机打捆。打捆时间应选傍晚或早晨</w:t>
          </w:r>
          <w:r>
            <w:rPr>
              <w:rFonts w:hint="eastAsia"/>
            </w:rPr>
            <w:t>。</w:t>
          </w:r>
        </w:p>
        <w:p>
          <w:pPr>
            <w:pStyle w:val="106"/>
            <w:numPr>
              <w:ilvl w:val="2"/>
              <w:numId w:val="0"/>
            </w:numPr>
            <w:spacing w:before="156" w:after="156"/>
          </w:pPr>
          <w:bookmarkStart w:id="44" w:name="_Toc151630410"/>
          <w:r>
            <w:rPr>
              <w:rFonts w:hint="eastAsia"/>
            </w:rPr>
            <w:t>6.1.2 打捆机械</w:t>
          </w:r>
          <w:bookmarkEnd w:id="44"/>
        </w:p>
        <w:p>
          <w:pPr>
            <w:pStyle w:val="57"/>
            <w:ind w:firstLine="420"/>
          </w:pPr>
          <w:r>
            <w:rPr>
              <w:rFonts w:hint="eastAsia"/>
              <w:szCs w:val="21"/>
            </w:rPr>
            <w:t>打捆机可选用圆草捆机或方草捆机，选用的圆草捆机符合GB/T 14290的要求，方草捆机符合GB/T 25423的要求</w:t>
          </w:r>
          <w:r>
            <w:rPr>
              <w:rFonts w:hint="eastAsia"/>
            </w:rPr>
            <w:t>。</w:t>
          </w:r>
        </w:p>
        <w:p>
          <w:pPr>
            <w:pStyle w:val="106"/>
            <w:numPr>
              <w:ilvl w:val="0"/>
              <w:numId w:val="0"/>
            </w:numPr>
            <w:spacing w:before="156" w:after="156"/>
          </w:pPr>
          <w:bookmarkStart w:id="45" w:name="_Toc151630411"/>
          <w:r>
            <w:rPr>
              <w:rFonts w:hint="eastAsia"/>
            </w:rPr>
            <w:t>6</w:t>
          </w:r>
          <w:r>
            <w:t>.1.3</w:t>
          </w:r>
          <w:r>
            <w:rPr>
              <w:rFonts w:hint="eastAsia"/>
            </w:rPr>
            <w:t>打捆要求</w:t>
          </w:r>
          <w:bookmarkEnd w:id="45"/>
        </w:p>
        <w:p>
          <w:pPr>
            <w:pStyle w:val="57"/>
            <w:ind w:firstLine="420"/>
          </w:pPr>
          <w:r>
            <w:rPr>
              <w:rFonts w:hint="eastAsia"/>
              <w:szCs w:val="21"/>
            </w:rPr>
            <w:t>打捆时避免将土块，杂草和腐草打入草捆，草捆密度在150kg/m</w:t>
          </w:r>
          <w:r>
            <w:rPr>
              <w:rFonts w:hint="eastAsia"/>
              <w:szCs w:val="21"/>
              <w:vertAlign w:val="superscript"/>
            </w:rPr>
            <w:t>3</w:t>
          </w:r>
          <w:r>
            <w:rPr>
              <w:rFonts w:hint="eastAsia"/>
              <w:szCs w:val="21"/>
            </w:rPr>
            <w:t>～300kg/m</w:t>
          </w:r>
          <w:r>
            <w:rPr>
              <w:rFonts w:hint="eastAsia"/>
              <w:szCs w:val="21"/>
              <w:vertAlign w:val="superscript"/>
            </w:rPr>
            <w:t>3</w:t>
          </w:r>
          <w:r>
            <w:rPr>
              <w:rFonts w:hint="eastAsia"/>
              <w:szCs w:val="21"/>
            </w:rPr>
            <w:t>的范围，草捆作业安全、质量要求符合NY/T 2463或者NY/T 1631的要求</w:t>
          </w:r>
          <w:r>
            <w:rPr>
              <w:rFonts w:hint="eastAsia"/>
            </w:rPr>
            <w:t>。</w:t>
          </w:r>
          <w:r>
            <w:rPr>
              <w:rFonts w:hint="eastAsia"/>
              <w:szCs w:val="21"/>
            </w:rPr>
            <w:t>将谷子干草利用圆草捆机或方草捆机打捆。谷子干草水分含量、打捆机械、打捆规格均按照DB14/T 1699 的要求进行。规避不利因素，包括中强光、水、潮湿、霉变、有毒有害物质、有害生物等</w:t>
          </w:r>
          <w:r>
            <w:rPr>
              <w:rFonts w:hint="eastAsia"/>
            </w:rPr>
            <w:t>。</w:t>
          </w:r>
        </w:p>
        <w:p>
          <w:pPr>
            <w:pStyle w:val="66"/>
            <w:numPr>
              <w:ilvl w:val="0"/>
              <w:numId w:val="0"/>
            </w:numPr>
            <w:spacing w:before="156" w:after="156"/>
          </w:pPr>
          <w:r>
            <w:rPr>
              <w:rFonts w:hint="eastAsia"/>
            </w:rPr>
            <w:t>6</w:t>
          </w:r>
          <w:r>
            <w:t>.2制粒</w:t>
          </w:r>
        </w:p>
        <w:p>
          <w:pPr>
            <w:pStyle w:val="66"/>
            <w:numPr>
              <w:ilvl w:val="0"/>
              <w:numId w:val="0"/>
            </w:numPr>
            <w:spacing w:before="156" w:after="156"/>
          </w:pPr>
          <w:r>
            <w:rPr>
              <w:rFonts w:hint="eastAsia"/>
            </w:rPr>
            <w:t>6</w:t>
          </w:r>
          <w:r>
            <w:t>.2.1</w:t>
          </w:r>
          <w:r>
            <w:rPr>
              <w:rFonts w:hint="eastAsia"/>
            </w:rPr>
            <w:t>粉碎</w:t>
          </w:r>
        </w:p>
        <w:p>
          <w:pPr>
            <w:pStyle w:val="175"/>
            <w:numPr>
              <w:ilvl w:val="0"/>
              <w:numId w:val="0"/>
            </w:numPr>
            <w:ind w:firstLine="424" w:firstLineChars="202"/>
          </w:pPr>
          <w:r>
            <w:rPr>
              <w:rFonts w:hint="eastAsia"/>
              <w:szCs w:val="21"/>
            </w:rPr>
            <w:t>将谷子干草根据需求，粉碎为不同直径的颗粒。谷子干草水分含量按照 DB14/T 1699 的要求进行</w:t>
          </w:r>
          <w:r>
            <w:rPr>
              <w:rFonts w:hint="eastAsia"/>
            </w:rPr>
            <w:t>。</w:t>
          </w:r>
          <w:r>
            <w:rPr>
              <w:rFonts w:hint="eastAsia"/>
              <w:szCs w:val="21"/>
            </w:rPr>
            <w:t>秸秆切碎机或粉碎机</w:t>
          </w:r>
          <w:r>
            <w:rPr>
              <w:rFonts w:hint="eastAsia"/>
            </w:rPr>
            <w:t>。</w:t>
          </w:r>
        </w:p>
        <w:p>
          <w:pPr>
            <w:pStyle w:val="57"/>
            <w:ind w:firstLine="420"/>
          </w:pPr>
        </w:p>
        <w:bookmarkEnd w:id="40"/>
        <w:p>
          <w:pPr>
            <w:pStyle w:val="106"/>
            <w:numPr>
              <w:ilvl w:val="0"/>
              <w:numId w:val="0"/>
            </w:numPr>
            <w:spacing w:before="156" w:after="156"/>
          </w:pPr>
          <w:bookmarkStart w:id="46" w:name="_Toc151630406"/>
          <w:r>
            <w:rPr>
              <w:rFonts w:hint="eastAsia"/>
            </w:rPr>
            <w:t>6</w:t>
          </w:r>
          <w:r>
            <w:t>.2.2</w:t>
          </w:r>
          <w:r>
            <w:rPr>
              <w:rFonts w:hint="eastAsia"/>
            </w:rPr>
            <w:t>压制</w:t>
          </w:r>
          <w:bookmarkEnd w:id="46"/>
        </w:p>
        <w:p>
          <w:pPr>
            <w:pStyle w:val="57"/>
            <w:ind w:firstLine="420"/>
          </w:pPr>
          <w:r>
            <w:rPr>
              <w:rFonts w:hint="eastAsia"/>
              <w:szCs w:val="21"/>
            </w:rPr>
            <w:t>根据需求，按比例添加其它饲料组分，并充分混匀。其他饲料组分总量不超过秸秆质量的70%。根据需求，将混合料加入颗粒饲料压制机，压缩成一定规格的颗粒，秸秆颗粒饲料压制机应符合NY/T 1930的要求。谷子秸秆颗粒卫生指标及试验方法应符合GB 13078 要求。</w:t>
          </w:r>
        </w:p>
        <w:p>
          <w:pPr>
            <w:pStyle w:val="106"/>
            <w:numPr>
              <w:numId w:val="0"/>
            </w:numPr>
            <w:spacing w:before="156" w:after="156"/>
          </w:pPr>
          <w:bookmarkStart w:id="47" w:name="_Toc151630407"/>
          <w:r>
            <w:rPr>
              <w:rFonts w:hint="eastAsia"/>
              <w:lang w:val="en-US" w:eastAsia="zh-CN"/>
            </w:rPr>
            <w:t>6.2.3</w:t>
          </w:r>
          <w:bookmarkStart w:id="61" w:name="_GoBack"/>
          <w:bookmarkEnd w:id="61"/>
          <w:r>
            <w:rPr>
              <w:rFonts w:hint="eastAsia"/>
            </w:rPr>
            <w:t>包装</w:t>
          </w:r>
          <w:bookmarkEnd w:id="47"/>
        </w:p>
        <w:p>
          <w:pPr>
            <w:pStyle w:val="57"/>
            <w:ind w:firstLine="420"/>
          </w:pPr>
          <w:r>
            <w:rPr>
              <w:rFonts w:hint="eastAsia"/>
              <w:szCs w:val="21"/>
            </w:rPr>
            <w:t>谷子秸秆颗粒包装时，采用清洁、干燥、无毒、无异味、无污染、无破损的牢固材料，且具有一定的防潮能力。谷子秸秆颗粒标签(标志)应符合 GB10648的规定</w:t>
          </w:r>
          <w:r>
            <w:rPr>
              <w:rFonts w:hint="eastAsia"/>
            </w:rPr>
            <w:t>。</w:t>
          </w:r>
        </w:p>
        <w:p>
          <w:pPr>
            <w:pStyle w:val="166"/>
            <w:numPr>
              <w:ilvl w:val="0"/>
              <w:numId w:val="0"/>
            </w:numPr>
            <w:ind w:firstLine="420" w:firstLineChars="200"/>
          </w:pPr>
        </w:p>
        <w:p>
          <w:pPr>
            <w:pStyle w:val="105"/>
            <w:spacing w:before="312" w:after="312"/>
          </w:pPr>
          <w:bookmarkStart w:id="48" w:name="_Toc151630412"/>
          <w:r>
            <w:rPr>
              <w:rFonts w:hint="eastAsia"/>
            </w:rPr>
            <w:t>储存管理</w:t>
          </w:r>
          <w:bookmarkEnd w:id="48"/>
        </w:p>
        <w:p>
          <w:pPr>
            <w:pStyle w:val="106"/>
            <w:spacing w:before="156" w:after="156"/>
            <w:ind w:left="600" w:hanging="600"/>
          </w:pPr>
          <w:bookmarkStart w:id="49" w:name="_Toc151630413"/>
          <w:r>
            <w:rPr>
              <w:rFonts w:hint="eastAsia"/>
            </w:rPr>
            <w:t>入库</w:t>
          </w:r>
          <w:bookmarkEnd w:id="49"/>
        </w:p>
        <w:p>
          <w:pPr>
            <w:pStyle w:val="57"/>
            <w:ind w:firstLine="420"/>
          </w:pPr>
          <w:r>
            <w:rPr>
              <w:rFonts w:hint="eastAsia"/>
              <w:szCs w:val="21"/>
            </w:rPr>
            <w:t>对外观性状符合要求，且无霉变的谷子干草草捆草捆或谷子秸秆颗粒入库储存。</w:t>
          </w:r>
        </w:p>
        <w:p>
          <w:pPr>
            <w:pStyle w:val="106"/>
            <w:spacing w:before="156" w:after="156"/>
            <w:ind w:left="600" w:hanging="600"/>
          </w:pPr>
          <w:bookmarkStart w:id="50" w:name="_Toc151630414"/>
          <w:r>
            <w:rPr>
              <w:rFonts w:hint="eastAsia"/>
            </w:rPr>
            <w:t>堆垛</w:t>
          </w:r>
          <w:bookmarkEnd w:id="50"/>
        </w:p>
        <w:p>
          <w:pPr>
            <w:pStyle w:val="166"/>
          </w:pPr>
          <w:r>
            <w:rPr>
              <w:rFonts w:hint="eastAsia"/>
              <w:szCs w:val="21"/>
            </w:rPr>
            <w:t>谷子干草草捆的堆垛应按照DB14/T 1699的规定执行。</w:t>
          </w:r>
          <w:r>
            <w:rPr>
              <w:rFonts w:hint="eastAsia"/>
            </w:rPr>
            <w:t>。</w:t>
          </w:r>
        </w:p>
        <w:p>
          <w:pPr>
            <w:pStyle w:val="166"/>
          </w:pPr>
          <w:r>
            <w:rPr>
              <w:rFonts w:hint="eastAsia"/>
              <w:szCs w:val="21"/>
            </w:rPr>
            <w:t>谷子秸秆颗粒的堆垛应留有通风间隙，底层与地面有垫层。根据包装规格设置合理的堆码高度，堆垛间的支撑稳妥，间距合理</w:t>
          </w:r>
          <w:r>
            <w:rPr>
              <w:rFonts w:hint="eastAsia"/>
            </w:rPr>
            <w:t>。</w:t>
          </w:r>
        </w:p>
        <w:p>
          <w:pPr>
            <w:pStyle w:val="166"/>
          </w:pPr>
          <w:r>
            <w:rPr>
              <w:rFonts w:hint="eastAsia"/>
              <w:szCs w:val="21"/>
            </w:rPr>
            <w:t>不同批次的谷子干草草捆或谷子秸秆颗粒应设立明显的标志，不能混堆</w:t>
          </w:r>
          <w:r>
            <w:rPr>
              <w:rFonts w:hint="eastAsia"/>
            </w:rPr>
            <w:t>。</w:t>
          </w:r>
        </w:p>
        <w:p>
          <w:pPr>
            <w:pStyle w:val="106"/>
            <w:spacing w:before="156" w:after="156"/>
            <w:ind w:left="600" w:hanging="600"/>
          </w:pPr>
          <w:bookmarkStart w:id="51" w:name="_Toc151630415"/>
          <w:r>
            <w:rPr>
              <w:rFonts w:hint="eastAsia"/>
            </w:rPr>
            <w:t>检查</w:t>
          </w:r>
          <w:bookmarkEnd w:id="51"/>
        </w:p>
        <w:p>
          <w:pPr>
            <w:pStyle w:val="57"/>
            <w:ind w:firstLine="420"/>
            <w:rPr>
              <w:szCs w:val="21"/>
            </w:rPr>
          </w:pPr>
          <w:r>
            <w:rPr>
              <w:rFonts w:hint="eastAsia"/>
              <w:szCs w:val="21"/>
            </w:rPr>
            <w:t>定期检查储存环境温度、湿度状况，设施安全状况，以及库存物资状况。</w:t>
          </w:r>
        </w:p>
        <w:p>
          <w:pPr>
            <w:pStyle w:val="57"/>
            <w:spacing w:before="156" w:beforeLines="50" w:after="156" w:afterLines="50"/>
            <w:ind w:firstLine="0" w:firstLineChars="0"/>
            <w:rPr>
              <w:rFonts w:ascii="黑体" w:hAnsi="黑体" w:eastAsia="黑体"/>
              <w:szCs w:val="21"/>
            </w:rPr>
          </w:pPr>
          <w:r>
            <w:rPr>
              <w:rFonts w:hint="eastAsia" w:ascii="黑体" w:hAnsi="黑体" w:eastAsia="黑体"/>
              <w:szCs w:val="21"/>
            </w:rPr>
            <w:t>8.4 出库</w:t>
          </w:r>
        </w:p>
        <w:p>
          <w:pPr>
            <w:pStyle w:val="57"/>
            <w:ind w:firstLine="420"/>
          </w:pPr>
          <w:r>
            <w:rPr>
              <w:rFonts w:hint="eastAsia"/>
              <w:szCs w:val="21"/>
            </w:rPr>
            <w:t>根据需要，以先进先出的原则进行发料。</w:t>
          </w:r>
        </w:p>
        <w:p>
          <w:pPr>
            <w:pStyle w:val="105"/>
            <w:spacing w:before="312" w:after="312"/>
          </w:pPr>
          <w:bookmarkStart w:id="52" w:name="_Toc151630416"/>
          <w:r>
            <w:rPr>
              <w:rFonts w:hint="eastAsia"/>
            </w:rPr>
            <w:t>储存记录</w:t>
          </w:r>
          <w:bookmarkEnd w:id="52"/>
        </w:p>
        <w:p>
          <w:pPr>
            <w:pStyle w:val="57"/>
            <w:ind w:firstLine="420"/>
          </w:pPr>
          <w:r>
            <w:rPr>
              <w:rFonts w:hint="eastAsia"/>
              <w:szCs w:val="21"/>
            </w:rPr>
            <w:t>对入库和出库批次、数量、状态和日期，以及例行检查进行详细记录，并按月、年分类存档保管。</w:t>
          </w:r>
        </w:p>
        <w:p>
          <w:pPr>
            <w:pStyle w:val="105"/>
            <w:spacing w:before="312" w:after="312"/>
          </w:pPr>
          <w:bookmarkStart w:id="53" w:name="_Toc151630417"/>
          <w:r>
            <w:rPr>
              <w:rFonts w:hint="eastAsia"/>
            </w:rPr>
            <w:t>储存环境</w:t>
          </w:r>
          <w:bookmarkEnd w:id="53"/>
        </w:p>
        <w:p>
          <w:pPr>
            <w:pStyle w:val="106"/>
            <w:spacing w:before="156" w:after="156"/>
          </w:pPr>
          <w:bookmarkStart w:id="54" w:name="_Toc151630418"/>
          <w:r>
            <w:rPr>
              <w:rFonts w:hint="eastAsia"/>
            </w:rPr>
            <w:t>仓库环境</w:t>
          </w:r>
          <w:bookmarkEnd w:id="54"/>
        </w:p>
        <w:p>
          <w:pPr>
            <w:pStyle w:val="57"/>
            <w:ind w:firstLine="420"/>
          </w:pPr>
          <w:r>
            <w:rPr>
              <w:rFonts w:hint="eastAsia"/>
              <w:szCs w:val="21"/>
            </w:rPr>
            <w:t>储存仓库应通风、干燥，交通便利、易于入库和出库。远离火种、热源</w:t>
          </w:r>
          <w:r>
            <w:rPr>
              <w:rFonts w:hint="eastAsia"/>
            </w:rPr>
            <w:t>。</w:t>
          </w:r>
        </w:p>
        <w:p>
          <w:pPr>
            <w:pStyle w:val="106"/>
            <w:spacing w:before="156" w:after="156"/>
          </w:pPr>
          <w:bookmarkStart w:id="55" w:name="_Toc151630419"/>
          <w:r>
            <w:rPr>
              <w:rFonts w:hint="eastAsia"/>
            </w:rPr>
            <w:t>露天环境</w:t>
          </w:r>
          <w:bookmarkEnd w:id="55"/>
        </w:p>
        <w:p>
          <w:pPr>
            <w:pStyle w:val="57"/>
            <w:ind w:firstLine="420"/>
          </w:pPr>
          <w:r>
            <w:rPr>
              <w:rFonts w:hint="eastAsia"/>
              <w:szCs w:val="21"/>
            </w:rPr>
            <w:t>露天储存区域应保持地面平整，加盖避雨、雪设施，底部架设防潮、防水垫层。远离火种、热源。</w:t>
          </w:r>
        </w:p>
        <w:p>
          <w:pPr>
            <w:pStyle w:val="105"/>
            <w:spacing w:before="312" w:after="312"/>
          </w:pPr>
          <w:bookmarkStart w:id="56" w:name="_Toc151630420"/>
          <w:r>
            <w:rPr>
              <w:rFonts w:hint="eastAsia"/>
            </w:rPr>
            <w:t>贮藏要求</w:t>
          </w:r>
          <w:bookmarkEnd w:id="56"/>
        </w:p>
        <w:p>
          <w:pPr>
            <w:pStyle w:val="106"/>
            <w:spacing w:before="156" w:after="156"/>
          </w:pPr>
          <w:bookmarkStart w:id="57" w:name="_Toc151630421"/>
          <w:r>
            <w:rPr>
              <w:rFonts w:hint="eastAsia"/>
            </w:rPr>
            <w:t>贮藏场所</w:t>
          </w:r>
          <w:bookmarkEnd w:id="57"/>
        </w:p>
        <w:p>
          <w:pPr>
            <w:pStyle w:val="57"/>
            <w:ind w:firstLine="420"/>
          </w:pPr>
          <w:r>
            <w:rPr>
              <w:rFonts w:hint="eastAsia"/>
              <w:szCs w:val="21"/>
            </w:rPr>
            <w:t>草捆打好后，应尽快运输到仓库或贮草场堆垛。草捆贮放设施符合NY/T 1177的要求。</w:t>
          </w:r>
        </w:p>
        <w:p>
          <w:pPr>
            <w:pStyle w:val="106"/>
            <w:spacing w:before="156" w:after="156"/>
          </w:pPr>
          <w:bookmarkStart w:id="58" w:name="_Toc151630422"/>
          <w:r>
            <w:rPr>
              <w:rFonts w:hint="eastAsia"/>
            </w:rPr>
            <w:t>堆垛</w:t>
          </w:r>
          <w:bookmarkEnd w:id="58"/>
        </w:p>
        <w:p>
          <w:pPr>
            <w:pStyle w:val="57"/>
            <w:ind w:firstLine="420"/>
          </w:pPr>
          <w:r>
            <w:rPr>
              <w:rFonts w:hint="eastAsia"/>
              <w:szCs w:val="21"/>
            </w:rPr>
            <w:t>堆垛时草捆间应留有通风间隙，底层草捆与地面间应有垫层，草垛顶部用塑料布或防雨设施盖好。</w:t>
          </w:r>
        </w:p>
        <w:p>
          <w:pPr>
            <w:pStyle w:val="106"/>
            <w:spacing w:before="156" w:after="156"/>
          </w:pPr>
          <w:bookmarkStart w:id="59" w:name="_Toc151630423"/>
          <w:r>
            <w:rPr>
              <w:rFonts w:hint="eastAsia"/>
            </w:rPr>
            <w:t>防火</w:t>
          </w:r>
          <w:bookmarkEnd w:id="59"/>
        </w:p>
        <w:p>
          <w:pPr>
            <w:pStyle w:val="57"/>
            <w:ind w:firstLine="420"/>
          </w:pPr>
          <w:r>
            <w:rPr>
              <w:rFonts w:hint="eastAsia"/>
              <w:szCs w:val="21"/>
            </w:rPr>
            <w:t>在草垛周围放置警示牌，严禁烟火</w:t>
          </w:r>
          <w:r>
            <w:rPr>
              <w:rFonts w:hint="eastAsia"/>
            </w:rPr>
            <w:t>。</w:t>
          </w:r>
        </w:p>
        <w:p>
          <w:pPr>
            <w:pStyle w:val="57"/>
            <w:ind w:firstLine="420"/>
          </w:pPr>
        </w:p>
        <w:p>
          <w:pPr>
            <w:pStyle w:val="57"/>
            <w:ind w:firstLine="0" w:firstLineChars="0"/>
            <w:rPr>
              <w:rFonts w:hint="eastAsia" w:ascii="黑体" w:hAnsi="黑体" w:eastAsia="黑体" w:cs="黑体"/>
            </w:rPr>
          </w:pPr>
          <w:r>
            <w:rPr>
              <w:rFonts w:hint="eastAsia" w:ascii="黑体" w:hAnsi="黑体" w:eastAsia="黑体" w:cs="黑体"/>
            </w:rPr>
            <w:t xml:space="preserve">11  </w:t>
          </w:r>
          <w:r>
            <w:rPr>
              <w:rFonts w:hint="eastAsia" w:ascii="黑体" w:hAnsi="黑体" w:eastAsia="黑体" w:cs="黑体"/>
            </w:rPr>
            <w:t>资源化利用</w:t>
          </w:r>
        </w:p>
        <w:p>
          <w:pPr>
            <w:pStyle w:val="57"/>
            <w:ind w:firstLine="420"/>
            <w:rPr>
              <w:highlight w:val="yellow"/>
            </w:rPr>
          </w:pPr>
        </w:p>
        <w:p>
          <w:pPr>
            <w:pStyle w:val="106"/>
            <w:numPr>
              <w:numId w:val="0"/>
            </w:numPr>
            <w:spacing w:before="156" w:after="156"/>
            <w:ind w:leftChars="0"/>
            <w:rPr>
              <w:rFonts w:hint="eastAsia"/>
            </w:rPr>
          </w:pPr>
          <w:r>
            <w:rPr>
              <w:rFonts w:hint="eastAsia"/>
            </w:rPr>
            <w:t>11.1  资源化利用的原则</w:t>
          </w:r>
        </w:p>
        <w:p>
          <w:pPr>
            <w:pStyle w:val="57"/>
            <w:ind w:firstLine="420"/>
          </w:pPr>
          <w:r>
            <w:rPr>
              <w:rFonts w:hint="eastAsia"/>
            </w:rPr>
            <w:t>应遵循“减量化、无害化、资源化”原则对农业产品附属物谷秸进行资源化处理和利用，不应随意丢弃、焚烧，宜采用生态循环的方式，对秸秆类产物进行处理后再利用。</w:t>
          </w:r>
        </w:p>
        <w:p>
          <w:pPr>
            <w:pStyle w:val="57"/>
            <w:ind w:firstLine="420"/>
          </w:pPr>
        </w:p>
        <w:p>
          <w:pPr>
            <w:pStyle w:val="175"/>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textAlignment w:val="auto"/>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11.2方法</w:t>
          </w:r>
        </w:p>
        <w:p>
          <w:pPr>
            <w:pStyle w:val="175"/>
            <w:numPr>
              <w:ilvl w:val="0"/>
              <w:numId w:val="0"/>
            </w:numPr>
            <w:ind w:firstLine="420" w:firstLineChars="200"/>
          </w:pPr>
          <w:r>
            <w:rPr>
              <w:rFonts w:hint="eastAsia" w:hAnsi="宋体"/>
            </w:rPr>
            <w:t>饲料化利用。 反刍家畜对秸秆饲料有良好的利用效果,粗饲料纤维含量在30%以上，在消化道中起填充作用，并有促进胃肠蠕动和消化的功能。通常牛饲用秸杆长度为3～4厘米，羊用秸杆长度为2～3厘米。铡短粉碎，若能把秸秆粉碎后再压制成颗粒料饲喂，提高饲料转化率，</w:t>
          </w:r>
          <w:r>
            <w:rPr>
              <w:rFonts w:hint="eastAsia"/>
            </w:rPr>
            <w:t>使饲料效果大大提高。</w:t>
          </w:r>
        </w:p>
        <w:p>
          <w:pPr>
            <w:pStyle w:val="175"/>
            <w:numPr>
              <w:ilvl w:val="0"/>
              <w:numId w:val="0"/>
            </w:numPr>
            <w:ind w:firstLine="420" w:firstLineChars="200"/>
          </w:pPr>
          <w:r>
            <w:rPr>
              <w:rFonts w:hint="eastAsia"/>
            </w:rPr>
            <w:t>肥料化利用。 利用秸秆与畜禽粪便好氧堆肥或秸秆堆肥技术制造有机复合肥，还田可以增加土壤有机质，改善土壤结构，提高土壤保水保肥的能力，增加农作物产量。</w:t>
          </w:r>
        </w:p>
        <w:p>
          <w:pPr>
            <w:pStyle w:val="175"/>
            <w:numPr>
              <w:ilvl w:val="0"/>
              <w:numId w:val="0"/>
            </w:numPr>
            <w:ind w:firstLine="420" w:firstLineChars="200"/>
          </w:pPr>
          <w:r>
            <w:rPr>
              <w:rFonts w:hint="eastAsia"/>
            </w:rPr>
            <w:t>基料化利用。 可以作为食用菌等微生物的培养基料，生产食用菌等微生物产品。</w:t>
          </w:r>
        </w:p>
        <w:p>
          <w:pPr>
            <w:pStyle w:val="175"/>
            <w:numPr>
              <w:ilvl w:val="0"/>
              <w:numId w:val="0"/>
            </w:numPr>
            <w:ind w:firstLine="420" w:firstLineChars="200"/>
          </w:pPr>
          <w:r>
            <w:rPr>
              <w:rFonts w:hint="eastAsia"/>
            </w:rPr>
            <w:t>原料化利用。 可以作为造纸、板材等工业产品原料，也可用于新型环保材料的生产。</w:t>
          </w:r>
        </w:p>
        <w:p>
          <w:pPr>
            <w:pStyle w:val="236"/>
            <w:adjustRightInd w:val="0"/>
            <w:snapToGrid w:val="0"/>
            <w:spacing w:line="360" w:lineRule="auto"/>
            <w:ind w:firstLine="420"/>
            <w:rPr>
              <w:rFonts w:hint="eastAsia"/>
              <w:sz w:val="21"/>
              <w:szCs w:val="21"/>
            </w:rPr>
          </w:pPr>
        </w:p>
        <w:p>
          <w:pPr>
            <w:pStyle w:val="236"/>
            <w:adjustRightInd w:val="0"/>
            <w:snapToGrid w:val="0"/>
            <w:spacing w:line="360" w:lineRule="auto"/>
            <w:ind w:firstLine="420"/>
            <w:rPr>
              <w:rFonts w:hint="eastAsia"/>
              <w:sz w:val="21"/>
              <w:szCs w:val="21"/>
            </w:rPr>
          </w:pPr>
        </w:p>
        <w:p>
          <w:pPr>
            <w:pStyle w:val="236"/>
          </w:pPr>
        </w:p>
      </w:sdtContent>
    </w:sdt>
    <w:sectPr>
      <w:headerReference r:id="rId13" w:type="default"/>
      <w:footerReference r:id="rId14"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roman"/>
    <w:pitch w:val="default"/>
    <w:sig w:usb0="00000000" w:usb1="00000000" w:usb2="00000016" w:usb3="00000000" w:csb0="0004000F" w:csb1="00000000"/>
  </w:font>
  <w:font w:name="等线 Light">
    <w:altName w:val="宋体"/>
    <w:panose1 w:val="02010600030101010101"/>
    <w:charset w:val="86"/>
    <w:family w:val="roman"/>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8382944"/>
    </w:sdtPr>
    <w:sdtEndPr>
      <w:rPr>
        <w:rFonts w:ascii="宋体" w:hAnsi="宋体" w:eastAsia="宋体"/>
      </w:rPr>
    </w:sdtEndPr>
    <w:sdtContent>
      <w:p>
        <w:pPr>
          <w:pStyle w:val="17"/>
          <w:ind w:right="180" w:firstLine="180" w:firstLineChars="100"/>
          <w:jc w:val="right"/>
          <w:rPr>
            <w:rFonts w:ascii="宋体" w:hAnsi="宋体" w:eastAsia="宋体"/>
          </w:rPr>
        </w:pPr>
        <w:r>
          <w:rPr>
            <w:rFonts w:ascii="宋体" w:hAnsi="宋体" w:eastAsia="宋体"/>
          </w:rPr>
          <w:fldChar w:fldCharType="begin"/>
        </w:r>
        <w:r>
          <w:rPr>
            <w:rFonts w:ascii="宋体" w:hAnsi="宋体" w:eastAsia="宋体"/>
          </w:rPr>
          <w:instrText xml:space="preserve">PAGE   \* MERGEFORMAT</w:instrText>
        </w:r>
        <w:r>
          <w:rPr>
            <w:rFonts w:ascii="宋体" w:hAnsi="宋体" w:eastAsia="宋体"/>
          </w:rPr>
          <w:fldChar w:fldCharType="separate"/>
        </w:r>
        <w:r>
          <w:rPr>
            <w:rFonts w:ascii="宋体" w:hAnsi="宋体" w:eastAsia="宋体"/>
            <w:lang w:val="zh-CN"/>
          </w:rPr>
          <w:t>I</w:t>
        </w:r>
        <w:r>
          <w:rPr>
            <w:rFonts w:ascii="宋体" w:hAnsi="宋体" w:eastAsia="宋体"/>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9"/>
      <w:spacing w:before="0"/>
      <w:rPr>
        <w:rFonts w:ascii="黑体" w:hAnsi="黑体" w:eastAsia="黑体"/>
        <w:sz w:val="21"/>
        <w:szCs w:val="15"/>
      </w:rPr>
    </w:pPr>
    <w:r>
      <w:rPr>
        <w:rFonts w:hint="eastAsia" w:ascii="黑体" w:hAnsi="黑体" w:eastAsia="黑体"/>
        <w:sz w:val="21"/>
        <w:szCs w:val="15"/>
      </w:rPr>
      <w:t>DB1504/T XXXX</w:t>
    </w:r>
    <w:r>
      <w:rPr>
        <w:rFonts w:ascii="黑体" w:hAnsi="黑体" w:eastAsia="黑体"/>
        <w:sz w:val="21"/>
        <w:szCs w:val="15"/>
      </w:rPr>
      <w:t>—</w:t>
    </w:r>
    <w:r>
      <w:rPr>
        <w:rFonts w:hint="eastAsia" w:ascii="黑体" w:hAnsi="黑体" w:eastAsia="黑体"/>
        <w:sz w:val="21"/>
        <w:szCs w:val="15"/>
      </w:rPr>
      <w:t>XXXX</w:t>
    </w:r>
  </w:p>
  <w:p>
    <w:pPr>
      <w:pStyle w:val="233"/>
      <w:jc w:val="left"/>
      <w:rPr>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DB1504/T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2F5D3243"/>
    <w:multiLevelType w:val="multilevel"/>
    <w:tmpl w:val="2F5D324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pStyle w:val="243"/>
      <w:lvlText w:val="%1.%2.%3.%4."/>
      <w:lvlJc w:val="left"/>
      <w:pPr>
        <w:ind w:left="1135"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397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5"/>
  </w:num>
  <w:num w:numId="7">
    <w:abstractNumId w:val="8"/>
  </w:num>
  <w:num w:numId="8">
    <w:abstractNumId w:val="3"/>
  </w:num>
  <w:num w:numId="9">
    <w:abstractNumId w:val="9"/>
  </w:num>
  <w:num w:numId="10">
    <w:abstractNumId w:val="18"/>
  </w:num>
  <w:num w:numId="11">
    <w:abstractNumId w:val="27"/>
  </w:num>
  <w:num w:numId="12">
    <w:abstractNumId w:val="13"/>
  </w:num>
  <w:num w:numId="13">
    <w:abstractNumId w:val="14"/>
  </w:num>
  <w:num w:numId="14">
    <w:abstractNumId w:val="7"/>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6"/>
  </w:num>
  <w:num w:numId="30">
    <w:abstractNumId w:val="26"/>
  </w:num>
  <w:num w:numId="31">
    <w:abstractNumId w:val="24"/>
  </w:num>
  <w:num w:numId="32">
    <w:abstractNumId w:val="10"/>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attachedTemplate r:id="rId1"/>
  <w:documentProtection w:edit="forms" w:enforcement="1"/>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JjMGM1ZmMwYTViNGNkYTY0MzVkNTU4OTZiMTBmMWYifQ=="/>
  </w:docVars>
  <w:rsids>
    <w:rsidRoot w:val="00E92D57"/>
    <w:rsid w:val="0000040A"/>
    <w:rsid w:val="00000A94"/>
    <w:rsid w:val="00001972"/>
    <w:rsid w:val="00001D9A"/>
    <w:rsid w:val="00006E79"/>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29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5716"/>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588"/>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5E0"/>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1D9"/>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1C7E"/>
    <w:rsid w:val="00445574"/>
    <w:rsid w:val="004467FB"/>
    <w:rsid w:val="00452D6B"/>
    <w:rsid w:val="00454484"/>
    <w:rsid w:val="0045517B"/>
    <w:rsid w:val="00463B77"/>
    <w:rsid w:val="00463C7B"/>
    <w:rsid w:val="004644A6"/>
    <w:rsid w:val="004659BD"/>
    <w:rsid w:val="00467D00"/>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0D21"/>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97E89"/>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6DF6"/>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0C6"/>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C11"/>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2752"/>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FCF"/>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111"/>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441"/>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8A7"/>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655"/>
    <w:rsid w:val="00B939B1"/>
    <w:rsid w:val="00B96D40"/>
    <w:rsid w:val="00B97386"/>
    <w:rsid w:val="00BA263B"/>
    <w:rsid w:val="00BA42B2"/>
    <w:rsid w:val="00BA58D4"/>
    <w:rsid w:val="00BA5B9E"/>
    <w:rsid w:val="00BA7C9A"/>
    <w:rsid w:val="00BB203B"/>
    <w:rsid w:val="00BB34B1"/>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6322"/>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4E73"/>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E2A"/>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3DFE"/>
    <w:rsid w:val="00E846C8"/>
    <w:rsid w:val="00E84957"/>
    <w:rsid w:val="00E84A55"/>
    <w:rsid w:val="00E85BFF"/>
    <w:rsid w:val="00E90391"/>
    <w:rsid w:val="00E906C2"/>
    <w:rsid w:val="00E92D57"/>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62F6"/>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5DD0"/>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343830"/>
    <w:rsid w:val="05035C62"/>
    <w:rsid w:val="066868C0"/>
    <w:rsid w:val="0BFD1FAB"/>
    <w:rsid w:val="0CFA4CFF"/>
    <w:rsid w:val="0EF75616"/>
    <w:rsid w:val="132C72CB"/>
    <w:rsid w:val="15E57F55"/>
    <w:rsid w:val="196229FF"/>
    <w:rsid w:val="1B111B4F"/>
    <w:rsid w:val="1B7F0DE3"/>
    <w:rsid w:val="1DA86AD8"/>
    <w:rsid w:val="1EB04003"/>
    <w:rsid w:val="217C30B5"/>
    <w:rsid w:val="2A6B74CB"/>
    <w:rsid w:val="2AA75275"/>
    <w:rsid w:val="35BF731B"/>
    <w:rsid w:val="35D023FC"/>
    <w:rsid w:val="39411873"/>
    <w:rsid w:val="453F2418"/>
    <w:rsid w:val="48821DEA"/>
    <w:rsid w:val="4E5F0337"/>
    <w:rsid w:val="519A1FFA"/>
    <w:rsid w:val="58D25A1D"/>
    <w:rsid w:val="5D0C7301"/>
    <w:rsid w:val="65205DE7"/>
    <w:rsid w:val="672E733A"/>
    <w:rsid w:val="68B402AB"/>
    <w:rsid w:val="6D1C2BBC"/>
    <w:rsid w:val="7A747DC6"/>
    <w:rsid w:val="7E9D7114"/>
    <w:rsid w:val="7FB459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autoRedefine/>
    <w:qFormat/>
    <w:uiPriority w:val="0"/>
    <w:rPr>
      <w:rFonts w:ascii="Arial" w:hAnsi="Arial" w:eastAsia="黑体"/>
      <w:kern w:val="2"/>
      <w:sz w:val="21"/>
      <w:szCs w:val="21"/>
    </w:rPr>
  </w:style>
  <w:style w:type="character" w:customStyle="1" w:styleId="44">
    <w:name w:val="页眉 Char"/>
    <w:link w:val="18"/>
    <w:autoRedefine/>
    <w:qFormat/>
    <w:uiPriority w:val="99"/>
    <w:rPr>
      <w:kern w:val="2"/>
      <w:sz w:val="18"/>
      <w:szCs w:val="18"/>
    </w:rPr>
  </w:style>
  <w:style w:type="character" w:customStyle="1" w:styleId="45">
    <w:name w:val="页脚 Char"/>
    <w:link w:val="17"/>
    <w:autoRedefine/>
    <w:qFormat/>
    <w:uiPriority w:val="99"/>
    <w:rPr>
      <w:rFonts w:ascii="宋体"/>
      <w:kern w:val="2"/>
      <w:sz w:val="18"/>
      <w:szCs w:val="18"/>
    </w:rPr>
  </w:style>
  <w:style w:type="character" w:customStyle="1" w:styleId="46">
    <w:name w:val="批注框文本 Char"/>
    <w:link w:val="16"/>
    <w:autoRedefine/>
    <w:semiHidden/>
    <w:qFormat/>
    <w:uiPriority w:val="99"/>
    <w:rPr>
      <w:kern w:val="2"/>
      <w:sz w:val="18"/>
      <w:szCs w:val="18"/>
    </w:rPr>
  </w:style>
  <w:style w:type="paragraph" w:styleId="47">
    <w:name w:val="Quote"/>
    <w:basedOn w:val="1"/>
    <w:next w:val="1"/>
    <w:link w:val="48"/>
    <w:autoRedefine/>
    <w:qFormat/>
    <w:uiPriority w:val="29"/>
    <w:rPr>
      <w:i/>
      <w:iCs/>
      <w:color w:val="000000"/>
    </w:rPr>
  </w:style>
  <w:style w:type="character" w:customStyle="1" w:styleId="48">
    <w:name w:val="引用 Char"/>
    <w:link w:val="47"/>
    <w:autoRedefine/>
    <w:qFormat/>
    <w:uiPriority w:val="29"/>
    <w:rPr>
      <w:i/>
      <w:iCs/>
      <w:color w:val="000000"/>
      <w:kern w:val="2"/>
      <w:sz w:val="21"/>
      <w:szCs w:val="21"/>
    </w:rPr>
  </w:style>
  <w:style w:type="character" w:customStyle="1" w:styleId="49">
    <w:name w:val="标题 Char"/>
    <w:link w:val="26"/>
    <w:autoRedefine/>
    <w:qFormat/>
    <w:uiPriority w:val="0"/>
    <w:rPr>
      <w:rFonts w:ascii="Arial" w:hAnsi="Arial" w:cs="Arial"/>
      <w:b/>
      <w:bCs/>
      <w:kern w:val="2"/>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autoRedefine/>
    <w:qFormat/>
    <w:uiPriority w:val="0"/>
    <w:rPr>
      <w:kern w:val="2"/>
      <w:sz w:val="21"/>
      <w:szCs w:val="21"/>
    </w:rPr>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ind w:left="0" w:firstLine="0"/>
    </w:pPr>
  </w:style>
  <w:style w:type="paragraph" w:customStyle="1" w:styleId="92">
    <w:name w:val="标准文件_目录标题"/>
    <w:basedOn w:val="1"/>
    <w:qFormat/>
    <w:uiPriority w:val="0"/>
    <w:pPr>
      <w:spacing w:before="48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不明显参考1"/>
    <w:autoRedefin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autoRedefine/>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Lines="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32">
    <w:name w:val=" Char1"/>
    <w:basedOn w:val="1"/>
    <w:autoRedefine/>
    <w:qFormat/>
    <w:uiPriority w:val="0"/>
    <w:pPr>
      <w:widowControl/>
      <w:adjustRightInd/>
      <w:spacing w:after="160" w:line="240" w:lineRule="exact"/>
      <w:jc w:val="left"/>
    </w:pPr>
    <w:rPr>
      <w:rFonts w:ascii="Verdana" w:hAnsi="Verdana" w:eastAsia="仿宋_GB2312"/>
      <w:kern w:val="0"/>
      <w:sz w:val="24"/>
      <w:szCs w:val="20"/>
      <w:lang w:eastAsia="en-US"/>
    </w:rPr>
  </w:style>
  <w:style w:type="paragraph" w:customStyle="1" w:styleId="23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35">
    <w:name w:val="章标题"/>
    <w:next w:val="236"/>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7">
    <w:name w:val="一级条标题"/>
    <w:next w:val="236"/>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8">
    <w:name w:val="前言、引言标题"/>
    <w:next w:val="23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3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240">
    <w:name w:val="15"/>
    <w:qFormat/>
    <w:uiPriority w:val="0"/>
    <w:rPr>
      <w:rFonts w:hint="default" w:ascii="Times New Roman" w:hAnsi="Times New Roman" w:cs="Times New Roman"/>
    </w:rPr>
  </w:style>
  <w:style w:type="character" w:customStyle="1" w:styleId="241">
    <w:name w:val="NormalCharacter"/>
    <w:semiHidden/>
    <w:qFormat/>
    <w:uiPriority w:val="99"/>
  </w:style>
  <w:style w:type="paragraph" w:customStyle="1" w:styleId="242">
    <w:name w:val="二级条标题"/>
    <w:basedOn w:val="237"/>
    <w:next w:val="236"/>
    <w:qFormat/>
    <w:uiPriority w:val="0"/>
    <w:pPr>
      <w:outlineLvl w:val="3"/>
    </w:pPr>
  </w:style>
  <w:style w:type="paragraph" w:customStyle="1" w:styleId="243">
    <w:name w:val="三级无"/>
    <w:basedOn w:val="244"/>
    <w:qFormat/>
    <w:uiPriority w:val="0"/>
    <w:pPr>
      <w:numPr>
        <w:ilvl w:val="3"/>
        <w:numId w:val="33"/>
      </w:numPr>
      <w:adjustRightInd/>
      <w:snapToGrid/>
      <w:spacing w:before="0" w:line="240" w:lineRule="auto"/>
      <w:ind w:left="0" w:firstLine="0"/>
      <w:jc w:val="left"/>
    </w:pPr>
    <w:rPr>
      <w:rFonts w:ascii="宋体" w:hAnsi="Times New Roman" w:eastAsia="宋体"/>
      <w:sz w:val="21"/>
    </w:rPr>
  </w:style>
  <w:style w:type="paragraph" w:customStyle="1" w:styleId="244">
    <w:name w:val="三级条标题"/>
    <w:basedOn w:val="242"/>
    <w:next w:val="236"/>
    <w:qFormat/>
    <w:uiPriority w:val="0"/>
    <w:pPr>
      <w:outlineLvl w:val="4"/>
    </w:pPr>
  </w:style>
  <w:style w:type="paragraph" w:styleId="24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tiff"/><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7DBFB969B734393A2128F887F63D3E3"/>
        <w:style w:val=""/>
        <w:category>
          <w:name w:val="常规"/>
          <w:gallery w:val="placeholder"/>
        </w:category>
        <w:types>
          <w:type w:val="bbPlcHdr"/>
        </w:types>
        <w:behaviors>
          <w:behavior w:val="content"/>
        </w:behaviors>
        <w:description w:val=""/>
        <w:guid w:val="{C3568ADF-CF50-4E29-AAEC-F55B94CFAE79}"/>
      </w:docPartPr>
      <w:docPartBody>
        <w:p>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roman"/>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0706B"/>
    <w:rsid w:val="000D56F1"/>
    <w:rsid w:val="000E39F5"/>
    <w:rsid w:val="00722E47"/>
    <w:rsid w:val="007C7077"/>
    <w:rsid w:val="008A17A9"/>
    <w:rsid w:val="009767D8"/>
    <w:rsid w:val="00EC2B5D"/>
    <w:rsid w:val="00F070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8"/>
      <w:lang w:val="en-US" w:eastAsia="zh-CN" w:bidi="mn-Mong-CN"/>
    </w:rPr>
  </w:style>
  <w:style w:type="character" w:default="1" w:styleId="2">
    <w:name w:val="Default Paragraph Font"/>
    <w:autoRedefine/>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07DBFB969B734393A2128F887F63D3E3"/>
    <w:qFormat/>
    <w:uiPriority w:val="0"/>
    <w:pPr>
      <w:widowControl w:val="0"/>
      <w:jc w:val="both"/>
    </w:pPr>
    <w:rPr>
      <w:rFonts w:asciiTheme="minorHAnsi" w:hAnsiTheme="minorHAnsi" w:eastAsiaTheme="minorEastAsia" w:cstheme="minorBidi"/>
      <w:kern w:val="2"/>
      <w:sz w:val="21"/>
      <w:szCs w:val="28"/>
      <w:lang w:val="en-US" w:eastAsia="zh-CN" w:bidi="mn-Mong-CN"/>
    </w:rPr>
  </w:style>
  <w:style w:type="paragraph" w:customStyle="1" w:styleId="6">
    <w:name w:val="A8D35CFB9F4B4E449A244C9C0D9955C8"/>
    <w:qFormat/>
    <w:uiPriority w:val="0"/>
    <w:pPr>
      <w:widowControl w:val="0"/>
      <w:jc w:val="both"/>
    </w:pPr>
    <w:rPr>
      <w:rFonts w:asciiTheme="minorHAnsi" w:hAnsiTheme="minorHAnsi" w:eastAsiaTheme="minorEastAsia" w:cstheme="minorBidi"/>
      <w:kern w:val="2"/>
      <w:sz w:val="21"/>
      <w:szCs w:val="28"/>
      <w:lang w:val="en-US" w:eastAsia="zh-CN" w:bidi="mn-Mong-CN"/>
    </w:rPr>
  </w:style>
  <w:style w:type="paragraph" w:customStyle="1" w:styleId="7">
    <w:name w:val="E1ECE3AC81664175807446A0F246D050"/>
    <w:qFormat/>
    <w:uiPriority w:val="0"/>
    <w:pPr>
      <w:widowControl w:val="0"/>
      <w:jc w:val="both"/>
    </w:pPr>
    <w:rPr>
      <w:rFonts w:asciiTheme="minorHAnsi" w:hAnsiTheme="minorHAnsi" w:eastAsiaTheme="minorEastAsia" w:cstheme="minorBidi"/>
      <w:kern w:val="2"/>
      <w:sz w:val="21"/>
      <w:szCs w:val="28"/>
      <w:lang w:val="en-US" w:eastAsia="zh-CN" w:bidi="mn-Mong-CN"/>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B14A46-581D-4FC5-86CF-009567057D3F}">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6</Pages>
  <Words>3274</Words>
  <Characters>3980</Characters>
  <Lines>20</Lines>
  <Paragraphs>5</Paragraphs>
  <TotalTime>2</TotalTime>
  <ScaleCrop>false</ScaleCrop>
  <LinksUpToDate>false</LinksUpToDate>
  <CharactersWithSpaces>4156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2023-11-29T04:27:00Z</dcterms:created>
  <dc:creator>China</dc:creator>
  <dc:description>&lt;config cover="true" show_menu="true" version="1.0.0" doctype="SDKXY"&gt;_x000d_
&lt;/config&gt;</dc:description>
  <cp:lastModifiedBy>默默</cp:lastModifiedBy>
  <cp:lastPrinted>2020-08-30T10:00:00Z</cp:lastPrinted>
  <dcterms:modified xsi:type="dcterms:W3CDTF">2024-06-05T03:08:31Z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90B7486150AA4A8C91965193A5276226</vt:lpwstr>
  </property>
</Properties>
</file>