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1504</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 xml:space="preserve"> 赤峰市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15</w:t>
      </w:r>
      <w:r>
        <w:rPr>
          <w:rFonts w:hint="eastAsia"/>
        </w:rPr>
        <w:t>04</w:t>
      </w:r>
      <w:r>
        <w:rPr>
          <w:lang w:val="fr-FR"/>
        </w:rPr>
        <w:t>/T</w:t>
      </w:r>
      <w:r>
        <w:rPr>
          <w:rFonts w:hint="eastAsia"/>
          <w:lang w:val="en-US" w:eastAsia="zh-CN"/>
        </w:rPr>
        <w:t xml:space="preserve">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lang w:bidi="mn-Mong-CN"/>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旱地谷子种植技术规程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regulation for cultivation of millet upland</w:t>
      </w:r>
      <w:r>
        <w:rPr>
          <w:rFonts w:eastAsia="黑体"/>
          <w:szCs w:val="28"/>
        </w:rPr>
        <w:t>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赤峰市市场监督管理局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lang w:bidi="mn-Mong-CN"/>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07DBFB969B734393A2128F887F63D3E3"/>
        </w:placeholder>
      </w:sdtPr>
      <w:sdtContent>
        <w:p>
          <w:pPr>
            <w:pStyle w:val="237"/>
          </w:pPr>
          <w:bookmarkStart w:id="22" w:name="_Toc531183279"/>
          <w:bookmarkStart w:id="23" w:name="_Toc531183356"/>
          <w:bookmarkStart w:id="24" w:name="_Toc531183318"/>
          <w:bookmarkStart w:id="25" w:name="_Toc531183238"/>
          <w:bookmarkStart w:id="26" w:name="NEW_STAND_NAME"/>
          <w:r>
            <w:rPr>
              <w:rFonts w:hint="eastAsia"/>
            </w:rPr>
            <w:t>前</w:t>
          </w:r>
          <w:bookmarkStart w:id="27" w:name="BKQY"/>
          <w:r>
            <w:t>  </w:t>
          </w:r>
          <w:r>
            <w:rPr>
              <w:rFonts w:hint="eastAsia"/>
            </w:rPr>
            <w:t>言</w:t>
          </w:r>
          <w:bookmarkEnd w:id="22"/>
          <w:bookmarkEnd w:id="23"/>
          <w:bookmarkEnd w:id="24"/>
          <w:bookmarkEnd w:id="25"/>
          <w:bookmarkEnd w:id="27"/>
        </w:p>
        <w:p>
          <w:pPr>
            <w:ind w:firstLine="420" w:firstLineChars="200"/>
            <w:rPr>
              <w:rFonts w:ascii="宋体" w:hAnsi="宋体" w:cs="宋体"/>
              <w:color w:val="000000"/>
              <w:kern w:val="0"/>
              <w:szCs w:val="21"/>
            </w:rPr>
          </w:pPr>
          <w:r>
            <w:rPr>
              <w:rFonts w:hint="eastAsia" w:ascii="宋体" w:hAnsi="宋体" w:cs="宋体"/>
              <w:color w:val="000000"/>
              <w:kern w:val="0"/>
              <w:szCs w:val="21"/>
            </w:rPr>
            <w:t>本文件按照GB/T 1.1-2020《标准化工作导则 第I部分:标准化文件的结构和起草规则》的规定起草。</w:t>
          </w:r>
        </w:p>
        <w:p>
          <w:pPr>
            <w:ind w:firstLine="359" w:firstLineChars="171"/>
            <w:rPr>
              <w:rFonts w:ascii="宋体" w:hAnsi="宋体"/>
              <w:bCs/>
              <w:color w:val="000000"/>
              <w:szCs w:val="21"/>
            </w:rPr>
          </w:pPr>
          <w:r>
            <w:rPr>
              <w:rFonts w:ascii="宋体" w:hAnsi="宋体"/>
              <w:bCs/>
              <w:color w:val="000000"/>
              <w:szCs w:val="21"/>
            </w:rPr>
            <w:t>本</w:t>
          </w:r>
          <w:r>
            <w:rPr>
              <w:rFonts w:hint="eastAsia" w:ascii="宋体" w:hAnsi="宋体"/>
              <w:bCs/>
              <w:color w:val="000000"/>
              <w:szCs w:val="21"/>
            </w:rPr>
            <w:t>文件</w:t>
          </w:r>
          <w:r>
            <w:rPr>
              <w:rFonts w:ascii="宋体" w:hAnsi="宋体"/>
              <w:bCs/>
              <w:color w:val="000000"/>
              <w:szCs w:val="21"/>
            </w:rPr>
            <w:t>由赤峰市农牧科学研究</w:t>
          </w:r>
          <w:r>
            <w:rPr>
              <w:rFonts w:hint="eastAsia" w:ascii="宋体" w:hAnsi="宋体"/>
              <w:bCs/>
              <w:color w:val="000000"/>
              <w:szCs w:val="21"/>
            </w:rPr>
            <w:t>所</w:t>
          </w:r>
          <w:r>
            <w:rPr>
              <w:rFonts w:ascii="宋体" w:hAnsi="宋体"/>
              <w:bCs/>
              <w:color w:val="000000"/>
              <w:szCs w:val="21"/>
            </w:rPr>
            <w:t>提出。</w:t>
          </w:r>
        </w:p>
        <w:p>
          <w:pPr>
            <w:ind w:firstLine="359" w:firstLineChars="171"/>
            <w:rPr>
              <w:rFonts w:ascii="宋体" w:hAnsi="宋体"/>
              <w:bCs/>
              <w:szCs w:val="21"/>
            </w:rPr>
          </w:pPr>
          <w:r>
            <w:rPr>
              <w:rFonts w:ascii="宋体" w:hAnsi="宋体"/>
              <w:bCs/>
              <w:szCs w:val="21"/>
            </w:rPr>
            <w:t>本</w:t>
          </w:r>
          <w:r>
            <w:rPr>
              <w:rFonts w:hint="eastAsia" w:ascii="宋体" w:hAnsi="宋体"/>
              <w:bCs/>
              <w:szCs w:val="21"/>
            </w:rPr>
            <w:t>文件</w:t>
          </w:r>
          <w:r>
            <w:rPr>
              <w:rFonts w:ascii="宋体" w:hAnsi="宋体"/>
              <w:bCs/>
              <w:szCs w:val="21"/>
            </w:rPr>
            <w:t>由赤峰市农牧局归口。</w:t>
          </w:r>
        </w:p>
        <w:p>
          <w:pPr>
            <w:ind w:firstLine="359" w:firstLineChars="171"/>
            <w:rPr>
              <w:rFonts w:ascii="宋体" w:hAnsi="宋体"/>
              <w:bCs/>
              <w:color w:val="000000"/>
              <w:szCs w:val="21"/>
            </w:rPr>
          </w:pPr>
          <w:r>
            <w:rPr>
              <w:rFonts w:ascii="宋体" w:hAnsi="宋体"/>
              <w:bCs/>
              <w:color w:val="000000"/>
              <w:szCs w:val="21"/>
            </w:rPr>
            <w:t>本</w:t>
          </w:r>
          <w:r>
            <w:rPr>
              <w:rFonts w:hint="eastAsia" w:ascii="宋体" w:hAnsi="宋体"/>
              <w:bCs/>
              <w:color w:val="000000"/>
              <w:szCs w:val="21"/>
            </w:rPr>
            <w:t>文件</w:t>
          </w:r>
          <w:r>
            <w:rPr>
              <w:rFonts w:ascii="宋体" w:hAnsi="宋体"/>
              <w:bCs/>
              <w:color w:val="000000"/>
              <w:szCs w:val="21"/>
            </w:rPr>
            <w:t>起草单位：赤峰市农牧科学研究</w:t>
          </w:r>
          <w:r>
            <w:rPr>
              <w:rFonts w:hint="eastAsia" w:ascii="宋体" w:hAnsi="宋体"/>
              <w:bCs/>
              <w:color w:val="000000"/>
              <w:szCs w:val="21"/>
            </w:rPr>
            <w:t>所、赤峰市农牧业综合检验检测中心。</w:t>
          </w:r>
        </w:p>
        <w:p>
          <w:pPr>
            <w:ind w:firstLine="371" w:firstLineChars="177"/>
            <w:sectPr>
              <w:headerReference r:id="rId11" w:type="default"/>
              <w:footerReference r:id="rId12" w:type="default"/>
              <w:pgSz w:w="11906" w:h="16838"/>
              <w:pgMar w:top="1928" w:right="1134" w:bottom="1134" w:left="1134" w:header="1418" w:footer="1134" w:gutter="284"/>
              <w:pgNumType w:start="1"/>
              <w:cols w:space="425" w:num="1"/>
              <w:formProt w:val="0"/>
              <w:docGrid w:type="lines" w:linePitch="312" w:charSpace="0"/>
            </w:sectPr>
          </w:pPr>
          <w:r>
            <w:rPr>
              <w:rFonts w:ascii="宋体" w:hAnsi="宋体"/>
              <w:szCs w:val="21"/>
            </w:rPr>
            <w:t>本</w:t>
          </w:r>
          <w:r>
            <w:rPr>
              <w:rFonts w:hint="eastAsia" w:ascii="宋体" w:hAnsi="宋体"/>
              <w:szCs w:val="21"/>
            </w:rPr>
            <w:t>文件</w:t>
          </w:r>
          <w:r>
            <w:rPr>
              <w:rFonts w:ascii="宋体" w:hAnsi="宋体"/>
              <w:szCs w:val="21"/>
            </w:rPr>
            <w:t>起草人：</w:t>
          </w:r>
          <w:r>
            <w:rPr>
              <w:rFonts w:hint="eastAsia" w:ascii="宋体" w:hAnsi="宋体"/>
              <w:szCs w:val="21"/>
            </w:rPr>
            <w:t>张立媛，王向红，琦明玉，王雪洁，李艳丽，郇志荣，刘铭，李志光，程瑶，赵敏。</w:t>
          </w:r>
        </w:p>
        <w:p>
          <w:pPr>
            <w:pStyle w:val="177"/>
            <w:spacing w:beforeLines="1" w:afterLines="220"/>
            <w:rPr>
              <w:rFonts w:hint="eastAsia"/>
            </w:rPr>
          </w:pPr>
          <w:r>
            <w:rPr>
              <w:rFonts w:hint="eastAsia"/>
            </w:rPr>
            <w:t>旱地谷子</w:t>
          </w:r>
          <w:r>
            <w:rPr>
              <w:rFonts w:hint="eastAsia"/>
              <w:lang w:eastAsia="zh-CN"/>
            </w:rPr>
            <w:t>种植</w:t>
          </w:r>
          <w:r>
            <w:rPr>
              <w:rFonts w:hint="eastAsia"/>
            </w:rPr>
            <w:t>技术规程</w:t>
          </w:r>
        </w:p>
        <w:p>
          <w:pPr>
            <w:pStyle w:val="234"/>
            <w:spacing w:before="312" w:after="312"/>
            <w:rPr>
              <w:rFonts w:ascii="Times New Roman"/>
            </w:rPr>
          </w:pPr>
          <w:bookmarkStart w:id="28" w:name="_Toc531183239"/>
          <w:bookmarkStart w:id="29" w:name="_Toc531183280"/>
          <w:bookmarkStart w:id="30" w:name="_Toc531183357"/>
          <w:bookmarkStart w:id="31" w:name="_Toc531183319"/>
          <w:r>
            <w:rPr>
              <w:rFonts w:hint="eastAsia" w:ascii="Times New Roman"/>
            </w:rPr>
            <w:t>范围</w:t>
          </w:r>
          <w:bookmarkEnd w:id="28"/>
          <w:bookmarkEnd w:id="29"/>
          <w:bookmarkEnd w:id="30"/>
          <w:bookmarkEnd w:id="31"/>
        </w:p>
        <w:p>
          <w:pPr>
            <w:pStyle w:val="235"/>
            <w:rPr>
              <w:rFonts w:hAnsi="宋体"/>
              <w:kern w:val="2"/>
            </w:rPr>
          </w:pPr>
          <w:r>
            <w:rPr>
              <w:rFonts w:hint="eastAsia" w:hAnsi="宋体"/>
              <w:kern w:val="2"/>
            </w:rPr>
            <w:t>本文件规定了赤峰及周边地区旱地谷子生产的术语和定义、产地条件、播前准备、播种、施肥、田间管理、病虫草害防治、收获与贮藏、生产记录档案等技术。</w:t>
          </w:r>
        </w:p>
        <w:p>
          <w:pPr>
            <w:pStyle w:val="235"/>
            <w:rPr>
              <w:rFonts w:hAnsi="宋体"/>
              <w:kern w:val="2"/>
            </w:rPr>
          </w:pPr>
          <w:r>
            <w:rPr>
              <w:rFonts w:hint="eastAsia" w:hAnsi="宋体"/>
              <w:kern w:val="2"/>
            </w:rPr>
            <w:t>本文件适用于赤峰市及周边地区。</w:t>
          </w:r>
        </w:p>
        <w:p>
          <w:pPr>
            <w:pStyle w:val="235"/>
          </w:pPr>
        </w:p>
        <w:p>
          <w:pPr>
            <w:pStyle w:val="234"/>
            <w:spacing w:before="312" w:after="312"/>
            <w:rPr>
              <w:rFonts w:ascii="Times New Roman"/>
            </w:rPr>
          </w:pPr>
          <w:bookmarkStart w:id="32" w:name="_Toc531183358"/>
          <w:bookmarkStart w:id="33" w:name="_Toc531183240"/>
          <w:bookmarkStart w:id="34" w:name="_Toc531183320"/>
          <w:bookmarkStart w:id="35" w:name="_Toc531183281"/>
          <w:r>
            <w:rPr>
              <w:rFonts w:hint="eastAsia" w:ascii="Times New Roman"/>
            </w:rPr>
            <w:t>规范性引用文件</w:t>
          </w:r>
          <w:bookmarkEnd w:id="32"/>
          <w:bookmarkEnd w:id="33"/>
          <w:bookmarkEnd w:id="34"/>
          <w:bookmarkEnd w:id="35"/>
        </w:p>
        <w:p>
          <w:pPr>
            <w:pStyle w:val="234"/>
            <w:numPr>
              <w:ilvl w:val="0"/>
              <w:numId w:val="0"/>
            </w:numPr>
            <w:spacing w:before="312" w:after="312"/>
            <w:ind w:firstLine="420" w:firstLineChars="200"/>
            <w:rPr>
              <w:rFonts w:ascii="宋体" w:hAnsi="宋体" w:eastAsia="宋体"/>
              <w:kern w:val="2"/>
            </w:rPr>
          </w:pPr>
          <w:r>
            <w:rPr>
              <w:rFonts w:hint="eastAsia" w:ascii="宋体" w:hAnsi="宋体" w:eastAsia="宋体"/>
              <w:kern w:val="2"/>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35"/>
            <w:rPr>
              <w:szCs w:val="21"/>
            </w:rPr>
          </w:pPr>
          <w:r>
            <w:rPr>
              <w:rFonts w:hint="eastAsia"/>
              <w:szCs w:val="21"/>
            </w:rPr>
            <w:t>GB</w:t>
          </w:r>
          <w:r>
            <w:rPr>
              <w:rFonts w:hAnsi="宋体"/>
              <w:color w:val="000000" w:themeColor="text1"/>
              <w:kern w:val="2"/>
            </w:rPr>
            <w:t>/T</w:t>
          </w:r>
          <w:r>
            <w:rPr>
              <w:rFonts w:hint="eastAsia"/>
              <w:szCs w:val="21"/>
            </w:rPr>
            <w:t xml:space="preserve"> 4404.1     粮食作物种子 第1部分：禾谷类</w:t>
          </w:r>
        </w:p>
        <w:p>
          <w:pPr>
            <w:pStyle w:val="235"/>
            <w:rPr>
              <w:rFonts w:hAnsi="宋体"/>
              <w:color w:val="000000" w:themeColor="text1"/>
              <w:kern w:val="2"/>
            </w:rPr>
          </w:pPr>
          <w:r>
            <w:rPr>
              <w:rFonts w:hAnsi="宋体"/>
              <w:color w:val="000000" w:themeColor="text1"/>
              <w:kern w:val="2"/>
            </w:rPr>
            <w:t xml:space="preserve">GB/T 8321.1 </w:t>
          </w:r>
          <w:r>
            <w:rPr>
              <w:rFonts w:hint="eastAsia" w:hAnsi="宋体"/>
              <w:color w:val="000000" w:themeColor="text1"/>
              <w:kern w:val="2"/>
            </w:rPr>
            <w:t xml:space="preserve">    </w:t>
          </w:r>
          <w:r>
            <w:rPr>
              <w:rFonts w:hAnsi="宋体"/>
              <w:color w:val="000000" w:themeColor="text1"/>
              <w:kern w:val="2"/>
            </w:rPr>
            <w:t>农药合理使用准则（一）</w:t>
          </w:r>
        </w:p>
        <w:p>
          <w:pPr>
            <w:pStyle w:val="235"/>
            <w:rPr>
              <w:rFonts w:hAnsi="宋体"/>
              <w:color w:val="000000" w:themeColor="text1"/>
              <w:kern w:val="2"/>
            </w:rPr>
          </w:pPr>
          <w:r>
            <w:rPr>
              <w:rFonts w:hAnsi="宋体"/>
              <w:color w:val="000000" w:themeColor="text1"/>
              <w:kern w:val="2"/>
            </w:rPr>
            <w:t xml:space="preserve">NY/T 496  </w:t>
          </w:r>
          <w:r>
            <w:rPr>
              <w:rFonts w:hint="eastAsia" w:hAnsi="宋体"/>
              <w:color w:val="000000" w:themeColor="text1"/>
              <w:kern w:val="2"/>
            </w:rPr>
            <w:t xml:space="preserve">      </w:t>
          </w:r>
          <w:r>
            <w:rPr>
              <w:rFonts w:hAnsi="宋体"/>
              <w:color w:val="000000" w:themeColor="text1"/>
              <w:kern w:val="2"/>
            </w:rPr>
            <w:t>肥料合理使用准则通则</w:t>
          </w:r>
        </w:p>
        <w:p>
          <w:pPr>
            <w:pStyle w:val="235"/>
            <w:rPr>
              <w:rFonts w:hAnsi="宋体"/>
              <w:color w:val="000000" w:themeColor="text1"/>
              <w:kern w:val="2"/>
            </w:rPr>
          </w:pPr>
          <w:r>
            <w:rPr>
              <w:rFonts w:hAnsi="宋体"/>
              <w:color w:val="000000" w:themeColor="text1"/>
              <w:kern w:val="2"/>
            </w:rPr>
            <w:t xml:space="preserve">NY/T </w:t>
          </w:r>
          <w:r>
            <w:rPr>
              <w:rFonts w:hint="eastAsia" w:hAnsi="宋体"/>
              <w:color w:val="000000" w:themeColor="text1"/>
              <w:kern w:val="2"/>
            </w:rPr>
            <w:t>621</w:t>
          </w:r>
          <w:r>
            <w:rPr>
              <w:rFonts w:hAnsi="宋体"/>
              <w:color w:val="000000" w:themeColor="text1"/>
              <w:kern w:val="2"/>
            </w:rPr>
            <w:t xml:space="preserve">  </w:t>
          </w:r>
          <w:r>
            <w:rPr>
              <w:rFonts w:hint="eastAsia" w:hAnsi="宋体"/>
              <w:color w:val="000000" w:themeColor="text1"/>
              <w:kern w:val="2"/>
            </w:rPr>
            <w:t xml:space="preserve">      多.福.克悬浮种衣剂</w:t>
          </w:r>
        </w:p>
        <w:p>
          <w:pPr>
            <w:pStyle w:val="235"/>
            <w:rPr>
              <w:rFonts w:hAnsi="宋体"/>
              <w:color w:val="000000" w:themeColor="text1"/>
              <w:kern w:val="2"/>
            </w:rPr>
          </w:pPr>
          <w:r>
            <w:rPr>
              <w:rFonts w:hAnsi="宋体"/>
              <w:color w:val="000000" w:themeColor="text1"/>
              <w:kern w:val="2"/>
            </w:rPr>
            <w:t xml:space="preserve">NY/T 1276  </w:t>
          </w:r>
          <w:r>
            <w:rPr>
              <w:rFonts w:hint="eastAsia" w:hAnsi="宋体"/>
              <w:color w:val="000000" w:themeColor="text1"/>
              <w:kern w:val="2"/>
            </w:rPr>
            <w:t xml:space="preserve">     </w:t>
          </w:r>
          <w:r>
            <w:rPr>
              <w:rFonts w:hAnsi="宋体"/>
              <w:color w:val="000000" w:themeColor="text1"/>
              <w:kern w:val="2"/>
            </w:rPr>
            <w:t>农药安全使用规范总则</w:t>
          </w:r>
        </w:p>
        <w:p>
          <w:pPr>
            <w:pStyle w:val="234"/>
            <w:spacing w:before="312" w:after="312"/>
            <w:rPr>
              <w:rFonts w:ascii="Times New Roman"/>
            </w:rPr>
          </w:pPr>
          <w:r>
            <w:rPr>
              <w:rFonts w:hint="eastAsia" w:ascii="Times New Roman"/>
            </w:rPr>
            <w:t>术语和定义</w:t>
          </w:r>
        </w:p>
        <w:p>
          <w:pPr>
            <w:pStyle w:val="235"/>
            <w:rPr>
              <w:rFonts w:hAnsi="宋体"/>
              <w:kern w:val="2"/>
            </w:rPr>
          </w:pPr>
          <w:r>
            <w:rPr>
              <w:rFonts w:hint="eastAsia" w:hAnsi="宋体"/>
              <w:kern w:val="2"/>
            </w:rPr>
            <w:t>本文件没有需要界定的术语和定义</w:t>
          </w:r>
          <w:r>
            <w:rPr>
              <w:rFonts w:hAnsi="宋体"/>
              <w:kern w:val="2"/>
            </w:rPr>
            <w:t>。</w:t>
          </w:r>
        </w:p>
        <w:p>
          <w:pPr>
            <w:pStyle w:val="234"/>
            <w:spacing w:before="312" w:after="312"/>
            <w:rPr>
              <w:rFonts w:ascii="Times New Roman"/>
            </w:rPr>
          </w:pPr>
          <w:r>
            <w:rPr>
              <w:rFonts w:hint="eastAsia" w:ascii="Times New Roman"/>
            </w:rPr>
            <w:t>产地条件</w:t>
          </w:r>
        </w:p>
        <w:p>
          <w:pPr>
            <w:pStyle w:val="236"/>
            <w:numPr>
              <w:ilvl w:val="1"/>
              <w:numId w:val="0"/>
            </w:numPr>
            <w:spacing w:before="312" w:beforeLines="100" w:after="312" w:afterLines="100"/>
          </w:pPr>
          <w:r>
            <w:rPr>
              <w:rFonts w:hint="eastAsia"/>
            </w:rPr>
            <w:t>4.1 气候条件</w:t>
          </w:r>
        </w:p>
        <w:p>
          <w:pPr>
            <w:spacing w:line="440" w:lineRule="exact"/>
            <w:ind w:firstLine="420" w:firstLineChars="200"/>
            <w:rPr>
              <w:rFonts w:ascii="宋体" w:hAnsi="宋体"/>
              <w:szCs w:val="21"/>
            </w:rPr>
          </w:pPr>
          <w:r>
            <w:rPr>
              <w:rFonts w:hint="eastAsia" w:ascii="宋体" w:hAnsi="宋体"/>
              <w:szCs w:val="21"/>
            </w:rPr>
            <w:t>年平均气温≥5℃，无霜期110 d以上，年有效积温≥2400 ℃,年降水量在300 mm以上。</w:t>
          </w:r>
        </w:p>
        <w:p>
          <w:pPr>
            <w:pStyle w:val="236"/>
            <w:numPr>
              <w:ilvl w:val="1"/>
              <w:numId w:val="0"/>
            </w:numPr>
            <w:spacing w:before="312" w:beforeLines="100" w:after="312" w:afterLines="100"/>
          </w:pPr>
          <w:r>
            <w:rPr>
              <w:rFonts w:hint="eastAsia"/>
            </w:rPr>
            <w:t>4.2 土壤条件</w:t>
          </w:r>
        </w:p>
        <w:p>
          <w:pPr>
            <w:pStyle w:val="235"/>
            <w:rPr>
              <w:rFonts w:hAnsi="宋体"/>
              <w:kern w:val="2"/>
              <w:szCs w:val="21"/>
            </w:rPr>
          </w:pPr>
          <w:r>
            <w:rPr>
              <w:rFonts w:hint="eastAsia" w:hAnsi="宋体"/>
              <w:kern w:val="2"/>
              <w:szCs w:val="21"/>
            </w:rPr>
            <w:t>耕地坡度&lt;5°，土体厚度&gt;30 cm，pH值7.0～8.5。前茬作物收获后，及时进行秋翻，秋翻深度25 cm以上，要求深浅一致、扣垄均匀严实、不漏耕。在秋翻地的基础上，早春耙耢，使土壤疏松，达到上平下碎。</w:t>
          </w:r>
        </w:p>
        <w:p>
          <w:pPr>
            <w:pStyle w:val="234"/>
            <w:spacing w:before="312" w:after="312"/>
            <w:rPr>
              <w:rFonts w:ascii="Times New Roman"/>
            </w:rPr>
          </w:pPr>
          <w:r>
            <w:rPr>
              <w:rFonts w:hint="eastAsia" w:ascii="Times New Roman"/>
            </w:rPr>
            <w:t>播前准备</w:t>
          </w:r>
        </w:p>
        <w:p>
          <w:pPr>
            <w:pStyle w:val="235"/>
          </w:pPr>
        </w:p>
        <w:p>
          <w:pPr>
            <w:pStyle w:val="236"/>
            <w:numPr>
              <w:ilvl w:val="1"/>
              <w:numId w:val="0"/>
            </w:numPr>
            <w:spacing w:before="312" w:beforeLines="100" w:after="312" w:afterLines="100"/>
          </w:pPr>
          <w:r>
            <w:rPr>
              <w:rFonts w:hint="eastAsia"/>
            </w:rPr>
            <w:t>5.1  选地</w:t>
          </w:r>
        </w:p>
        <w:p>
          <w:pPr>
            <w:pStyle w:val="236"/>
            <w:numPr>
              <w:ilvl w:val="1"/>
              <w:numId w:val="0"/>
            </w:numPr>
            <w:spacing w:before="312" w:beforeLines="100" w:after="312" w:afterLines="100"/>
            <w:ind w:firstLine="420" w:firstLineChars="200"/>
            <w:rPr>
              <w:rFonts w:ascii="宋体" w:hAnsi="宋体" w:eastAsia="宋体"/>
              <w:kern w:val="2"/>
            </w:rPr>
          </w:pPr>
          <w:r>
            <w:rPr>
              <w:rFonts w:hint="eastAsia" w:ascii="宋体" w:hAnsi="宋体" w:eastAsia="宋体"/>
              <w:kern w:val="2"/>
            </w:rPr>
            <w:t>选用土层深厚，排水良好，最好选择前茬为豆科作物、油菜、马铃薯、麦茬或玉米茬等茬口，其中以豆茬、油菜茬为最好，避免重茬、迎茬。</w:t>
          </w:r>
        </w:p>
        <w:p>
          <w:pPr>
            <w:pStyle w:val="236"/>
            <w:numPr>
              <w:ilvl w:val="1"/>
              <w:numId w:val="0"/>
            </w:numPr>
            <w:spacing w:before="312" w:beforeLines="100" w:after="312" w:afterLines="100"/>
          </w:pPr>
          <w:r>
            <w:rPr>
              <w:rFonts w:hint="eastAsia"/>
            </w:rPr>
            <w:t>5.2  整地</w:t>
          </w:r>
        </w:p>
        <w:p>
          <w:pPr>
            <w:pStyle w:val="236"/>
            <w:numPr>
              <w:ilvl w:val="1"/>
              <w:numId w:val="0"/>
            </w:numPr>
            <w:spacing w:before="312" w:beforeLines="100" w:after="312" w:afterLines="100"/>
            <w:ind w:firstLine="420" w:firstLineChars="200"/>
            <w:rPr>
              <w:rFonts w:ascii="宋体" w:hAnsi="宋体" w:eastAsia="宋体"/>
              <w:kern w:val="2"/>
            </w:rPr>
          </w:pPr>
          <w:r>
            <w:rPr>
              <w:rFonts w:hint="eastAsia" w:ascii="宋体" w:hAnsi="宋体" w:eastAsia="宋体"/>
              <w:kern w:val="2"/>
            </w:rPr>
            <w:t>秋翻地深度25 cm以上，早春耙耢保墒，播前深耕耙耱，使土壤疏松，上平下碎。</w:t>
          </w:r>
        </w:p>
        <w:p>
          <w:pPr>
            <w:pStyle w:val="236"/>
            <w:numPr>
              <w:ilvl w:val="1"/>
              <w:numId w:val="0"/>
            </w:numPr>
            <w:spacing w:before="312" w:beforeLines="100" w:after="312" w:afterLines="100"/>
          </w:pPr>
          <w:r>
            <w:rPr>
              <w:rFonts w:hint="eastAsia"/>
            </w:rPr>
            <w:t>5.3品种选择及种子处理</w:t>
          </w:r>
        </w:p>
        <w:p>
          <w:pPr>
            <w:pStyle w:val="236"/>
            <w:numPr>
              <w:ilvl w:val="1"/>
              <w:numId w:val="0"/>
            </w:numPr>
            <w:spacing w:before="312" w:beforeLines="100" w:after="312" w:afterLines="100"/>
          </w:pPr>
          <w:r>
            <w:rPr>
              <w:rFonts w:hint="eastAsia"/>
            </w:rPr>
            <w:t>5.3.1品种选择</w:t>
          </w:r>
        </w:p>
        <w:p>
          <w:pPr>
            <w:spacing w:line="440" w:lineRule="exact"/>
            <w:ind w:firstLine="420" w:firstLineChars="200"/>
            <w:rPr>
              <w:rFonts w:ascii="宋体" w:hAnsi="宋体"/>
              <w:sz w:val="28"/>
              <w:szCs w:val="28"/>
            </w:rPr>
          </w:pPr>
          <w:r>
            <w:rPr>
              <w:rFonts w:hint="eastAsia" w:ascii="宋体" w:hAnsi="宋体"/>
              <w:szCs w:val="21"/>
            </w:rPr>
            <w:t>选用高产、优质、增产潜力大、粮草兼收的谷子品种。种子质量符合GB 4404.1要求。</w:t>
          </w:r>
        </w:p>
        <w:p>
          <w:pPr>
            <w:pStyle w:val="236"/>
            <w:numPr>
              <w:ilvl w:val="1"/>
              <w:numId w:val="0"/>
            </w:numPr>
            <w:spacing w:before="312" w:beforeLines="100" w:after="312" w:afterLines="100"/>
          </w:pPr>
          <w:r>
            <w:rPr>
              <w:rFonts w:hint="eastAsia"/>
            </w:rPr>
            <w:t>5.3.2种子处理</w:t>
          </w:r>
        </w:p>
        <w:p>
          <w:pPr>
            <w:spacing w:line="440" w:lineRule="exact"/>
            <w:ind w:firstLine="420" w:firstLineChars="200"/>
            <w:rPr>
              <w:rFonts w:ascii="宋体" w:hAnsi="宋体"/>
              <w:szCs w:val="21"/>
            </w:rPr>
          </w:pPr>
          <w:r>
            <w:rPr>
              <w:rFonts w:hint="eastAsia" w:ascii="宋体" w:hAnsi="宋体"/>
              <w:szCs w:val="21"/>
            </w:rPr>
            <w:t>用谷子种子专用包衣剂拌种处理，种衣剂符合NY621的规定。</w:t>
          </w:r>
        </w:p>
        <w:p>
          <w:pPr>
            <w:pStyle w:val="234"/>
            <w:numPr>
              <w:ilvl w:val="0"/>
              <w:numId w:val="0"/>
            </w:numPr>
            <w:spacing w:before="312" w:after="312"/>
            <w:rPr>
              <w:rFonts w:ascii="Times New Roman"/>
            </w:rPr>
          </w:pPr>
          <w:r>
            <w:rPr>
              <w:rFonts w:hint="eastAsia" w:ascii="Times New Roman"/>
            </w:rPr>
            <w:t>6  播种</w:t>
          </w:r>
        </w:p>
        <w:p>
          <w:pPr>
            <w:pStyle w:val="236"/>
            <w:numPr>
              <w:ilvl w:val="1"/>
              <w:numId w:val="0"/>
            </w:numPr>
            <w:spacing w:before="312" w:beforeLines="100" w:after="312" w:afterLines="100"/>
          </w:pPr>
          <w:r>
            <w:rPr>
              <w:rFonts w:hint="eastAsia"/>
            </w:rPr>
            <w:t>6.1播期</w:t>
          </w:r>
        </w:p>
        <w:p>
          <w:pPr>
            <w:spacing w:line="440" w:lineRule="exact"/>
            <w:ind w:firstLine="420" w:firstLineChars="200"/>
            <w:rPr>
              <w:rFonts w:ascii="宋体" w:hAnsi="宋体"/>
              <w:szCs w:val="21"/>
            </w:rPr>
          </w:pPr>
          <w:r>
            <w:rPr>
              <w:rFonts w:hint="eastAsia" w:ascii="宋体" w:hAnsi="宋体"/>
              <w:szCs w:val="21"/>
            </w:rPr>
            <w:t>赤峰地区在4月下旬到5月上中旬，0 cm～10 cm地温稳定在8 ℃以上时播种。</w:t>
          </w:r>
        </w:p>
        <w:p>
          <w:pPr>
            <w:pStyle w:val="236"/>
            <w:numPr>
              <w:ilvl w:val="1"/>
              <w:numId w:val="0"/>
            </w:numPr>
            <w:spacing w:before="312" w:beforeLines="100" w:after="312" w:afterLines="100"/>
          </w:pPr>
          <w:r>
            <w:rPr>
              <w:rFonts w:hint="eastAsia"/>
            </w:rPr>
            <w:t>6.2播量</w:t>
          </w:r>
        </w:p>
        <w:p>
          <w:pPr>
            <w:pStyle w:val="235"/>
            <w:topLinePunct/>
            <w:rPr>
              <w:rFonts w:hAnsi="宋体"/>
              <w:kern w:val="2"/>
              <w:szCs w:val="21"/>
            </w:rPr>
          </w:pPr>
          <w:r>
            <w:rPr>
              <w:rFonts w:hint="eastAsia" w:hAnsi="宋体"/>
              <w:kern w:val="2"/>
              <w:szCs w:val="21"/>
            </w:rPr>
            <w:t>精量播种量为0.150 kg/667 m</w:t>
          </w:r>
          <w:r>
            <w:rPr>
              <w:rFonts w:hint="eastAsia" w:hAnsi="宋体"/>
              <w:kern w:val="2"/>
              <w:szCs w:val="21"/>
              <w:vertAlign w:val="superscript"/>
            </w:rPr>
            <w:t>2</w:t>
          </w:r>
          <w:r>
            <w:rPr>
              <w:rFonts w:hint="eastAsia" w:hAnsi="宋体"/>
              <w:kern w:val="2"/>
              <w:szCs w:val="21"/>
            </w:rPr>
            <w:t>～0.200 kg/667 m</w:t>
          </w:r>
          <w:r>
            <w:rPr>
              <w:rFonts w:hint="eastAsia" w:hAnsi="宋体"/>
              <w:kern w:val="2"/>
              <w:szCs w:val="21"/>
              <w:vertAlign w:val="superscript"/>
            </w:rPr>
            <w:t>2</w:t>
          </w:r>
          <w:r>
            <w:rPr>
              <w:rFonts w:hint="eastAsia" w:hAnsi="宋体"/>
              <w:kern w:val="2"/>
              <w:szCs w:val="21"/>
            </w:rPr>
            <w:t>。保苗2.5万株/667 m</w:t>
          </w:r>
          <w:r>
            <w:rPr>
              <w:rFonts w:hint="eastAsia" w:hAnsi="宋体"/>
              <w:kern w:val="2"/>
              <w:szCs w:val="21"/>
              <w:vertAlign w:val="superscript"/>
            </w:rPr>
            <w:t>2</w:t>
          </w:r>
          <w:r>
            <w:rPr>
              <w:rFonts w:hint="eastAsia" w:hAnsi="宋体"/>
              <w:kern w:val="2"/>
              <w:szCs w:val="21"/>
            </w:rPr>
            <w:t>～3.0万株/667 m</w:t>
          </w:r>
          <w:r>
            <w:rPr>
              <w:rFonts w:hint="eastAsia" w:hAnsi="宋体"/>
              <w:kern w:val="2"/>
              <w:szCs w:val="21"/>
              <w:vertAlign w:val="superscript"/>
            </w:rPr>
            <w:t>2</w:t>
          </w:r>
          <w:r>
            <w:rPr>
              <w:rFonts w:hint="eastAsia" w:hAnsi="宋体"/>
              <w:kern w:val="2"/>
              <w:szCs w:val="21"/>
            </w:rPr>
            <w:t>。</w:t>
          </w:r>
        </w:p>
        <w:p>
          <w:pPr>
            <w:pStyle w:val="236"/>
            <w:numPr>
              <w:ilvl w:val="1"/>
              <w:numId w:val="0"/>
            </w:numPr>
            <w:spacing w:before="312" w:beforeLines="100" w:after="312" w:afterLines="100"/>
          </w:pPr>
          <w:r>
            <w:rPr>
              <w:rFonts w:hint="eastAsia"/>
            </w:rPr>
            <w:t>6.3播种方法</w:t>
          </w:r>
        </w:p>
        <w:p>
          <w:pPr>
            <w:pStyle w:val="235"/>
            <w:topLinePunct/>
            <w:rPr>
              <w:rFonts w:hAnsi="宋体"/>
              <w:kern w:val="2"/>
              <w:szCs w:val="21"/>
            </w:rPr>
          </w:pPr>
          <w:r>
            <w:rPr>
              <w:rFonts w:hint="eastAsia" w:hAnsi="宋体"/>
              <w:kern w:val="2"/>
              <w:szCs w:val="21"/>
            </w:rPr>
            <w:t>播种方法采用条播或穴播，条播行距45 cm～50 cm，穴播采用宽窄行，播种行行距40 cm，宽行行距70 cm。播种深度根据土壤墒情确定，一般3 cm～5 cm。</w:t>
          </w:r>
        </w:p>
        <w:p>
          <w:pPr>
            <w:pStyle w:val="234"/>
            <w:numPr>
              <w:ilvl w:val="0"/>
              <w:numId w:val="0"/>
            </w:numPr>
            <w:spacing w:before="312" w:after="312"/>
            <w:rPr>
              <w:rFonts w:ascii="宋体" w:hAnsi="宋体" w:eastAsia="宋体"/>
              <w:kern w:val="2"/>
              <w:szCs w:val="21"/>
            </w:rPr>
          </w:pPr>
          <w:r>
            <w:rPr>
              <w:rFonts w:hint="eastAsia" w:ascii="Times New Roman"/>
            </w:rPr>
            <w:t>7  施肥</w:t>
          </w:r>
        </w:p>
        <w:p>
          <w:pPr>
            <w:spacing w:line="440" w:lineRule="exact"/>
            <w:ind w:firstLine="420" w:firstLineChars="200"/>
            <w:rPr>
              <w:rFonts w:hAnsi="宋体"/>
            </w:rPr>
          </w:pPr>
          <w:r>
            <w:rPr>
              <w:rFonts w:hint="eastAsia" w:ascii="宋体" w:hAnsi="宋体"/>
              <w:szCs w:val="20"/>
            </w:rPr>
            <w:t xml:space="preserve">随整地施腐熟农家肥，均匀撒施地面，用量22500 </w:t>
          </w:r>
          <w:r>
            <w:rPr>
              <w:rFonts w:ascii="宋体" w:hAnsi="宋体"/>
              <w:szCs w:val="20"/>
            </w:rPr>
            <w:t>kg/hm</w:t>
          </w:r>
          <w:r>
            <w:rPr>
              <w:rFonts w:ascii="宋体" w:hAnsi="宋体"/>
              <w:szCs w:val="20"/>
              <w:vertAlign w:val="superscript"/>
            </w:rPr>
            <w:t>2</w:t>
          </w:r>
          <w:r>
            <w:rPr>
              <w:rFonts w:hint="eastAsia" w:ascii="宋体" w:hAnsi="宋体"/>
              <w:szCs w:val="20"/>
            </w:rPr>
            <w:t xml:space="preserve">～30000 </w:t>
          </w:r>
          <w:r>
            <w:rPr>
              <w:rFonts w:ascii="宋体" w:hAnsi="宋体"/>
              <w:szCs w:val="20"/>
            </w:rPr>
            <w:t>kg/hm</w:t>
          </w:r>
          <w:r>
            <w:rPr>
              <w:rFonts w:ascii="宋体" w:hAnsi="宋体"/>
              <w:szCs w:val="20"/>
              <w:vertAlign w:val="superscript"/>
            </w:rPr>
            <w:t>2</w:t>
          </w:r>
          <w:r>
            <w:rPr>
              <w:rFonts w:hint="eastAsia" w:ascii="宋体" w:hAnsi="宋体"/>
              <w:szCs w:val="20"/>
            </w:rPr>
            <w:t>。</w:t>
          </w:r>
          <w:r>
            <w:rPr>
              <w:rFonts w:ascii="宋体" w:hAnsi="宋体"/>
              <w:szCs w:val="20"/>
            </w:rPr>
            <w:t>播种时</w:t>
          </w:r>
          <w:r>
            <w:rPr>
              <w:rFonts w:hint="eastAsia" w:ascii="宋体" w:hAnsi="宋体"/>
              <w:szCs w:val="20"/>
            </w:rPr>
            <w:t xml:space="preserve">施入长效缓控释肥375 </w:t>
          </w:r>
          <w:r>
            <w:rPr>
              <w:rFonts w:ascii="宋体" w:hAnsi="宋体"/>
              <w:szCs w:val="20"/>
            </w:rPr>
            <w:t>kg/hm</w:t>
          </w:r>
          <w:r>
            <w:rPr>
              <w:rFonts w:ascii="宋体" w:hAnsi="宋体"/>
              <w:szCs w:val="20"/>
              <w:vertAlign w:val="superscript"/>
            </w:rPr>
            <w:t>2</w:t>
          </w:r>
          <w:r>
            <w:rPr>
              <w:rFonts w:hint="eastAsia" w:ascii="宋体" w:hAnsi="宋体"/>
              <w:szCs w:val="20"/>
            </w:rPr>
            <w:t>（N+P</w:t>
          </w:r>
          <w:r>
            <w:rPr>
              <w:rFonts w:hint="eastAsia" w:ascii="宋体" w:hAnsi="宋体"/>
              <w:szCs w:val="20"/>
              <w:vertAlign w:val="subscript"/>
            </w:rPr>
            <w:t>2</w:t>
          </w:r>
          <w:r>
            <w:rPr>
              <w:rFonts w:hint="eastAsia" w:ascii="宋体" w:hAnsi="宋体"/>
              <w:szCs w:val="20"/>
            </w:rPr>
            <w:t>O</w:t>
          </w:r>
          <w:r>
            <w:rPr>
              <w:rFonts w:hint="eastAsia" w:ascii="宋体" w:hAnsi="宋体"/>
              <w:szCs w:val="20"/>
              <w:vertAlign w:val="subscript"/>
            </w:rPr>
            <w:t>5</w:t>
          </w:r>
          <w:r>
            <w:rPr>
              <w:rFonts w:hint="eastAsia" w:ascii="宋体" w:hAnsi="宋体"/>
              <w:szCs w:val="20"/>
            </w:rPr>
            <w:t>+K</w:t>
          </w:r>
          <w:r>
            <w:rPr>
              <w:rFonts w:hint="eastAsia" w:ascii="宋体" w:hAnsi="宋体"/>
              <w:szCs w:val="20"/>
              <w:vertAlign w:val="subscript"/>
            </w:rPr>
            <w:t>2</w:t>
          </w:r>
          <w:r>
            <w:rPr>
              <w:rFonts w:hint="eastAsia" w:ascii="宋体" w:hAnsi="宋体"/>
              <w:szCs w:val="20"/>
            </w:rPr>
            <w:t>O</w:t>
          </w:r>
          <w:r>
            <w:rPr>
              <w:rFonts w:ascii="Arial" w:hAnsi="Arial" w:cs="Arial"/>
              <w:szCs w:val="20"/>
            </w:rPr>
            <w:t>≥</w:t>
          </w:r>
          <w:r>
            <w:rPr>
              <w:rFonts w:hint="eastAsia" w:ascii="宋体" w:hAnsi="宋体"/>
              <w:szCs w:val="20"/>
            </w:rPr>
            <w:t>18+18+18）。</w:t>
          </w:r>
          <w:r>
            <w:rPr>
              <w:rFonts w:ascii="宋体" w:hAnsi="宋体"/>
              <w:szCs w:val="20"/>
            </w:rPr>
            <w:t>肥料参照NY/T</w:t>
          </w:r>
          <w:r>
            <w:rPr>
              <w:rFonts w:hint="eastAsia" w:ascii="宋体" w:hAnsi="宋体"/>
              <w:szCs w:val="20"/>
            </w:rPr>
            <w:t xml:space="preserve"> </w:t>
          </w:r>
          <w:r>
            <w:rPr>
              <w:rFonts w:ascii="宋体" w:hAnsi="宋体"/>
              <w:szCs w:val="20"/>
            </w:rPr>
            <w:t>496要求</w:t>
          </w:r>
          <w:r>
            <w:rPr>
              <w:rFonts w:hint="eastAsia" w:ascii="宋体" w:hAnsi="宋体"/>
              <w:szCs w:val="20"/>
            </w:rPr>
            <w:t>。</w:t>
          </w:r>
        </w:p>
        <w:p>
          <w:pPr>
            <w:pStyle w:val="234"/>
            <w:numPr>
              <w:ilvl w:val="0"/>
              <w:numId w:val="0"/>
            </w:numPr>
            <w:spacing w:before="312" w:after="312"/>
            <w:rPr>
              <w:rFonts w:ascii="Times New Roman"/>
            </w:rPr>
          </w:pPr>
          <w:r>
            <w:rPr>
              <w:rFonts w:hint="eastAsia" w:ascii="Times New Roman"/>
            </w:rPr>
            <w:t>8  田间管理</w:t>
          </w:r>
        </w:p>
        <w:p>
          <w:pPr>
            <w:pStyle w:val="236"/>
            <w:numPr>
              <w:ilvl w:val="1"/>
              <w:numId w:val="0"/>
            </w:numPr>
            <w:spacing w:before="312" w:beforeLines="100" w:after="312" w:afterLines="100"/>
          </w:pPr>
          <w:bookmarkStart w:id="36" w:name="_Toc518744171"/>
          <w:bookmarkStart w:id="37" w:name="_Toc531164011"/>
          <w:bookmarkStart w:id="38" w:name="_Toc518743673"/>
          <w:bookmarkStart w:id="39" w:name="_Toc518743875"/>
          <w:bookmarkStart w:id="40" w:name="_Toc532199274"/>
          <w:bookmarkStart w:id="41" w:name="_Toc518743916"/>
          <w:bookmarkStart w:id="42" w:name="_Toc518743800"/>
          <w:bookmarkStart w:id="43" w:name="_Toc518744066"/>
          <w:bookmarkStart w:id="44" w:name="_Toc518744137"/>
          <w:bookmarkStart w:id="45" w:name="_Toc518744205"/>
          <w:bookmarkStart w:id="46" w:name="_Toc518743757"/>
          <w:r>
            <w:rPr>
              <w:rFonts w:hint="eastAsia"/>
            </w:rPr>
            <w:t>8.1中耕除草</w:t>
          </w:r>
          <w:bookmarkEnd w:id="36"/>
          <w:bookmarkEnd w:id="37"/>
          <w:bookmarkEnd w:id="38"/>
          <w:bookmarkEnd w:id="39"/>
          <w:bookmarkEnd w:id="40"/>
          <w:bookmarkEnd w:id="41"/>
          <w:bookmarkEnd w:id="42"/>
          <w:bookmarkEnd w:id="43"/>
          <w:bookmarkEnd w:id="44"/>
          <w:bookmarkEnd w:id="45"/>
          <w:bookmarkEnd w:id="46"/>
        </w:p>
        <w:p>
          <w:pPr>
            <w:spacing w:line="440" w:lineRule="exact"/>
            <w:ind w:firstLine="420" w:firstLineChars="200"/>
            <w:rPr>
              <w:rFonts w:ascii="宋体" w:hAnsi="宋体"/>
              <w:szCs w:val="21"/>
            </w:rPr>
          </w:pPr>
          <w:r>
            <w:rPr>
              <w:rFonts w:hint="eastAsia" w:ascii="宋体" w:hAnsi="宋体"/>
              <w:szCs w:val="21"/>
            </w:rPr>
            <w:t>当谷苗长到3～5叶茎叶喷施专用除草剂，防治田间禾本科和阔叶杂草。6～7叶期定苗，进行第一次浅中耕。拔节后，进行第二次深中耕。</w:t>
          </w:r>
        </w:p>
        <w:p>
          <w:pPr>
            <w:pStyle w:val="234"/>
            <w:numPr>
              <w:ilvl w:val="0"/>
              <w:numId w:val="0"/>
            </w:numPr>
            <w:spacing w:before="312" w:after="312"/>
            <w:rPr>
              <w:rFonts w:ascii="Times New Roman"/>
            </w:rPr>
          </w:pPr>
          <w:r>
            <w:rPr>
              <w:rFonts w:hint="eastAsia" w:ascii="Times New Roman"/>
            </w:rPr>
            <w:t>9  病虫草害防治</w:t>
          </w:r>
        </w:p>
        <w:p>
          <w:pPr>
            <w:spacing w:line="440" w:lineRule="exact"/>
            <w:ind w:firstLine="420" w:firstLineChars="200"/>
            <w:rPr>
              <w:rFonts w:ascii="宋体" w:hAnsi="宋体"/>
              <w:szCs w:val="21"/>
            </w:rPr>
          </w:pPr>
          <w:r>
            <w:rPr>
              <w:rFonts w:hint="eastAsia" w:ascii="宋体" w:hAnsi="宋体"/>
              <w:szCs w:val="21"/>
            </w:rPr>
            <w:t>以下病虫害防治所使农药均符合NY/T 1276 、GB/T 8321。</w:t>
          </w:r>
        </w:p>
        <w:p>
          <w:pPr>
            <w:pStyle w:val="236"/>
            <w:numPr>
              <w:ilvl w:val="1"/>
              <w:numId w:val="0"/>
            </w:numPr>
            <w:spacing w:before="312" w:beforeLines="100" w:after="312" w:afterLines="100"/>
          </w:pPr>
          <w:bookmarkStart w:id="47" w:name="_Toc518743804"/>
          <w:bookmarkStart w:id="48" w:name="_Toc518744175"/>
          <w:bookmarkStart w:id="49" w:name="_Toc518744070"/>
          <w:bookmarkStart w:id="50" w:name="_Toc518743920"/>
          <w:bookmarkStart w:id="51" w:name="_Toc518744141"/>
          <w:bookmarkStart w:id="52" w:name="_Toc531164015"/>
          <w:bookmarkStart w:id="53" w:name="_Toc518743879"/>
          <w:bookmarkStart w:id="54" w:name="_Toc518743761"/>
          <w:bookmarkStart w:id="55" w:name="_Toc532199278"/>
          <w:bookmarkStart w:id="56" w:name="_Toc518744209"/>
          <w:bookmarkStart w:id="57" w:name="_Toc518743677"/>
          <w:r>
            <w:rPr>
              <w:rFonts w:hint="eastAsia"/>
            </w:rPr>
            <w:t>9.1白发病</w:t>
          </w:r>
          <w:bookmarkEnd w:id="47"/>
          <w:bookmarkEnd w:id="48"/>
          <w:bookmarkEnd w:id="49"/>
          <w:bookmarkEnd w:id="50"/>
          <w:bookmarkEnd w:id="51"/>
          <w:bookmarkEnd w:id="52"/>
          <w:bookmarkEnd w:id="53"/>
          <w:bookmarkEnd w:id="54"/>
          <w:bookmarkEnd w:id="55"/>
          <w:bookmarkEnd w:id="56"/>
          <w:bookmarkEnd w:id="57"/>
        </w:p>
        <w:p>
          <w:pPr>
            <w:pStyle w:val="235"/>
            <w:topLinePunct/>
            <w:rPr>
              <w:rFonts w:hAnsi="宋体"/>
              <w:kern w:val="2"/>
              <w:szCs w:val="21"/>
            </w:rPr>
          </w:pPr>
          <w:r>
            <w:rPr>
              <w:rFonts w:hint="eastAsia" w:hAnsi="宋体"/>
              <w:kern w:val="2"/>
              <w:szCs w:val="21"/>
            </w:rPr>
            <w:t>播种前用25%的三唑酮可湿性粉剂，按种子量的0.2 %～0.3 %拌种（每667m</w:t>
          </w:r>
          <w:r>
            <w:rPr>
              <w:rFonts w:hint="eastAsia" w:hAnsi="宋体"/>
              <w:kern w:val="2"/>
              <w:szCs w:val="21"/>
              <w:vertAlign w:val="superscript"/>
            </w:rPr>
            <w:t>2</w:t>
          </w:r>
          <w:r>
            <w:rPr>
              <w:rFonts w:hint="eastAsia" w:hAnsi="宋体"/>
              <w:kern w:val="2"/>
              <w:szCs w:val="21"/>
            </w:rPr>
            <w:t>），防治白发病。</w:t>
          </w:r>
        </w:p>
        <w:p>
          <w:pPr>
            <w:pStyle w:val="236"/>
            <w:numPr>
              <w:ilvl w:val="1"/>
              <w:numId w:val="0"/>
            </w:numPr>
            <w:spacing w:before="312" w:beforeLines="100" w:after="312" w:afterLines="100"/>
          </w:pPr>
          <w:bookmarkStart w:id="58" w:name="_Toc532199279"/>
          <w:r>
            <w:rPr>
              <w:rFonts w:hint="eastAsia"/>
            </w:rPr>
            <w:t>9.2</w:t>
          </w:r>
          <w:bookmarkEnd w:id="58"/>
          <w:r>
            <w:rPr>
              <w:rFonts w:hint="eastAsia"/>
            </w:rPr>
            <w:t>线虫病</w:t>
          </w:r>
        </w:p>
        <w:p>
          <w:pPr>
            <w:pStyle w:val="235"/>
            <w:topLinePunct/>
            <w:rPr>
              <w:rFonts w:hAnsi="宋体"/>
              <w:kern w:val="2"/>
              <w:szCs w:val="21"/>
            </w:rPr>
          </w:pPr>
          <w:r>
            <w:rPr>
              <w:rFonts w:hint="eastAsia" w:hAnsi="宋体"/>
              <w:kern w:val="2"/>
              <w:szCs w:val="21"/>
            </w:rPr>
            <w:t>播种前用40 %的辛硫磷乳油，按种子量的0.3 %拌种（每667 m</w:t>
          </w:r>
          <w:r>
            <w:rPr>
              <w:rFonts w:hint="eastAsia" w:hAnsi="宋体"/>
              <w:kern w:val="2"/>
              <w:szCs w:val="21"/>
              <w:vertAlign w:val="superscript"/>
            </w:rPr>
            <w:t>2</w:t>
          </w:r>
          <w:r>
            <w:rPr>
              <w:rFonts w:hint="eastAsia" w:hAnsi="宋体"/>
              <w:kern w:val="2"/>
              <w:szCs w:val="21"/>
            </w:rPr>
            <w:t>），防治线虫病。</w:t>
          </w:r>
        </w:p>
        <w:p>
          <w:pPr>
            <w:pStyle w:val="236"/>
            <w:numPr>
              <w:ilvl w:val="1"/>
              <w:numId w:val="0"/>
            </w:numPr>
            <w:spacing w:before="312" w:beforeLines="100" w:after="312" w:afterLines="100"/>
          </w:pPr>
          <w:r>
            <w:rPr>
              <w:rFonts w:hint="eastAsia"/>
            </w:rPr>
            <w:t>9.3谷瘟病</w:t>
          </w:r>
        </w:p>
        <w:p>
          <w:pPr>
            <w:pStyle w:val="235"/>
            <w:topLinePunct/>
            <w:rPr>
              <w:rFonts w:hAnsi="宋体"/>
              <w:kern w:val="2"/>
              <w:szCs w:val="21"/>
            </w:rPr>
          </w:pPr>
          <w:r>
            <w:rPr>
              <w:rFonts w:hint="eastAsia" w:hAnsi="宋体"/>
              <w:kern w:val="2"/>
              <w:szCs w:val="21"/>
            </w:rPr>
            <w:t>在田间初见叶瘟病斑时，用70 %代森锰锌可湿性粉剂500倍液或40 %克瘟散乳油500～800倍液或6 %春雷霉素可湿性粉剂1000倍液喷雾。若病情发展较快抽穗后可再针对穗部喷一次防治穗瘟。</w:t>
          </w:r>
        </w:p>
        <w:p>
          <w:pPr>
            <w:pStyle w:val="236"/>
            <w:numPr>
              <w:ilvl w:val="1"/>
              <w:numId w:val="0"/>
            </w:numPr>
            <w:spacing w:before="312" w:beforeLines="100" w:after="312" w:afterLines="100"/>
          </w:pPr>
          <w:bookmarkStart w:id="59" w:name="_Toc531164016"/>
          <w:bookmarkStart w:id="60" w:name="_Toc532199280"/>
          <w:r>
            <w:rPr>
              <w:rFonts w:hint="eastAsia"/>
            </w:rPr>
            <w:t>9.</w:t>
          </w:r>
          <w:bookmarkEnd w:id="59"/>
          <w:bookmarkEnd w:id="60"/>
          <w:bookmarkStart w:id="61" w:name="_Toc532199281"/>
          <w:bookmarkStart w:id="62" w:name="_Toc518744211"/>
          <w:bookmarkStart w:id="63" w:name="_Toc518743679"/>
          <w:bookmarkStart w:id="64" w:name="_Toc518743763"/>
          <w:bookmarkStart w:id="65" w:name="_Toc518744177"/>
          <w:bookmarkStart w:id="66" w:name="_Toc518743806"/>
          <w:bookmarkStart w:id="67" w:name="_Toc518744143"/>
          <w:bookmarkStart w:id="68" w:name="_Toc518744072"/>
          <w:bookmarkStart w:id="69" w:name="_Toc518743922"/>
          <w:bookmarkStart w:id="70" w:name="_Toc531164017"/>
          <w:bookmarkStart w:id="71" w:name="_Toc518743881"/>
          <w:r>
            <w:rPr>
              <w:rFonts w:hint="eastAsia"/>
            </w:rPr>
            <w:t>4粟叶甲</w:t>
          </w:r>
          <w:bookmarkEnd w:id="61"/>
          <w:bookmarkEnd w:id="62"/>
          <w:bookmarkEnd w:id="63"/>
          <w:bookmarkEnd w:id="64"/>
          <w:bookmarkEnd w:id="65"/>
          <w:bookmarkEnd w:id="66"/>
          <w:bookmarkEnd w:id="67"/>
          <w:bookmarkEnd w:id="68"/>
          <w:bookmarkEnd w:id="69"/>
          <w:bookmarkEnd w:id="70"/>
          <w:bookmarkEnd w:id="71"/>
        </w:p>
        <w:p>
          <w:pPr>
            <w:pStyle w:val="235"/>
            <w:topLinePunct/>
            <w:rPr>
              <w:rFonts w:hAnsi="宋体"/>
              <w:kern w:val="2"/>
              <w:szCs w:val="21"/>
            </w:rPr>
          </w:pPr>
          <w:r>
            <w:rPr>
              <w:rFonts w:hint="eastAsia" w:hAnsi="宋体"/>
              <w:kern w:val="2"/>
              <w:szCs w:val="21"/>
            </w:rPr>
            <w:t>谷苗4叶～5叶期，及时选用42 %啶虫﹒哒螨灵可湿性粉剂，每亩40 g～60 g常规喷雾防治，消灭越冬代成虫兼治幼虫。视虫情情况，7 d～10 d防治一次，喷施2次～3次。</w:t>
          </w:r>
        </w:p>
        <w:p>
          <w:pPr>
            <w:pStyle w:val="234"/>
            <w:numPr>
              <w:ilvl w:val="0"/>
              <w:numId w:val="0"/>
            </w:numPr>
            <w:spacing w:before="312" w:after="312"/>
            <w:rPr>
              <w:rFonts w:ascii="Times New Roman"/>
            </w:rPr>
          </w:pPr>
          <w:bookmarkStart w:id="72" w:name="_Toc518743924"/>
          <w:bookmarkStart w:id="73" w:name="_Toc518744179"/>
          <w:bookmarkStart w:id="74" w:name="_Toc518744145"/>
          <w:bookmarkStart w:id="75" w:name="_Toc456880961"/>
          <w:bookmarkStart w:id="76" w:name="_Toc518743765"/>
          <w:bookmarkStart w:id="77" w:name="_Toc518743681"/>
          <w:bookmarkStart w:id="78" w:name="_Toc456880871"/>
          <w:bookmarkStart w:id="79" w:name="_Toc518744074"/>
          <w:bookmarkStart w:id="80" w:name="_Toc532199283"/>
          <w:bookmarkStart w:id="81" w:name="_Toc518743883"/>
          <w:bookmarkStart w:id="82" w:name="_Toc438022508"/>
          <w:bookmarkStart w:id="83" w:name="_Toc531164019"/>
          <w:bookmarkStart w:id="84" w:name="_Toc518744213"/>
          <w:bookmarkStart w:id="85" w:name="_Toc518743808"/>
          <w:bookmarkStart w:id="86" w:name="_Toc438022356"/>
          <w:r>
            <w:rPr>
              <w:rFonts w:hint="eastAsia" w:ascii="Times New Roman"/>
            </w:rPr>
            <w:t>10  收获与贮藏</w:t>
          </w:r>
          <w:bookmarkEnd w:id="72"/>
          <w:bookmarkEnd w:id="73"/>
          <w:bookmarkEnd w:id="74"/>
          <w:bookmarkEnd w:id="75"/>
          <w:bookmarkEnd w:id="76"/>
          <w:bookmarkEnd w:id="77"/>
          <w:bookmarkEnd w:id="78"/>
          <w:bookmarkEnd w:id="79"/>
          <w:bookmarkEnd w:id="80"/>
          <w:bookmarkEnd w:id="81"/>
          <w:bookmarkEnd w:id="82"/>
          <w:bookmarkEnd w:id="83"/>
          <w:bookmarkEnd w:id="84"/>
          <w:bookmarkEnd w:id="85"/>
        </w:p>
        <w:p>
          <w:pPr>
            <w:pStyle w:val="236"/>
            <w:numPr>
              <w:ilvl w:val="1"/>
              <w:numId w:val="0"/>
            </w:numPr>
            <w:spacing w:before="312" w:beforeLines="100" w:after="312" w:afterLines="100"/>
          </w:pPr>
          <w:bookmarkStart w:id="87" w:name="_Toc518744075"/>
          <w:bookmarkStart w:id="88" w:name="_Toc518743809"/>
          <w:bookmarkStart w:id="89" w:name="_Toc518744214"/>
          <w:bookmarkStart w:id="90" w:name="_Toc518743682"/>
          <w:bookmarkStart w:id="91" w:name="_Toc518743884"/>
          <w:bookmarkStart w:id="92" w:name="_Toc518743925"/>
          <w:bookmarkStart w:id="93" w:name="_Toc532199284"/>
          <w:bookmarkStart w:id="94" w:name="_Toc518744180"/>
          <w:bookmarkStart w:id="95" w:name="_Toc531164020"/>
          <w:bookmarkStart w:id="96" w:name="_Toc518743766"/>
          <w:bookmarkStart w:id="97" w:name="_Toc518744146"/>
          <w:r>
            <w:rPr>
              <w:rFonts w:hint="eastAsia"/>
            </w:rPr>
            <w:t>10.1收获</w:t>
          </w:r>
          <w:bookmarkEnd w:id="86"/>
          <w:bookmarkEnd w:id="87"/>
          <w:bookmarkEnd w:id="88"/>
          <w:bookmarkEnd w:id="89"/>
          <w:bookmarkEnd w:id="90"/>
          <w:bookmarkEnd w:id="91"/>
          <w:bookmarkEnd w:id="92"/>
          <w:bookmarkEnd w:id="93"/>
          <w:bookmarkEnd w:id="94"/>
          <w:bookmarkEnd w:id="95"/>
          <w:bookmarkEnd w:id="96"/>
          <w:bookmarkEnd w:id="97"/>
        </w:p>
        <w:p>
          <w:pPr>
            <w:pStyle w:val="235"/>
            <w:topLinePunct/>
            <w:rPr>
              <w:rFonts w:hAnsi="宋体" w:eastAsia="仿宋_GB2312" w:cs="仿宋_GB2312"/>
              <w:spacing w:val="6"/>
              <w:kern w:val="2"/>
              <w:sz w:val="24"/>
              <w:szCs w:val="24"/>
            </w:rPr>
          </w:pPr>
          <w:bookmarkStart w:id="98" w:name="_Toc518743885"/>
          <w:bookmarkStart w:id="99" w:name="_Toc518744181"/>
          <w:bookmarkStart w:id="100" w:name="_Toc518744147"/>
          <w:bookmarkStart w:id="101" w:name="_Toc518744076"/>
          <w:bookmarkStart w:id="102" w:name="_Toc518743767"/>
          <w:bookmarkStart w:id="103" w:name="_Toc518743926"/>
          <w:bookmarkStart w:id="104" w:name="_Toc438022357"/>
          <w:bookmarkStart w:id="105" w:name="_Toc518744215"/>
          <w:bookmarkStart w:id="106" w:name="_Toc518743683"/>
          <w:bookmarkStart w:id="107" w:name="_Toc518743810"/>
          <w:r>
            <w:rPr>
              <w:rFonts w:hint="eastAsia" w:hAnsi="宋体"/>
              <w:kern w:val="2"/>
              <w:szCs w:val="21"/>
            </w:rPr>
            <w:t>籽粒应于蜡熟期及时收割，收割后要束捆置于田间或通风处，干燥后脱粒。</w:t>
          </w:r>
        </w:p>
        <w:bookmarkEnd w:id="98"/>
        <w:bookmarkEnd w:id="99"/>
        <w:bookmarkEnd w:id="100"/>
        <w:bookmarkEnd w:id="101"/>
        <w:bookmarkEnd w:id="102"/>
        <w:bookmarkEnd w:id="103"/>
        <w:bookmarkEnd w:id="104"/>
        <w:bookmarkEnd w:id="105"/>
        <w:bookmarkEnd w:id="106"/>
        <w:bookmarkEnd w:id="107"/>
        <w:p>
          <w:pPr>
            <w:pStyle w:val="236"/>
            <w:numPr>
              <w:ilvl w:val="1"/>
              <w:numId w:val="0"/>
            </w:numPr>
            <w:spacing w:before="312" w:beforeLines="100" w:after="312" w:afterLines="100"/>
            <w:rPr>
              <w:rFonts w:ascii="Times New Roman"/>
            </w:rPr>
          </w:pPr>
          <w:bookmarkStart w:id="108" w:name="_Toc518744182"/>
          <w:bookmarkStart w:id="109" w:name="_Toc518743684"/>
          <w:bookmarkStart w:id="110" w:name="_Toc518743886"/>
          <w:bookmarkStart w:id="111" w:name="_Toc518743927"/>
          <w:bookmarkStart w:id="112" w:name="_Toc518743768"/>
          <w:bookmarkStart w:id="113" w:name="_Toc518744148"/>
          <w:bookmarkStart w:id="114" w:name="_Toc438022358"/>
          <w:bookmarkStart w:id="115" w:name="_Toc531164021"/>
          <w:bookmarkStart w:id="116" w:name="_Toc518743811"/>
          <w:bookmarkStart w:id="117" w:name="_Toc518744077"/>
          <w:bookmarkStart w:id="118" w:name="_Toc518744216"/>
          <w:bookmarkStart w:id="119" w:name="_Toc532199285"/>
          <w:r>
            <w:rPr>
              <w:rFonts w:hint="eastAsia"/>
            </w:rPr>
            <w:t>10.2</w:t>
          </w:r>
          <w:bookmarkEnd w:id="108"/>
          <w:bookmarkEnd w:id="109"/>
          <w:bookmarkEnd w:id="110"/>
          <w:bookmarkEnd w:id="111"/>
          <w:bookmarkEnd w:id="112"/>
          <w:bookmarkEnd w:id="113"/>
          <w:bookmarkEnd w:id="114"/>
          <w:bookmarkEnd w:id="115"/>
          <w:bookmarkEnd w:id="116"/>
          <w:bookmarkEnd w:id="117"/>
          <w:bookmarkEnd w:id="118"/>
          <w:bookmarkEnd w:id="119"/>
          <w:r>
            <w:rPr>
              <w:rFonts w:ascii="Times New Roman"/>
            </w:rPr>
            <w:t>晾晒与贮藏</w:t>
          </w:r>
        </w:p>
        <w:p>
          <w:pPr>
            <w:pStyle w:val="235"/>
            <w:rPr>
              <w:rFonts w:hAnsi="宋体"/>
              <w:kern w:val="2"/>
            </w:rPr>
          </w:pPr>
          <w:r>
            <w:rPr>
              <w:rFonts w:hint="eastAsia" w:hAnsi="宋体"/>
              <w:kern w:val="2"/>
            </w:rPr>
            <w:t>籽粒</w:t>
          </w:r>
          <w:r>
            <w:rPr>
              <w:rFonts w:hAnsi="宋体"/>
              <w:kern w:val="2"/>
            </w:rPr>
            <w:t>收获</w:t>
          </w:r>
          <w:r>
            <w:rPr>
              <w:rFonts w:hint="eastAsia" w:hAnsi="宋体"/>
              <w:kern w:val="2"/>
            </w:rPr>
            <w:t>后及时</w:t>
          </w:r>
          <w:r>
            <w:rPr>
              <w:rFonts w:hAnsi="宋体"/>
              <w:kern w:val="2"/>
            </w:rPr>
            <w:t>晾晒</w:t>
          </w:r>
          <w:r>
            <w:rPr>
              <w:rFonts w:hint="eastAsia" w:hAnsi="宋体"/>
              <w:kern w:val="2"/>
            </w:rPr>
            <w:t>清选，</w:t>
          </w:r>
          <w:r>
            <w:rPr>
              <w:rFonts w:hAnsi="宋体"/>
              <w:kern w:val="2"/>
            </w:rPr>
            <w:t>含水量14</w:t>
          </w:r>
          <w:r>
            <w:rPr>
              <w:rFonts w:hint="eastAsia" w:hAnsi="宋体"/>
              <w:kern w:val="2"/>
            </w:rPr>
            <w:t xml:space="preserve"> </w:t>
          </w:r>
          <w:r>
            <w:rPr>
              <w:rFonts w:hAnsi="宋体"/>
              <w:kern w:val="2"/>
            </w:rPr>
            <w:t>%以下时贮藏。</w:t>
          </w:r>
        </w:p>
        <w:p>
          <w:pPr>
            <w:pStyle w:val="235"/>
            <w:rPr>
              <w:rFonts w:hAnsi="宋体"/>
              <w:kern w:val="2"/>
            </w:rPr>
          </w:pPr>
        </w:p>
        <w:p>
          <w:pPr>
            <w:pStyle w:val="234"/>
            <w:numPr>
              <w:ilvl w:val="0"/>
              <w:numId w:val="0"/>
            </w:numPr>
            <w:spacing w:before="312" w:after="312"/>
            <w:rPr>
              <w:rFonts w:ascii="Times New Roman"/>
            </w:rPr>
          </w:pPr>
          <w:r>
            <w:rPr>
              <w:rFonts w:hint="eastAsia" w:ascii="Times New Roman"/>
            </w:rPr>
            <w:t>11  生产记录档案</w:t>
          </w:r>
        </w:p>
        <w:p>
          <w:pPr>
            <w:pStyle w:val="235"/>
          </w:pPr>
          <w:r>
            <w:rPr>
              <w:rFonts w:hint="eastAsia"/>
              <w:color w:val="000000"/>
            </w:rPr>
            <w:t>做好生产过程记录，资料归档保存，</w:t>
          </w:r>
          <w:r>
            <w:rPr>
              <w:rFonts w:hint="eastAsia" w:hAnsi="宋体"/>
              <w:kern w:val="2"/>
              <w:szCs w:val="21"/>
            </w:rPr>
            <w:t>并具有可追溯性。</w:t>
          </w:r>
          <w:bookmarkEnd w:id="26"/>
          <w:bookmarkEnd w:id="21"/>
          <w:bookmarkStart w:id="120" w:name="_GoBack"/>
          <w:bookmarkEnd w:id="120"/>
        </w:p>
      </w:sdtContent>
    </w:sdt>
    <w:sectPr>
      <w:headerReference r:id="rId13" w:type="default"/>
      <w:footerReference r:id="rId14"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roman"/>
    <w:pitch w:val="default"/>
    <w:sig w:usb0="00000000" w:usb1="00000000" w:usb2="00000016" w:usb3="00000000" w:csb0="0004000F" w:csb1="00000000"/>
  </w:font>
  <w:font w:name="等线 Light">
    <w:altName w:val="宋体"/>
    <w:panose1 w:val="02010600030101010101"/>
    <w:charset w:val="86"/>
    <w:family w:val="roman"/>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DB1504/T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DB1504/T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6"/>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397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attachedTemplate r:id="rId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JjMGM1ZmMwYTViNGNkYTY0MzVkNTU4OTZiMTBmMWYifQ=="/>
  </w:docVars>
  <w:rsids>
    <w:rsidRoot w:val="00E92D57"/>
    <w:rsid w:val="0000040A"/>
    <w:rsid w:val="00000A94"/>
    <w:rsid w:val="00001972"/>
    <w:rsid w:val="00001D9A"/>
    <w:rsid w:val="00006E7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29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71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58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5E0"/>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1D9"/>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1C7E"/>
    <w:rsid w:val="00445574"/>
    <w:rsid w:val="004467FB"/>
    <w:rsid w:val="00452D6B"/>
    <w:rsid w:val="00454484"/>
    <w:rsid w:val="0045517B"/>
    <w:rsid w:val="00463B77"/>
    <w:rsid w:val="00463C7B"/>
    <w:rsid w:val="004644A6"/>
    <w:rsid w:val="004659BD"/>
    <w:rsid w:val="00467D00"/>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D2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7E8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DF6"/>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0C6"/>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C11"/>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752"/>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FCF"/>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111"/>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44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8A7"/>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655"/>
    <w:rsid w:val="00B939B1"/>
    <w:rsid w:val="00B96D40"/>
    <w:rsid w:val="00B97386"/>
    <w:rsid w:val="00BA263B"/>
    <w:rsid w:val="00BA42B2"/>
    <w:rsid w:val="00BA58D4"/>
    <w:rsid w:val="00BA5B9E"/>
    <w:rsid w:val="00BA7C9A"/>
    <w:rsid w:val="00BB203B"/>
    <w:rsid w:val="00BB34B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322"/>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E7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E2A"/>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DFE"/>
    <w:rsid w:val="00E846C8"/>
    <w:rsid w:val="00E84957"/>
    <w:rsid w:val="00E84A55"/>
    <w:rsid w:val="00E85BFF"/>
    <w:rsid w:val="00E90391"/>
    <w:rsid w:val="00E906C2"/>
    <w:rsid w:val="00E92D57"/>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62F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DD0"/>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43830"/>
    <w:rsid w:val="05035C62"/>
    <w:rsid w:val="066868C0"/>
    <w:rsid w:val="0BFD1FAB"/>
    <w:rsid w:val="0CFA4CFF"/>
    <w:rsid w:val="15E57F55"/>
    <w:rsid w:val="196229FF"/>
    <w:rsid w:val="1B111B4F"/>
    <w:rsid w:val="1B7F0DE3"/>
    <w:rsid w:val="1DA86AD8"/>
    <w:rsid w:val="1EB04003"/>
    <w:rsid w:val="217C30B5"/>
    <w:rsid w:val="2A6B74CB"/>
    <w:rsid w:val="35BF731B"/>
    <w:rsid w:val="39411873"/>
    <w:rsid w:val="453F2418"/>
    <w:rsid w:val="519A1FFA"/>
    <w:rsid w:val="58D25A1D"/>
    <w:rsid w:val="5D0C7301"/>
    <w:rsid w:val="65205DE7"/>
    <w:rsid w:val="672E733A"/>
    <w:rsid w:val="6D1C2BBC"/>
    <w:rsid w:val="7A747DC6"/>
    <w:rsid w:val="7E9D7114"/>
    <w:rsid w:val="7FB459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Lines="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1">
    <w:name w:val=" Char1"/>
    <w:basedOn w:val="1"/>
    <w:autoRedefine/>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23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4">
    <w:name w:val="章标题"/>
    <w:next w:val="235"/>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6">
    <w:name w:val="一级条标题"/>
    <w:next w:val="235"/>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7">
    <w:name w:val="前言、引言标题"/>
    <w:next w:val="23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tiff"/><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DBFB969B734393A2128F887F63D3E3"/>
        <w:style w:val=""/>
        <w:category>
          <w:name w:val="常规"/>
          <w:gallery w:val="placeholder"/>
        </w:category>
        <w:types>
          <w:type w:val="bbPlcHdr"/>
        </w:types>
        <w:behaviors>
          <w:behavior w:val="content"/>
        </w:behaviors>
        <w:description w:val=""/>
        <w:guid w:val="{C3568ADF-CF50-4E29-AAEC-F55B94CFAE79}"/>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roman"/>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706B"/>
    <w:rsid w:val="000D56F1"/>
    <w:rsid w:val="000E39F5"/>
    <w:rsid w:val="00722E47"/>
    <w:rsid w:val="007C7077"/>
    <w:rsid w:val="008A17A9"/>
    <w:rsid w:val="009767D8"/>
    <w:rsid w:val="00EC2B5D"/>
    <w:rsid w:val="00F070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8"/>
      <w:lang w:val="en-US" w:eastAsia="zh-CN" w:bidi="mn-Mong-CN"/>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7DBFB969B734393A2128F887F63D3E3"/>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6">
    <w:name w:val="A8D35CFB9F4B4E449A244C9C0D9955C8"/>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7">
    <w:name w:val="E1ECE3AC81664175807446A0F246D050"/>
    <w:qFormat/>
    <w:uiPriority w:val="0"/>
    <w:pPr>
      <w:widowControl w:val="0"/>
      <w:jc w:val="both"/>
    </w:pPr>
    <w:rPr>
      <w:rFonts w:asciiTheme="minorHAnsi" w:hAnsiTheme="minorHAnsi" w:eastAsiaTheme="minorEastAsia" w:cstheme="minorBidi"/>
      <w:kern w:val="2"/>
      <w:sz w:val="21"/>
      <w:szCs w:val="28"/>
      <w:lang w:val="en-US" w:eastAsia="zh-CN" w:bidi="mn-Mong-CN"/>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B14A46-581D-4FC5-86CF-009567057D3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1456</Words>
  <Characters>1809</Characters>
  <Lines>20</Lines>
  <Paragraphs>5</Paragraphs>
  <TotalTime>2</TotalTime>
  <ScaleCrop>false</ScaleCrop>
  <LinksUpToDate>false</LinksUpToDate>
  <CharactersWithSpaces>1920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2023-11-29T04:27:00Z</dcterms:created>
  <dc:creator>China</dc:creator>
  <dc:description>&lt;config cover="true" show_menu="true" version="1.0.0" doctype="SDKXY"&gt;_x000d_
&lt;/config&gt;</dc:description>
  <cp:lastModifiedBy>默默</cp:lastModifiedBy>
  <cp:lastPrinted>2020-08-30T10:00:00Z</cp:lastPrinted>
  <dcterms:modified xsi:type="dcterms:W3CDTF">2024-06-05T02:16:40Z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90B7486150AA4A8C91965193A5276226</vt:lpwstr>
  </property>
</Properties>
</file>