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7BA2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E8392F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7B6E287">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0F91C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83296A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DBD9C6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2C9CF6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7D7122A">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1504</w:t>
            </w:r>
            <w:r>
              <w:fldChar w:fldCharType="end"/>
            </w:r>
            <w:bookmarkEnd w:id="3"/>
          </w:p>
        </w:tc>
      </w:tr>
    </w:tbl>
    <w:p w14:paraId="0F8C4061">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赤峰市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48277E3">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1504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DC9BBB2">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05D3A0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5B08F4C">
      <w:pPr>
        <w:pStyle w:val="50"/>
        <w:framePr w:w="9639" w:h="6976" w:hRule="exact" w:hSpace="0" w:vSpace="0" w:wrap="around" w:hAnchor="page" w:y="6408"/>
        <w:jc w:val="center"/>
        <w:rPr>
          <w:rFonts w:ascii="黑体" w:hAnsi="黑体" w:eastAsia="黑体"/>
          <w:b w:val="0"/>
          <w:bCs w:val="0"/>
          <w:w w:val="100"/>
        </w:rPr>
      </w:pPr>
    </w:p>
    <w:p w14:paraId="501E5DEE">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敖汉苜蓿栽培</w:t>
      </w:r>
      <w:r>
        <w:rPr>
          <w:rFonts w:hint="eastAsia"/>
          <w:lang w:eastAsia="zh-CN"/>
        </w:rPr>
        <w:t>经营</w:t>
      </w:r>
      <w:bookmarkStart w:id="156" w:name="_GoBack"/>
      <w:bookmarkEnd w:id="156"/>
      <w:r>
        <w:t>技术规程</w:t>
      </w:r>
      <w:r>
        <w:fldChar w:fldCharType="end"/>
      </w:r>
      <w:bookmarkEnd w:id="9"/>
    </w:p>
    <w:p w14:paraId="28AFBB9A">
      <w:pPr>
        <w:framePr w:w="9639" w:h="6974" w:hRule="exact" w:wrap="around" w:vAnchor="page" w:hAnchor="page" w:x="1419" w:y="6408" w:anchorLock="1"/>
        <w:ind w:left="-1418"/>
      </w:pPr>
    </w:p>
    <w:p w14:paraId="0BE3821A">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10"/>
    </w:p>
    <w:p w14:paraId="0614ACB3">
      <w:pPr>
        <w:framePr w:w="9639" w:h="6974" w:hRule="exact" w:wrap="around" w:vAnchor="page" w:hAnchor="page" w:x="1419" w:y="6408" w:anchorLock="1"/>
        <w:spacing w:line="760" w:lineRule="exact"/>
        <w:ind w:left="-1418"/>
      </w:pPr>
    </w:p>
    <w:p w14:paraId="075A32FB">
      <w:pPr>
        <w:pStyle w:val="125"/>
        <w:framePr w:w="9639" w:h="6974" w:hRule="exact" w:wrap="around" w:vAnchor="page" w:hAnchor="page" w:x="1419" w:y="6408" w:anchorLock="1"/>
        <w:textAlignment w:val="bottom"/>
        <w:rPr>
          <w:rFonts w:eastAsia="黑体"/>
          <w:szCs w:val="28"/>
        </w:rPr>
      </w:pPr>
    </w:p>
    <w:p w14:paraId="74CBC8E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9C8B481">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（本草案完成时间：2024-06-14）</w:t>
      </w:r>
      <w:r>
        <w:rPr>
          <w:sz w:val="21"/>
          <w:szCs w:val="28"/>
        </w:rPr>
        <w:fldChar w:fldCharType="end"/>
      </w:r>
      <w:bookmarkEnd w:id="12"/>
    </w:p>
    <w:p w14:paraId="3639FCD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A95BBD1">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3C6BD26">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13738DD">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赤峰市市场监督管理局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E01D8E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9EF7FE6">
      <w:pPr>
        <w:pStyle w:val="91"/>
        <w:spacing w:after="468"/>
        <w:rPr>
          <w:rFonts w:hint="eastAsia"/>
        </w:rPr>
      </w:pPr>
      <w:bookmarkStart w:id="21" w:name="BookMark1"/>
      <w:bookmarkStart w:id="22" w:name="_Toc169281778"/>
      <w:bookmarkStart w:id="23" w:name="_Toc170389890"/>
      <w:bookmarkStart w:id="24" w:name="_Toc170386945"/>
      <w:bookmarkStart w:id="25" w:name="_Toc169330674"/>
      <w:bookmarkStart w:id="26" w:name="_Toc169284017"/>
      <w:r>
        <w:rPr>
          <w:rFonts w:hint="eastAsia"/>
          <w:spacing w:val="320"/>
        </w:rPr>
        <w:t>目</w:t>
      </w:r>
      <w:r>
        <w:rPr>
          <w:rFonts w:hint="eastAsia"/>
        </w:rPr>
        <w:t>次</w:t>
      </w:r>
    </w:p>
    <w:p w14:paraId="0061E899">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"_Toc170389921" </w:instrText>
      </w:r>
      <w:r>
        <w:fldChar w:fldCharType="separate"/>
      </w:r>
      <w:r>
        <w:rPr>
          <w:rStyle w:val="32"/>
        </w:rPr>
        <w:t>前言</w:t>
      </w:r>
      <w:r>
        <w:tab/>
      </w:r>
      <w:r>
        <w:fldChar w:fldCharType="begin"/>
      </w:r>
      <w:r>
        <w:instrText xml:space="preserve"> PAGEREF _Toc170389921 \h </w:instrText>
      </w:r>
      <w:r>
        <w:fldChar w:fldCharType="separate"/>
      </w:r>
      <w:r>
        <w:t>II</w:t>
      </w:r>
      <w:r>
        <w:fldChar w:fldCharType="end"/>
      </w:r>
      <w:r>
        <w:fldChar w:fldCharType="end"/>
      </w:r>
    </w:p>
    <w:p w14:paraId="77062E12">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"_Toc170389922" </w:instrText>
      </w:r>
      <w:r>
        <w:fldChar w:fldCharType="separate"/>
      </w:r>
      <w:r>
        <w:rPr>
          <w:rStyle w:val="32"/>
        </w:rPr>
        <w:t>1  范围</w:t>
      </w:r>
      <w:r>
        <w:tab/>
      </w:r>
      <w:r>
        <w:fldChar w:fldCharType="begin"/>
      </w:r>
      <w:r>
        <w:instrText xml:space="preserve"> PAGEREF _Toc170389922 \h </w:instrText>
      </w:r>
      <w:r>
        <w:fldChar w:fldCharType="separate"/>
      </w:r>
      <w:r>
        <w:t>1</w:t>
      </w:r>
      <w:r>
        <w:fldChar w:fldCharType="end"/>
      </w:r>
      <w:r>
        <w:fldChar w:fldCharType="end"/>
      </w:r>
    </w:p>
    <w:p w14:paraId="3137B27B">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"_Toc170389923" </w:instrText>
      </w:r>
      <w:r>
        <w:fldChar w:fldCharType="separate"/>
      </w:r>
      <w:r>
        <w:rPr>
          <w:rStyle w:val="32"/>
        </w:rPr>
        <w:t>2  规范性引用文件</w:t>
      </w:r>
      <w:r>
        <w:tab/>
      </w:r>
      <w:r>
        <w:fldChar w:fldCharType="begin"/>
      </w:r>
      <w:r>
        <w:instrText xml:space="preserve"> PAGEREF _Toc170389923 \h </w:instrText>
      </w:r>
      <w:r>
        <w:fldChar w:fldCharType="separate"/>
      </w:r>
      <w:r>
        <w:t>1</w:t>
      </w:r>
      <w:r>
        <w:fldChar w:fldCharType="end"/>
      </w:r>
      <w:r>
        <w:fldChar w:fldCharType="end"/>
      </w:r>
    </w:p>
    <w:p w14:paraId="7EC98126">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"_Toc170389924" </w:instrText>
      </w:r>
      <w:r>
        <w:fldChar w:fldCharType="separate"/>
      </w:r>
      <w:r>
        <w:rPr>
          <w:rStyle w:val="32"/>
        </w:rPr>
        <w:t>3  术语和定义</w:t>
      </w:r>
      <w:r>
        <w:tab/>
      </w:r>
      <w:r>
        <w:fldChar w:fldCharType="begin"/>
      </w:r>
      <w:r>
        <w:instrText xml:space="preserve"> PAGEREF _Toc170389924 \h </w:instrText>
      </w:r>
      <w:r>
        <w:fldChar w:fldCharType="separate"/>
      </w:r>
      <w:r>
        <w:t>1</w:t>
      </w:r>
      <w:r>
        <w:fldChar w:fldCharType="end"/>
      </w:r>
      <w:r>
        <w:fldChar w:fldCharType="end"/>
      </w:r>
    </w:p>
    <w:p w14:paraId="30563D24">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"_Toc170389925" </w:instrText>
      </w:r>
      <w:r>
        <w:fldChar w:fldCharType="separate"/>
      </w:r>
      <w:r>
        <w:rPr>
          <w:rStyle w:val="32"/>
        </w:rPr>
        <w:t>4  气候条件</w:t>
      </w:r>
      <w:r>
        <w:tab/>
      </w:r>
      <w:r>
        <w:fldChar w:fldCharType="begin"/>
      </w:r>
      <w:r>
        <w:instrText xml:space="preserve"> PAGEREF _Toc170389925 \h </w:instrText>
      </w:r>
      <w:r>
        <w:fldChar w:fldCharType="separate"/>
      </w:r>
      <w:r>
        <w:t>1</w:t>
      </w:r>
      <w:r>
        <w:fldChar w:fldCharType="end"/>
      </w:r>
      <w:r>
        <w:fldChar w:fldCharType="end"/>
      </w:r>
    </w:p>
    <w:p w14:paraId="2D7F8D2A">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"_Toc170389926" </w:instrText>
      </w:r>
      <w:r>
        <w:fldChar w:fldCharType="separate"/>
      </w:r>
      <w:r>
        <w:rPr>
          <w:rStyle w:val="32"/>
        </w:rPr>
        <w:t>5  水分条件</w:t>
      </w:r>
      <w:r>
        <w:tab/>
      </w:r>
      <w:r>
        <w:fldChar w:fldCharType="begin"/>
      </w:r>
      <w:r>
        <w:instrText xml:space="preserve"> PAGEREF _Toc170389926 \h </w:instrText>
      </w:r>
      <w:r>
        <w:fldChar w:fldCharType="separate"/>
      </w:r>
      <w:r>
        <w:t>2</w:t>
      </w:r>
      <w:r>
        <w:fldChar w:fldCharType="end"/>
      </w:r>
      <w:r>
        <w:fldChar w:fldCharType="end"/>
      </w:r>
    </w:p>
    <w:p w14:paraId="4A8AEBEF">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"_Toc170389927" </w:instrText>
      </w:r>
      <w:r>
        <w:fldChar w:fldCharType="separate"/>
      </w:r>
      <w:r>
        <w:rPr>
          <w:rStyle w:val="32"/>
        </w:rPr>
        <w:t>6  地块选择</w:t>
      </w:r>
      <w:r>
        <w:tab/>
      </w:r>
      <w:r>
        <w:fldChar w:fldCharType="begin"/>
      </w:r>
      <w:r>
        <w:instrText xml:space="preserve"> PAGEREF _Toc170389927 \h </w:instrText>
      </w:r>
      <w:r>
        <w:fldChar w:fldCharType="separate"/>
      </w:r>
      <w:r>
        <w:t>2</w:t>
      </w:r>
      <w:r>
        <w:fldChar w:fldCharType="end"/>
      </w:r>
      <w:r>
        <w:fldChar w:fldCharType="end"/>
      </w:r>
    </w:p>
    <w:p w14:paraId="1ABAF674">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"_Toc170389928" </w:instrText>
      </w:r>
      <w:r>
        <w:fldChar w:fldCharType="separate"/>
      </w:r>
      <w:r>
        <w:rPr>
          <w:rStyle w:val="32"/>
        </w:rPr>
        <w:t>7  播前准备</w:t>
      </w:r>
      <w:r>
        <w:tab/>
      </w:r>
      <w:r>
        <w:fldChar w:fldCharType="begin"/>
      </w:r>
      <w:r>
        <w:instrText xml:space="preserve"> PAGEREF _Toc170389928 \h </w:instrText>
      </w:r>
      <w:r>
        <w:fldChar w:fldCharType="separate"/>
      </w:r>
      <w:r>
        <w:t>2</w:t>
      </w:r>
      <w:r>
        <w:fldChar w:fldCharType="end"/>
      </w:r>
      <w:r>
        <w:fldChar w:fldCharType="end"/>
      </w:r>
    </w:p>
    <w:p w14:paraId="14F20C76">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"_Toc170389929" </w:instrText>
      </w:r>
      <w:r>
        <w:fldChar w:fldCharType="separate"/>
      </w:r>
      <w:r>
        <w:rPr>
          <w:rStyle w:val="32"/>
        </w:rPr>
        <w:t>8  播种</w:t>
      </w:r>
      <w:r>
        <w:tab/>
      </w:r>
      <w:r>
        <w:fldChar w:fldCharType="begin"/>
      </w:r>
      <w:r>
        <w:instrText xml:space="preserve"> PAGEREF _Toc170389929 \h </w:instrText>
      </w:r>
      <w:r>
        <w:fldChar w:fldCharType="separate"/>
      </w:r>
      <w:r>
        <w:t>2</w:t>
      </w:r>
      <w:r>
        <w:fldChar w:fldCharType="end"/>
      </w:r>
      <w:r>
        <w:fldChar w:fldCharType="end"/>
      </w:r>
    </w:p>
    <w:p w14:paraId="6F766008">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"_Toc170389930" </w:instrText>
      </w:r>
      <w:r>
        <w:fldChar w:fldCharType="separate"/>
      </w:r>
      <w:r>
        <w:rPr>
          <w:rStyle w:val="32"/>
        </w:rPr>
        <w:t>9  田间管理</w:t>
      </w:r>
      <w:r>
        <w:tab/>
      </w:r>
      <w:r>
        <w:fldChar w:fldCharType="begin"/>
      </w:r>
      <w:r>
        <w:instrText xml:space="preserve"> PAGEREF _Toc170389930 \h </w:instrText>
      </w:r>
      <w:r>
        <w:fldChar w:fldCharType="separate"/>
      </w:r>
      <w:r>
        <w:t>3</w:t>
      </w:r>
      <w:r>
        <w:fldChar w:fldCharType="end"/>
      </w:r>
      <w:r>
        <w:fldChar w:fldCharType="end"/>
      </w:r>
    </w:p>
    <w:p w14:paraId="6635E5EB">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"_Toc170389931" </w:instrText>
      </w:r>
      <w:r>
        <w:fldChar w:fldCharType="separate"/>
      </w:r>
      <w:r>
        <w:rPr>
          <w:rStyle w:val="32"/>
        </w:rPr>
        <w:t>10  收割利用</w:t>
      </w:r>
      <w:r>
        <w:tab/>
      </w:r>
      <w:r>
        <w:fldChar w:fldCharType="begin"/>
      </w:r>
      <w:r>
        <w:instrText xml:space="preserve"> PAGEREF _Toc170389931 \h </w:instrText>
      </w:r>
      <w:r>
        <w:fldChar w:fldCharType="separate"/>
      </w:r>
      <w:r>
        <w:t>4</w:t>
      </w:r>
      <w:r>
        <w:fldChar w:fldCharType="end"/>
      </w:r>
      <w:r>
        <w:fldChar w:fldCharType="end"/>
      </w:r>
    </w:p>
    <w:p w14:paraId="04C79565">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"_Toc170389932" </w:instrText>
      </w:r>
      <w:r>
        <w:fldChar w:fldCharType="separate"/>
      </w:r>
      <w:r>
        <w:rPr>
          <w:rStyle w:val="32"/>
        </w:rPr>
        <w:t>11  档案管理</w:t>
      </w:r>
      <w:r>
        <w:tab/>
      </w:r>
      <w:r>
        <w:fldChar w:fldCharType="begin"/>
      </w:r>
      <w:r>
        <w:instrText xml:space="preserve"> PAGEREF _Toc170389932 \h </w:instrText>
      </w:r>
      <w:r>
        <w:fldChar w:fldCharType="separate"/>
      </w:r>
      <w:r>
        <w:t>5</w:t>
      </w:r>
      <w:r>
        <w:fldChar w:fldCharType="end"/>
      </w:r>
      <w:r>
        <w:fldChar w:fldCharType="end"/>
      </w:r>
    </w:p>
    <w:p w14:paraId="0E593F08">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69ABA74B">
      <w:pPr>
        <w:pStyle w:val="89"/>
        <w:spacing w:before="900" w:after="468"/>
      </w:pPr>
      <w:bookmarkStart w:id="27" w:name="_Toc170389921"/>
      <w:bookmarkStart w:id="28" w:name="BookMark2"/>
      <w:r>
        <w:rPr>
          <w:spacing w:val="320"/>
        </w:rPr>
        <w:t>前</w:t>
      </w:r>
      <w:r>
        <w:t>言</w:t>
      </w:r>
      <w:bookmarkEnd w:id="22"/>
      <w:bookmarkEnd w:id="23"/>
      <w:bookmarkEnd w:id="24"/>
      <w:bookmarkEnd w:id="25"/>
      <w:bookmarkEnd w:id="26"/>
      <w:bookmarkEnd w:id="27"/>
    </w:p>
    <w:p w14:paraId="6D16B1FD">
      <w:pPr>
        <w:pStyle w:val="56"/>
        <w:ind w:firstLine="420"/>
      </w:pPr>
      <w:r>
        <w:rPr>
          <w:rFonts w:hint="eastAsia"/>
        </w:rPr>
        <w:t>本文件按照GB/T 1.1—2020《标准化工作导则  第1部分：标准化文件的结构和起草规则》的规定起草。</w:t>
      </w:r>
    </w:p>
    <w:p w14:paraId="134F634F">
      <w:pPr>
        <w:pStyle w:val="56"/>
        <w:ind w:firstLine="420"/>
      </w:pPr>
      <w:r>
        <w:rPr>
          <w:rFonts w:hint="eastAsia"/>
        </w:rPr>
        <w:t>请注意本文件的某些内容可能涉及专利。本文件的发布机构不承担识别专利的责任。</w:t>
      </w:r>
    </w:p>
    <w:p w14:paraId="56C218FD">
      <w:pPr>
        <w:pStyle w:val="56"/>
        <w:ind w:firstLine="420"/>
      </w:pPr>
      <w:r>
        <w:rPr>
          <w:rFonts w:hint="eastAsia"/>
        </w:rPr>
        <w:t>本文件由赤峰市林业和草原局提出并归口。</w:t>
      </w:r>
    </w:p>
    <w:p w14:paraId="13880844">
      <w:pPr>
        <w:pStyle w:val="56"/>
        <w:ind w:firstLine="420"/>
      </w:pPr>
      <w:r>
        <w:rPr>
          <w:rFonts w:hint="eastAsia"/>
        </w:rPr>
        <w:t>本文件起草单位：敖汉旗林业和草原局。</w:t>
      </w:r>
    </w:p>
    <w:p w14:paraId="2BAF8D19">
      <w:pPr>
        <w:pStyle w:val="56"/>
        <w:ind w:firstLine="420"/>
      </w:pPr>
      <w:r>
        <w:rPr>
          <w:rFonts w:hint="eastAsia"/>
        </w:rPr>
        <w:t>本文件主要起草人：</w:t>
      </w:r>
      <w:bookmarkStart w:id="29" w:name="OLE_LINK9"/>
      <w:r>
        <w:rPr>
          <w:rFonts w:hint="eastAsia"/>
        </w:rPr>
        <w:t>张旭东、董文信、常伟东、于井瑞、李雨涛、谭靖然、刘华婧、黄奥、李秀华、吴建平、许国红、李瑞英、尉洪梅、张明亮、李爱华、于丽、任向春、金永利、陆鹏龙、杨文辉、毕婧、刘志宇、刘玉辉、李淑英、霍明春、杨卫东、韩丽华、王俊、孙诗文。</w:t>
      </w:r>
    </w:p>
    <w:p w14:paraId="2A77B719">
      <w:pPr>
        <w:pStyle w:val="56"/>
        <w:ind w:firstLine="420"/>
      </w:pPr>
    </w:p>
    <w:p w14:paraId="73D874F7">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8"/>
    <w:bookmarkEnd w:id="29"/>
    <w:p w14:paraId="3D44CD9D">
      <w:pPr>
        <w:spacing w:line="20" w:lineRule="exact"/>
        <w:jc w:val="center"/>
        <w:rPr>
          <w:rFonts w:ascii="黑体" w:hAnsi="黑体" w:eastAsia="黑体"/>
          <w:sz w:val="32"/>
          <w:szCs w:val="32"/>
        </w:rPr>
      </w:pPr>
      <w:bookmarkStart w:id="30" w:name="BookMark4"/>
    </w:p>
    <w:p w14:paraId="4C4DB1BD">
      <w:pPr>
        <w:spacing w:line="20" w:lineRule="exact"/>
        <w:jc w:val="center"/>
        <w:rPr>
          <w:rFonts w:ascii="黑体" w:hAnsi="黑体" w:eastAsia="黑体"/>
          <w:sz w:val="32"/>
          <w:szCs w:val="32"/>
        </w:rPr>
      </w:pPr>
    </w:p>
    <w:sdt>
      <w:sdtPr>
        <w:tag w:val="NEW_STAND_NAME"/>
        <w:id w:val="595910757"/>
        <w:lock w:val="sdtLocked"/>
        <w:placeholder>
          <w:docPart w:val="6129BC59F7C24C0CAC62BA9B19A16CAE"/>
        </w:placeholder>
      </w:sdtPr>
      <w:sdtContent>
        <w:p w14:paraId="6F177FB1">
          <w:pPr>
            <w:pStyle w:val="177"/>
            <w:spacing w:before="3" w:beforeLines="1" w:after="686" w:afterLines="220"/>
          </w:pPr>
          <w:bookmarkStart w:id="31" w:name="NEW_STAND_NAME"/>
          <w:r>
            <w:rPr>
              <w:rFonts w:hint="eastAsia"/>
            </w:rPr>
            <w:t>敖汉苜蓿栽培技术规程</w:t>
          </w:r>
        </w:p>
      </w:sdtContent>
    </w:sdt>
    <w:bookmarkEnd w:id="31"/>
    <w:p w14:paraId="5A38F319">
      <w:pPr>
        <w:pStyle w:val="104"/>
        <w:spacing w:before="312" w:after="312"/>
      </w:pPr>
      <w:bookmarkStart w:id="32" w:name="_Toc17233325"/>
      <w:bookmarkStart w:id="33" w:name="_Toc169281779"/>
      <w:bookmarkStart w:id="34" w:name="_Toc170389891"/>
      <w:bookmarkStart w:id="35" w:name="_Toc17233333"/>
      <w:bookmarkStart w:id="36" w:name="_Toc169330675"/>
      <w:bookmarkStart w:id="37" w:name="_Toc24884218"/>
      <w:bookmarkStart w:id="38" w:name="_Toc170389922"/>
      <w:bookmarkStart w:id="39" w:name="_Toc169284018"/>
      <w:bookmarkStart w:id="40" w:name="_Toc170386946"/>
      <w:bookmarkStart w:id="41" w:name="_Toc97191423"/>
      <w:bookmarkStart w:id="42" w:name="_Toc26648465"/>
      <w:bookmarkStart w:id="43" w:name="_Toc24884211"/>
      <w:bookmarkStart w:id="44" w:name="_Toc26986530"/>
      <w:bookmarkStart w:id="45" w:name="_Toc26718930"/>
      <w:bookmarkStart w:id="46" w:name="_Toc2698677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6155C53">
      <w:pPr>
        <w:pStyle w:val="56"/>
        <w:ind w:firstLine="420"/>
      </w:pPr>
      <w:bookmarkStart w:id="47" w:name="_Toc24884212"/>
      <w:bookmarkStart w:id="48" w:name="_Toc17233334"/>
      <w:bookmarkStart w:id="49" w:name="_Toc17233326"/>
      <w:bookmarkStart w:id="50" w:name="_Toc26648466"/>
      <w:bookmarkStart w:id="51" w:name="_Toc24884219"/>
      <w:r>
        <w:rPr>
          <w:rFonts w:hint="eastAsia"/>
        </w:rPr>
        <w:t>本文件规定了敖汉苜蓿（</w:t>
      </w:r>
      <w:r>
        <w:rPr>
          <w:rFonts w:hint="eastAsia"/>
          <w:i/>
          <w:iCs/>
        </w:rPr>
        <w:t>Medicaogo sativa</w:t>
      </w:r>
      <w:r>
        <w:rPr>
          <w:rFonts w:hint="eastAsia"/>
        </w:rPr>
        <w:t xml:space="preserve"> cv.‘Aohan’）气候条件、水分条件、地块选择、播前准备、播种、田间管理、病虫害防治、收割利用和档案管理等技术要求。</w:t>
      </w:r>
    </w:p>
    <w:p w14:paraId="1397D037">
      <w:pPr>
        <w:pStyle w:val="56"/>
        <w:ind w:firstLine="420"/>
      </w:pPr>
      <w:r>
        <w:rPr>
          <w:rFonts w:hint="eastAsia"/>
        </w:rPr>
        <w:t>本文件适用于以人工种草、飞播种草（模拟飞播）、水土保持种草以及间混套种和保护播种等方式发展饲草地及牧草种子基地。</w:t>
      </w:r>
    </w:p>
    <w:p w14:paraId="2629F8A0">
      <w:pPr>
        <w:pStyle w:val="104"/>
        <w:spacing w:before="312" w:after="312"/>
      </w:pPr>
      <w:bookmarkStart w:id="52" w:name="_Toc170389892"/>
      <w:bookmarkStart w:id="53" w:name="_Toc169330676"/>
      <w:bookmarkStart w:id="54" w:name="_Toc26718931"/>
      <w:bookmarkStart w:id="55" w:name="_Toc97191424"/>
      <w:bookmarkStart w:id="56" w:name="_Toc26986531"/>
      <w:bookmarkStart w:id="57" w:name="_Toc170386947"/>
      <w:bookmarkStart w:id="58" w:name="_Toc169284019"/>
      <w:bookmarkStart w:id="59" w:name="_Toc170389923"/>
      <w:bookmarkStart w:id="60" w:name="_Toc26986772"/>
      <w:bookmarkStart w:id="61" w:name="_Toc169281780"/>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dt>
      <w:sdtPr>
        <w:rPr>
          <w:rFonts w:hint="eastAsia"/>
        </w:rPr>
        <w:id w:val="715848253"/>
        <w:placeholder>
          <w:docPart w:val="9229544B4E114899B5AFF6BD5FD4F64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688FBE8">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E050896">
      <w:pPr>
        <w:pStyle w:val="56"/>
        <w:ind w:firstLine="420"/>
      </w:pPr>
      <w:bookmarkStart w:id="62" w:name="OLE_LINK2"/>
      <w:r>
        <w:rPr>
          <w:rFonts w:hint="eastAsia"/>
        </w:rPr>
        <w:t>GB/T 2930.1  草种子检验规程 扦样</w:t>
      </w:r>
    </w:p>
    <w:p w14:paraId="507E005A">
      <w:pPr>
        <w:pStyle w:val="56"/>
        <w:ind w:firstLine="420"/>
      </w:pPr>
      <w:r>
        <w:rPr>
          <w:rFonts w:hint="eastAsia"/>
        </w:rPr>
        <w:t>GB/T 2930.2  草种子检验规程 净度分析</w:t>
      </w:r>
    </w:p>
    <w:p w14:paraId="2776B6C5">
      <w:pPr>
        <w:pStyle w:val="56"/>
        <w:ind w:firstLine="420"/>
      </w:pPr>
      <w:r>
        <w:rPr>
          <w:rFonts w:hint="eastAsia"/>
        </w:rPr>
        <w:t>GB/T 2930.3  草种子检验规程 其他植物种子数测定</w:t>
      </w:r>
    </w:p>
    <w:p w14:paraId="587AF349">
      <w:pPr>
        <w:pStyle w:val="56"/>
        <w:ind w:firstLine="420"/>
        <w:rPr>
          <w:rFonts w:hAnsi="宋体" w:cs="宋体"/>
        </w:rPr>
      </w:pPr>
      <w:r>
        <w:rPr>
          <w:rFonts w:hint="eastAsia"/>
        </w:rPr>
        <w:t>GB</w:t>
      </w:r>
      <w:r>
        <w:rPr>
          <w:rFonts w:hint="eastAsia" w:hAnsi="宋体" w:cs="宋体"/>
        </w:rPr>
        <w:t>/T 2930.4   草种子检验规程</w:t>
      </w:r>
      <w:bookmarkEnd w:id="62"/>
      <w:r>
        <w:rPr>
          <w:rFonts w:hint="eastAsia" w:hAnsi="宋体" w:cs="宋体"/>
        </w:rPr>
        <w:t xml:space="preserve">  发芽试验</w:t>
      </w:r>
    </w:p>
    <w:p w14:paraId="115D1BDA">
      <w:pPr>
        <w:pStyle w:val="56"/>
        <w:ind w:firstLine="420"/>
      </w:pPr>
      <w:r>
        <w:rPr>
          <w:rFonts w:hint="eastAsia"/>
        </w:rPr>
        <w:t>GB</w:t>
      </w:r>
      <w:r>
        <w:rPr>
          <w:rFonts w:hint="eastAsia" w:hAnsi="宋体" w:cs="宋体"/>
        </w:rPr>
        <w:t>/T 2930.8   草种子检验规程  水分测定</w:t>
      </w:r>
    </w:p>
    <w:p w14:paraId="1CE19117">
      <w:pPr>
        <w:pStyle w:val="56"/>
        <w:ind w:firstLine="420"/>
      </w:pPr>
      <w:r>
        <w:rPr>
          <w:rFonts w:hint="eastAsia"/>
        </w:rPr>
        <w:t>GB/T 6141    豆科主要栽培牧草种子质量分级</w:t>
      </w:r>
    </w:p>
    <w:p w14:paraId="4BAF205D">
      <w:pPr>
        <w:pStyle w:val="56"/>
        <w:ind w:firstLine="420"/>
      </w:pPr>
      <w:r>
        <w:rPr>
          <w:rFonts w:hint="eastAsia"/>
        </w:rPr>
        <w:t>GB/T 8321    农药合理使用准则</w:t>
      </w:r>
    </w:p>
    <w:p w14:paraId="7C122B6A">
      <w:pPr>
        <w:pStyle w:val="56"/>
        <w:ind w:firstLine="420"/>
        <w:rPr>
          <w:color w:val="000000"/>
          <w:szCs w:val="21"/>
        </w:rPr>
      </w:pPr>
      <w:r>
        <w:rPr>
          <w:rFonts w:hint="eastAsia"/>
          <w:color w:val="000000"/>
          <w:szCs w:val="21"/>
        </w:rPr>
        <w:t>GB/T 11822   科学技术档案案卷构成的一般要求</w:t>
      </w:r>
    </w:p>
    <w:p w14:paraId="19B625BC">
      <w:pPr>
        <w:pStyle w:val="56"/>
        <w:ind w:firstLine="420"/>
        <w:rPr>
          <w:color w:val="000000"/>
          <w:szCs w:val="21"/>
        </w:rPr>
      </w:pPr>
      <w:r>
        <w:rPr>
          <w:rFonts w:hint="eastAsia"/>
          <w:color w:val="000000"/>
          <w:szCs w:val="21"/>
        </w:rPr>
        <w:t>DA/T 22      归档文件整理规则</w:t>
      </w:r>
    </w:p>
    <w:p w14:paraId="1542C236">
      <w:pPr>
        <w:pStyle w:val="56"/>
        <w:ind w:firstLine="420"/>
      </w:pPr>
      <w:r>
        <w:rPr>
          <w:rFonts w:hint="eastAsia"/>
        </w:rPr>
        <w:t>NY/T 1276    农药安全使用规范总则</w:t>
      </w:r>
    </w:p>
    <w:p w14:paraId="30A277E7">
      <w:pPr>
        <w:pStyle w:val="56"/>
        <w:ind w:firstLine="420"/>
      </w:pPr>
      <w:r>
        <w:t>NY/T 1574</w:t>
      </w:r>
      <w:r>
        <w:rPr>
          <w:rFonts w:hint="eastAsia"/>
        </w:rPr>
        <w:t xml:space="preserve">    豆科牧草干草质量分级</w:t>
      </w:r>
    </w:p>
    <w:p w14:paraId="54E64592">
      <w:pPr>
        <w:pStyle w:val="56"/>
        <w:ind w:firstLine="420"/>
      </w:pPr>
      <w:r>
        <w:rPr>
          <w:rFonts w:hint="eastAsia"/>
        </w:rPr>
        <w:t>NY/T 1780    苜蓿种子生产技术规程</w:t>
      </w:r>
    </w:p>
    <w:p w14:paraId="2F105B1C">
      <w:pPr>
        <w:pStyle w:val="56"/>
        <w:ind w:firstLine="420"/>
      </w:pPr>
      <w:r>
        <w:rPr>
          <w:rFonts w:hint="eastAsia"/>
        </w:rPr>
        <w:t>NY/T 1997    除草剂安全使用技术规范 通则</w:t>
      </w:r>
    </w:p>
    <w:p w14:paraId="595642DD">
      <w:pPr>
        <w:pStyle w:val="56"/>
        <w:ind w:firstLine="420"/>
      </w:pPr>
      <w:r>
        <w:rPr>
          <w:rFonts w:hint="eastAsia" w:hAnsi="宋体" w:cs="宋体"/>
        </w:rPr>
        <w:t>DB15/T 2373  苜蓿干草收贮技术规程</w:t>
      </w:r>
    </w:p>
    <w:p w14:paraId="6F0560B1">
      <w:pPr>
        <w:pStyle w:val="56"/>
        <w:ind w:firstLine="420"/>
        <w:rPr>
          <w:rFonts w:hAnsi="宋体" w:cs="宋体"/>
        </w:rPr>
      </w:pPr>
      <w:r>
        <w:rPr>
          <w:rFonts w:hint="eastAsia" w:hAnsi="宋体" w:cs="宋体"/>
        </w:rPr>
        <w:t>DB15/T 2374  苜蓿草贮藏加工技术规范</w:t>
      </w:r>
    </w:p>
    <w:p w14:paraId="7B44E0D2">
      <w:pPr>
        <w:pStyle w:val="56"/>
        <w:ind w:firstLine="420"/>
      </w:pPr>
      <w:r>
        <w:rPr>
          <w:rFonts w:hint="eastAsia"/>
        </w:rPr>
        <w:t>DB15/T 2661  苜蓿田间主要病虫害综合防控技术规程</w:t>
      </w:r>
    </w:p>
    <w:p w14:paraId="1D653280">
      <w:pPr>
        <w:pStyle w:val="56"/>
        <w:ind w:firstLine="420"/>
      </w:pPr>
      <w:r>
        <w:rPr>
          <w:rFonts w:hint="eastAsia"/>
        </w:rPr>
        <w:t>DB15/T 2662  苜蓿田杂草防控技术规程</w:t>
      </w:r>
    </w:p>
    <w:p w14:paraId="0D78216F">
      <w:pPr>
        <w:pStyle w:val="56"/>
        <w:ind w:firstLine="420"/>
      </w:pPr>
      <w:r>
        <w:rPr>
          <w:rFonts w:hint="eastAsia"/>
        </w:rPr>
        <w:t>DB15/T 2664  苜蓿草捆制作技术规程</w:t>
      </w:r>
    </w:p>
    <w:p w14:paraId="3E1ED696">
      <w:pPr>
        <w:pStyle w:val="56"/>
        <w:ind w:firstLine="420"/>
      </w:pPr>
      <w:r>
        <w:rPr>
          <w:rFonts w:hint="eastAsia"/>
        </w:rPr>
        <w:t>DB15/T 2666  苜蓿草粉加工技术规程</w:t>
      </w:r>
    </w:p>
    <w:p w14:paraId="36E2C054">
      <w:pPr>
        <w:pStyle w:val="56"/>
        <w:ind w:firstLine="420"/>
      </w:pPr>
      <w:r>
        <w:rPr>
          <w:rFonts w:hint="eastAsia"/>
        </w:rPr>
        <w:t>DB15/T 2667  苜蓿草颗粒加工技术规程</w:t>
      </w:r>
    </w:p>
    <w:p w14:paraId="2F024BF0">
      <w:pPr>
        <w:pStyle w:val="104"/>
        <w:spacing w:before="312" w:after="312"/>
      </w:pPr>
      <w:bookmarkStart w:id="63" w:name="_Toc170386948"/>
      <w:bookmarkStart w:id="64" w:name="_Toc170389924"/>
      <w:bookmarkStart w:id="65" w:name="_Toc169284020"/>
      <w:bookmarkStart w:id="66" w:name="_Toc97191425"/>
      <w:bookmarkStart w:id="67" w:name="_Toc169330677"/>
      <w:bookmarkStart w:id="68" w:name="_Toc170389893"/>
      <w:bookmarkStart w:id="69" w:name="_Toc169281781"/>
      <w:r>
        <w:rPr>
          <w:rFonts w:hint="eastAsia"/>
          <w:szCs w:val="21"/>
        </w:rPr>
        <w:t>术语和定义</w:t>
      </w:r>
      <w:bookmarkEnd w:id="63"/>
      <w:bookmarkEnd w:id="64"/>
      <w:bookmarkEnd w:id="65"/>
      <w:bookmarkEnd w:id="66"/>
      <w:bookmarkEnd w:id="67"/>
      <w:bookmarkEnd w:id="68"/>
      <w:bookmarkEnd w:id="69"/>
    </w:p>
    <w:sdt>
      <w:sdtPr>
        <w:id w:val="-1909835108"/>
        <w:placeholder>
          <w:docPart w:val="{6b83e6ff-c08a-4e02-8cc8-31d33c268a8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9D8B24E">
          <w:pPr>
            <w:pStyle w:val="56"/>
            <w:ind w:firstLine="420"/>
          </w:pPr>
          <w:bookmarkStart w:id="70" w:name="_Toc26986532"/>
          <w:bookmarkEnd w:id="70"/>
          <w:r>
            <w:t>本文件没有需要界定的术语和定义。</w:t>
          </w:r>
        </w:p>
      </w:sdtContent>
    </w:sdt>
    <w:p w14:paraId="15A83D94">
      <w:pPr>
        <w:pStyle w:val="104"/>
        <w:spacing w:before="312" w:after="312"/>
      </w:pPr>
      <w:bookmarkStart w:id="71" w:name="_Toc170386949"/>
      <w:bookmarkStart w:id="72" w:name="_Toc170389925"/>
      <w:bookmarkStart w:id="73" w:name="_Toc170389894"/>
      <w:r>
        <w:rPr>
          <w:rFonts w:hint="eastAsia"/>
        </w:rPr>
        <w:t>气候条件</w:t>
      </w:r>
      <w:bookmarkEnd w:id="71"/>
      <w:bookmarkEnd w:id="72"/>
      <w:bookmarkEnd w:id="73"/>
    </w:p>
    <w:p w14:paraId="2A2ACFF0">
      <w:pPr>
        <w:pStyle w:val="56"/>
        <w:ind w:firstLine="420"/>
      </w:pPr>
      <w:r>
        <w:rPr>
          <w:rFonts w:hint="eastAsia"/>
          <w:lang w:val="en-US" w:eastAsia="zh-CN"/>
        </w:rPr>
        <w:t>适应于年平均气温5</w:t>
      </w:r>
      <w:r>
        <w:rPr>
          <w:rFonts w:hint="eastAsia"/>
        </w:rPr>
        <w:t>～</w:t>
      </w:r>
      <w:r>
        <w:rPr>
          <w:rFonts w:hint="eastAsia"/>
          <w:lang w:val="en-US" w:eastAsia="zh-CN"/>
        </w:rPr>
        <w:t>7℃,极端最高气温39.7℃,极端最低气温一35℃，</w:t>
      </w:r>
      <w:r>
        <w:rPr>
          <w:rFonts w:hint="eastAsia"/>
        </w:rPr>
        <w:t>≥10 ℃积温在2</w:t>
      </w:r>
      <w:r>
        <w:rPr>
          <w:rFonts w:hint="eastAsia"/>
          <w:lang w:val="en-US" w:eastAsia="zh-CN"/>
        </w:rPr>
        <w:t>4</w:t>
      </w:r>
      <w:r>
        <w:rPr>
          <w:rFonts w:hint="eastAsia"/>
        </w:rPr>
        <w:t>00 ℃ ～ 3</w:t>
      </w:r>
      <w:r>
        <w:rPr>
          <w:rFonts w:hint="eastAsia"/>
          <w:lang w:val="en-US" w:eastAsia="zh-CN"/>
        </w:rPr>
        <w:t>6</w:t>
      </w:r>
      <w:r>
        <w:rPr>
          <w:rFonts w:hint="eastAsia"/>
        </w:rPr>
        <w:t>00 ℃，平均无霜期135</w:t>
      </w:r>
      <w:bookmarkStart w:id="74" w:name="OLE_LINK4"/>
      <w:r>
        <w:rPr>
          <w:rFonts w:hint="eastAsia"/>
        </w:rPr>
        <w:t>d</w:t>
      </w:r>
      <w:bookmarkEnd w:id="74"/>
      <w:r>
        <w:rPr>
          <w:rFonts w:hint="eastAsia"/>
        </w:rPr>
        <w:t>。</w:t>
      </w:r>
    </w:p>
    <w:p w14:paraId="3E2E082D">
      <w:pPr>
        <w:pStyle w:val="104"/>
        <w:spacing w:before="312" w:after="312"/>
        <w:rPr>
          <w:szCs w:val="21"/>
        </w:rPr>
      </w:pPr>
      <w:bookmarkStart w:id="75" w:name="_Toc170386950"/>
      <w:bookmarkStart w:id="76" w:name="_Toc170389926"/>
      <w:bookmarkStart w:id="77" w:name="_Toc170389895"/>
      <w:r>
        <w:rPr>
          <w:rFonts w:hint="eastAsia"/>
          <w:szCs w:val="21"/>
        </w:rPr>
        <w:t>水分条件</w:t>
      </w:r>
      <w:bookmarkEnd w:id="75"/>
      <w:bookmarkEnd w:id="76"/>
      <w:bookmarkEnd w:id="77"/>
    </w:p>
    <w:p w14:paraId="27D599EB">
      <w:pPr>
        <w:pStyle w:val="56"/>
        <w:ind w:firstLine="420"/>
      </w:pPr>
      <w:r>
        <w:t>年降水量</w:t>
      </w:r>
      <w:r>
        <w:rPr>
          <w:rFonts w:hint="eastAsia"/>
          <w:lang w:val="en-US" w:eastAsia="zh-CN"/>
        </w:rPr>
        <w:t>260</w:t>
      </w:r>
      <w:r>
        <w:rPr>
          <w:rFonts w:hint="eastAsia"/>
        </w:rPr>
        <w:t>mm～460mm之间。</w:t>
      </w:r>
    </w:p>
    <w:p w14:paraId="301168CF">
      <w:pPr>
        <w:pStyle w:val="104"/>
        <w:spacing w:before="312" w:after="312"/>
        <w:rPr>
          <w:szCs w:val="21"/>
        </w:rPr>
      </w:pPr>
      <w:bookmarkStart w:id="78" w:name="_Toc170389927"/>
      <w:bookmarkStart w:id="79" w:name="_Toc169284021"/>
      <w:bookmarkStart w:id="80" w:name="_Toc170389896"/>
      <w:bookmarkStart w:id="81" w:name="_Toc169281782"/>
      <w:bookmarkStart w:id="82" w:name="_Toc169330678"/>
      <w:bookmarkStart w:id="83" w:name="_Toc170386951"/>
      <w:r>
        <w:rPr>
          <w:rFonts w:hint="eastAsia"/>
          <w:szCs w:val="21"/>
        </w:rPr>
        <w:t>地块选择</w:t>
      </w:r>
      <w:bookmarkEnd w:id="78"/>
      <w:bookmarkEnd w:id="79"/>
      <w:bookmarkEnd w:id="80"/>
      <w:bookmarkEnd w:id="81"/>
      <w:bookmarkEnd w:id="82"/>
      <w:bookmarkEnd w:id="83"/>
    </w:p>
    <w:p w14:paraId="345027F2">
      <w:pPr>
        <w:pStyle w:val="56"/>
        <w:ind w:firstLine="420"/>
      </w:pPr>
      <w:r>
        <w:rPr>
          <w:rFonts w:hint="eastAsia"/>
        </w:rPr>
        <w:t>适宜在地势高、平坦、排水良好、土层深厚、中性或微碱性砂壤土或壤土中生长、含钙质及腐殖较高、微抗盐碱，土壤pH值在6～8之间,有一定的耐盐性，在含盐量0.2％以下的土壤中生长良好，不耐涝的地段种植，地下水位应高于1.5m。下列四类地块不宜种植：</w:t>
      </w:r>
    </w:p>
    <w:p w14:paraId="1E5F1569">
      <w:pPr>
        <w:pStyle w:val="174"/>
      </w:pPr>
      <w:r>
        <w:rPr>
          <w:rFonts w:hint="eastAsia"/>
        </w:rPr>
        <w:t>低洼易积水地块；</w:t>
      </w:r>
    </w:p>
    <w:p w14:paraId="4BBE2FCE">
      <w:pPr>
        <w:pStyle w:val="174"/>
      </w:pPr>
      <w:r>
        <w:rPr>
          <w:rFonts w:hint="eastAsia"/>
        </w:rPr>
        <w:t>盐份超过0.3％的地块；</w:t>
      </w:r>
    </w:p>
    <w:p w14:paraId="37158DB2">
      <w:pPr>
        <w:pStyle w:val="174"/>
      </w:pPr>
      <w:r>
        <w:rPr>
          <w:rFonts w:hint="eastAsia"/>
        </w:rPr>
        <w:t>流动或半流动沙丘起伏大的地块；</w:t>
      </w:r>
    </w:p>
    <w:p w14:paraId="764EBBD6">
      <w:pPr>
        <w:pStyle w:val="174"/>
      </w:pPr>
      <w:r>
        <w:rPr>
          <w:rFonts w:hint="eastAsia"/>
        </w:rPr>
        <w:t>重茬地块。</w:t>
      </w:r>
    </w:p>
    <w:p w14:paraId="293E214C">
      <w:pPr>
        <w:pStyle w:val="104"/>
        <w:spacing w:before="312" w:after="312"/>
        <w:rPr>
          <w:szCs w:val="21"/>
        </w:rPr>
      </w:pPr>
      <w:bookmarkStart w:id="84" w:name="_Toc170386952"/>
      <w:bookmarkStart w:id="85" w:name="_Toc170389928"/>
      <w:bookmarkStart w:id="86" w:name="_Toc169330679"/>
      <w:bookmarkStart w:id="87" w:name="_Toc169281783"/>
      <w:bookmarkStart w:id="88" w:name="_Toc170389897"/>
      <w:bookmarkStart w:id="89" w:name="_Toc169284022"/>
      <w:r>
        <w:rPr>
          <w:rFonts w:hint="eastAsia"/>
          <w:szCs w:val="21"/>
        </w:rPr>
        <w:t>播前准备</w:t>
      </w:r>
      <w:bookmarkEnd w:id="84"/>
      <w:bookmarkEnd w:id="85"/>
      <w:bookmarkEnd w:id="86"/>
      <w:bookmarkEnd w:id="87"/>
      <w:bookmarkEnd w:id="88"/>
      <w:bookmarkEnd w:id="89"/>
    </w:p>
    <w:p w14:paraId="5A0A169B">
      <w:pPr>
        <w:pStyle w:val="105"/>
        <w:spacing w:before="156" w:after="156"/>
      </w:pPr>
      <w:bookmarkStart w:id="90" w:name="_Toc170389898"/>
      <w:bookmarkStart w:id="91" w:name="_Toc170386953"/>
      <w:r>
        <w:rPr>
          <w:rFonts w:hint="eastAsia"/>
        </w:rPr>
        <w:t>施基肥</w:t>
      </w:r>
      <w:bookmarkEnd w:id="90"/>
      <w:bookmarkEnd w:id="91"/>
    </w:p>
    <w:p w14:paraId="1D974C3A">
      <w:pPr>
        <w:pStyle w:val="56"/>
        <w:ind w:firstLine="420"/>
      </w:pPr>
      <w:r>
        <w:rPr>
          <w:rFonts w:hint="eastAsia"/>
        </w:rPr>
        <w:t>每公顷施用</w:t>
      </w:r>
      <w:bookmarkStart w:id="92" w:name="OLE_LINK5"/>
      <w:r>
        <w:rPr>
          <w:rFonts w:hint="eastAsia"/>
        </w:rPr>
        <w:t>厩肥30t～45 t，加施375kg</w:t>
      </w:r>
      <w:bookmarkStart w:id="93" w:name="OLE_LINK10"/>
      <w:r>
        <w:rPr>
          <w:rFonts w:hint="eastAsia"/>
        </w:rPr>
        <w:t>～</w:t>
      </w:r>
      <w:bookmarkEnd w:id="93"/>
      <w:r>
        <w:rPr>
          <w:rFonts w:hint="eastAsia"/>
        </w:rPr>
        <w:t>750 kg过磷酸钙，硫酸钾5</w:t>
      </w:r>
      <w:r>
        <w:rPr>
          <w:rFonts w:hint="eastAsia" w:hAnsi="宋体" w:cs="宋体"/>
        </w:rPr>
        <w:t>kg</w:t>
      </w:r>
      <w:r>
        <w:rPr>
          <w:rFonts w:hint="eastAsia"/>
        </w:rPr>
        <w:t>～10</w:t>
      </w:r>
      <w:r>
        <w:rPr>
          <w:rFonts w:hint="eastAsia" w:hAnsi="宋体" w:cs="宋体"/>
        </w:rPr>
        <w:t>kg</w:t>
      </w:r>
      <w:r>
        <w:rPr>
          <w:rFonts w:hint="eastAsia"/>
        </w:rPr>
        <w:t>。</w:t>
      </w:r>
      <w:bookmarkEnd w:id="92"/>
      <w:r>
        <w:rPr>
          <w:rFonts w:hint="eastAsia"/>
        </w:rPr>
        <w:t xml:space="preserve"> </w:t>
      </w:r>
    </w:p>
    <w:p w14:paraId="35DA1ACB">
      <w:pPr>
        <w:pStyle w:val="105"/>
        <w:spacing w:before="156" w:after="156"/>
      </w:pPr>
      <w:bookmarkStart w:id="94" w:name="_Toc170389899"/>
      <w:bookmarkStart w:id="95" w:name="_Toc170386954"/>
      <w:r>
        <w:rPr>
          <w:rFonts w:hint="eastAsia"/>
        </w:rPr>
        <w:t>种子选择</w:t>
      </w:r>
      <w:bookmarkEnd w:id="94"/>
      <w:bookmarkEnd w:id="95"/>
    </w:p>
    <w:p w14:paraId="65C37AF2">
      <w:pPr>
        <w:pStyle w:val="56"/>
        <w:ind w:firstLine="420"/>
      </w:pPr>
      <w:r>
        <w:rPr>
          <w:rFonts w:hint="eastAsia"/>
        </w:rPr>
        <w:t>选用种子为一级或二级种子，种子质量应符合GB/T 6141的规定。</w:t>
      </w:r>
    </w:p>
    <w:p w14:paraId="3D9C1665">
      <w:pPr>
        <w:pStyle w:val="105"/>
        <w:spacing w:before="156" w:after="156"/>
      </w:pPr>
      <w:bookmarkStart w:id="96" w:name="_Toc170389900"/>
      <w:bookmarkStart w:id="97" w:name="_Toc170386955"/>
      <w:r>
        <w:rPr>
          <w:rFonts w:hint="eastAsia"/>
        </w:rPr>
        <w:t>种子处理</w:t>
      </w:r>
      <w:bookmarkEnd w:id="96"/>
      <w:bookmarkEnd w:id="97"/>
    </w:p>
    <w:p w14:paraId="44B8A2BC">
      <w:pPr>
        <w:pStyle w:val="56"/>
        <w:ind w:firstLine="420"/>
      </w:pPr>
      <w:r>
        <w:rPr>
          <w:rFonts w:hint="eastAsia"/>
        </w:rPr>
        <w:t>种子硬实率为5％</w:t>
      </w:r>
      <w:bookmarkStart w:id="98" w:name="_Hlk169276200"/>
      <w:r>
        <w:rPr>
          <w:rFonts w:hint="eastAsia"/>
        </w:rPr>
        <w:t>～</w:t>
      </w:r>
      <w:bookmarkEnd w:id="98"/>
      <w:r>
        <w:rPr>
          <w:rFonts w:hint="eastAsia"/>
        </w:rPr>
        <w:t>15％，新收的种子硬实率可达25％～65％，播种前将种子曝晒3d～5d，也可将种子用50</w:t>
      </w:r>
      <w:r>
        <w:rPr>
          <w:rFonts w:hint="eastAsia" w:ascii="宋体" w:hAnsi="宋体" w:eastAsia="宋体" w:cs="宋体"/>
        </w:rPr>
        <w:t>℃</w:t>
      </w:r>
      <w:r>
        <w:rPr>
          <w:rFonts w:hint="eastAsia"/>
        </w:rPr>
        <w:t>～60℃温水浸泡0.5</w:t>
      </w:r>
      <w:bookmarkStart w:id="99" w:name="OLE_LINK3"/>
      <w:r>
        <w:rPr>
          <w:rFonts w:hint="eastAsia"/>
        </w:rPr>
        <w:t>h</w:t>
      </w:r>
      <w:bookmarkEnd w:id="99"/>
      <w:r>
        <w:rPr>
          <w:rFonts w:hint="eastAsia"/>
        </w:rPr>
        <w:t>～1.0h后晾干即可或擦破种皮播种。</w:t>
      </w:r>
    </w:p>
    <w:p w14:paraId="4D9D2E6E">
      <w:pPr>
        <w:pStyle w:val="105"/>
        <w:spacing w:before="156" w:after="156"/>
      </w:pPr>
      <w:bookmarkStart w:id="100" w:name="_Toc170389901"/>
      <w:bookmarkStart w:id="101" w:name="_Toc170386956"/>
      <w:r>
        <w:rPr>
          <w:rFonts w:hint="eastAsia"/>
        </w:rPr>
        <w:t>种子包衣和根瘤菌接种</w:t>
      </w:r>
      <w:bookmarkEnd w:id="100"/>
      <w:bookmarkEnd w:id="101"/>
    </w:p>
    <w:p w14:paraId="3753E706">
      <w:pPr>
        <w:pStyle w:val="56"/>
        <w:ind w:firstLine="420"/>
      </w:pPr>
      <w:r>
        <w:rPr>
          <w:rFonts w:hint="eastAsia"/>
        </w:rPr>
        <w:t>宜选用豆科牧草根瘤菌剂在播种前对种子进行根瘤菌接种处理，操作顺序为浸种、拌种和包衣。</w:t>
      </w:r>
    </w:p>
    <w:p w14:paraId="636C4B32">
      <w:pPr>
        <w:pStyle w:val="105"/>
        <w:spacing w:before="156" w:after="156"/>
      </w:pPr>
      <w:bookmarkStart w:id="102" w:name="_Toc170389902"/>
      <w:bookmarkStart w:id="103" w:name="_Toc170386957"/>
      <w:r>
        <w:rPr>
          <w:rFonts w:hint="eastAsia"/>
        </w:rPr>
        <w:t>播前灌溉</w:t>
      </w:r>
      <w:bookmarkEnd w:id="102"/>
      <w:bookmarkEnd w:id="103"/>
    </w:p>
    <w:p w14:paraId="3BB7CA91">
      <w:pPr>
        <w:pStyle w:val="56"/>
        <w:ind w:firstLine="420"/>
      </w:pPr>
      <w:r>
        <w:rPr>
          <w:rFonts w:hint="eastAsia"/>
        </w:rPr>
        <w:t>宜播种在湿润的土壤中；墒情差的地块，播种前要求地块充分灌溉。每年灌水1～3次。</w:t>
      </w:r>
    </w:p>
    <w:p w14:paraId="6D1307B7">
      <w:pPr>
        <w:pStyle w:val="105"/>
        <w:spacing w:before="156" w:after="156"/>
      </w:pPr>
      <w:bookmarkStart w:id="104" w:name="_Toc170386958"/>
      <w:bookmarkStart w:id="105" w:name="_Toc170389903"/>
      <w:r>
        <w:rPr>
          <w:rFonts w:hint="eastAsia"/>
        </w:rPr>
        <w:t>整地</w:t>
      </w:r>
      <w:bookmarkEnd w:id="104"/>
      <w:bookmarkEnd w:id="105"/>
    </w:p>
    <w:p w14:paraId="24CBFFAF">
      <w:pPr>
        <w:pStyle w:val="56"/>
        <w:ind w:firstLine="420"/>
      </w:pPr>
      <w:r>
        <w:rPr>
          <w:rFonts w:hint="eastAsia"/>
        </w:rPr>
        <w:t>深翻1次，耕深25cm～30cm；打垄做畦，平整土地。</w:t>
      </w:r>
    </w:p>
    <w:p w14:paraId="13E30369">
      <w:pPr>
        <w:pStyle w:val="104"/>
        <w:spacing w:before="312" w:after="312"/>
      </w:pPr>
      <w:bookmarkStart w:id="106" w:name="_Toc170389904"/>
      <w:bookmarkStart w:id="107" w:name="_Toc169330680"/>
      <w:bookmarkStart w:id="108" w:name="_Toc170386959"/>
      <w:bookmarkStart w:id="109" w:name="_Toc169284023"/>
      <w:bookmarkStart w:id="110" w:name="_Toc170389929"/>
      <w:bookmarkStart w:id="111" w:name="_Toc169281784"/>
      <w:r>
        <w:rPr>
          <w:rFonts w:hint="eastAsia"/>
        </w:rPr>
        <w:t>播种</w:t>
      </w:r>
      <w:bookmarkEnd w:id="106"/>
      <w:bookmarkEnd w:id="107"/>
      <w:bookmarkEnd w:id="108"/>
      <w:bookmarkEnd w:id="109"/>
      <w:bookmarkEnd w:id="110"/>
      <w:bookmarkEnd w:id="111"/>
      <w:r>
        <w:rPr>
          <w:rFonts w:hint="eastAsia"/>
        </w:rPr>
        <w:t xml:space="preserve"> </w:t>
      </w:r>
    </w:p>
    <w:p w14:paraId="03AC4DAB">
      <w:pPr>
        <w:pStyle w:val="105"/>
        <w:spacing w:before="156" w:after="156"/>
      </w:pPr>
      <w:bookmarkStart w:id="112" w:name="_Toc170386960"/>
      <w:bookmarkStart w:id="113" w:name="_Toc170389905"/>
      <w:r>
        <w:rPr>
          <w:rFonts w:hint="eastAsia"/>
        </w:rPr>
        <w:t>播种时间</w:t>
      </w:r>
      <w:bookmarkEnd w:id="112"/>
      <w:bookmarkEnd w:id="113"/>
    </w:p>
    <w:p w14:paraId="6E5B6A16">
      <w:pPr>
        <w:pStyle w:val="56"/>
        <w:ind w:firstLine="420"/>
      </w:pPr>
      <w:r>
        <w:rPr>
          <w:rFonts w:hint="eastAsia"/>
        </w:rPr>
        <w:t>播种时间分为春播、夏播、晚秋寄籽播种：</w:t>
      </w:r>
    </w:p>
    <w:p w14:paraId="5844E46E">
      <w:pPr>
        <w:pStyle w:val="174"/>
        <w:numPr>
          <w:ilvl w:val="0"/>
          <w:numId w:val="32"/>
        </w:numPr>
      </w:pPr>
      <w:r>
        <w:rPr>
          <w:rFonts w:hint="eastAsia"/>
        </w:rPr>
        <w:t>春播时间：5月上旬～6月下旬；</w:t>
      </w:r>
    </w:p>
    <w:p w14:paraId="3F331828">
      <w:pPr>
        <w:pStyle w:val="174"/>
      </w:pPr>
      <w:r>
        <w:rPr>
          <w:rFonts w:hint="eastAsia"/>
        </w:rPr>
        <w:t>夏播时间：6月下旬～7月上旬；</w:t>
      </w:r>
    </w:p>
    <w:p w14:paraId="684777B3">
      <w:pPr>
        <w:pStyle w:val="174"/>
      </w:pPr>
      <w:r>
        <w:rPr>
          <w:rFonts w:hint="eastAsia"/>
        </w:rPr>
        <w:t>晚秋寄籽：10月上旬～10月下旬，深秋地温不能使种子发芽即可播种。</w:t>
      </w:r>
    </w:p>
    <w:p w14:paraId="769B7A2F">
      <w:pPr>
        <w:pStyle w:val="105"/>
        <w:spacing w:before="156" w:after="156"/>
      </w:pPr>
      <w:bookmarkStart w:id="114" w:name="_Toc170386961"/>
      <w:bookmarkStart w:id="115" w:name="_Toc170389906"/>
      <w:r>
        <w:rPr>
          <w:rFonts w:hint="eastAsia"/>
        </w:rPr>
        <w:t>播种方式</w:t>
      </w:r>
      <w:bookmarkEnd w:id="114"/>
      <w:bookmarkEnd w:id="115"/>
    </w:p>
    <w:p w14:paraId="36222C52">
      <w:pPr>
        <w:pStyle w:val="56"/>
        <w:ind w:firstLine="420"/>
      </w:pPr>
      <w:r>
        <w:rPr>
          <w:rFonts w:hint="eastAsia"/>
        </w:rPr>
        <w:t>播种方式有条播、撒播、混播、保护播种、间种、套作，可根据收获期细化。</w:t>
      </w:r>
    </w:p>
    <w:p w14:paraId="16D0E106">
      <w:pPr>
        <w:pStyle w:val="174"/>
        <w:numPr>
          <w:ilvl w:val="0"/>
          <w:numId w:val="33"/>
        </w:numPr>
      </w:pPr>
      <w:r>
        <w:rPr>
          <w:rFonts w:hint="eastAsia"/>
        </w:rPr>
        <w:t>收获期相同的：</w:t>
      </w:r>
    </w:p>
    <w:p w14:paraId="5A5CA2C2">
      <w:pPr>
        <w:pStyle w:val="109"/>
      </w:pPr>
      <w:r>
        <w:rPr>
          <w:rFonts w:hint="eastAsia"/>
        </w:rPr>
        <w:t>条播，行距一般为25cm～30cm；</w:t>
      </w:r>
    </w:p>
    <w:p w14:paraId="29EA78F0">
      <w:pPr>
        <w:pStyle w:val="109"/>
      </w:pPr>
      <w:r>
        <w:rPr>
          <w:rFonts w:hint="eastAsia"/>
        </w:rPr>
        <w:t>撒播，撒播播量比条播增加1倍；</w:t>
      </w:r>
    </w:p>
    <w:p w14:paraId="6E83DCDA">
      <w:pPr>
        <w:pStyle w:val="109"/>
      </w:pPr>
      <w:r>
        <w:rPr>
          <w:rFonts w:hint="eastAsia"/>
        </w:rPr>
        <w:t>混播，与其它一种或两种以上的牧草种子进行同行或间行播种，苜蓿比例占50％以上。</w:t>
      </w:r>
    </w:p>
    <w:p w14:paraId="3DC394BF">
      <w:pPr>
        <w:pStyle w:val="174"/>
      </w:pPr>
      <w:r>
        <w:rPr>
          <w:rFonts w:hint="eastAsia"/>
        </w:rPr>
        <w:t>收获期不同的：</w:t>
      </w:r>
    </w:p>
    <w:p w14:paraId="5991A0AF">
      <w:pPr>
        <w:pStyle w:val="109"/>
        <w:numPr>
          <w:ilvl w:val="1"/>
          <w:numId w:val="34"/>
        </w:numPr>
      </w:pPr>
      <w:r>
        <w:rPr>
          <w:rFonts w:hint="eastAsia"/>
        </w:rPr>
        <w:t>套作，在苜蓿生长后期，在行间播种另一种植物，如荞麦(</w:t>
      </w:r>
      <w:r>
        <w:rPr>
          <w:i/>
          <w:iCs/>
        </w:rPr>
        <w:t>Fagopyrum esculentum</w:t>
      </w:r>
      <w:r>
        <w:rPr>
          <w:rFonts w:hint="eastAsia"/>
        </w:rPr>
        <w:t>)、芥菜(</w:t>
      </w:r>
      <w:r>
        <w:rPr>
          <w:i/>
          <w:iCs/>
        </w:rPr>
        <w:t>Brassica juncea</w:t>
      </w:r>
      <w:r>
        <w:rPr>
          <w:rFonts w:hint="eastAsia"/>
        </w:rPr>
        <w:t>)、黍子(</w:t>
      </w:r>
      <w:r>
        <w:rPr>
          <w:i/>
          <w:iCs/>
        </w:rPr>
        <w:t>Panicum miliaceum</w:t>
      </w:r>
      <w:r>
        <w:rPr>
          <w:rFonts w:hint="eastAsia"/>
        </w:rPr>
        <w:t>)等低矮作物或禾本科牧草；</w:t>
      </w:r>
    </w:p>
    <w:p w14:paraId="3ABEE016">
      <w:pPr>
        <w:pStyle w:val="109"/>
      </w:pPr>
      <w:r>
        <w:rPr>
          <w:rFonts w:hint="eastAsia"/>
        </w:rPr>
        <w:t>间种，在同一田地上同一生长期内，按照一定的宽度或分行、分带、相间两种或两种以上作物，</w:t>
      </w:r>
      <w:bookmarkStart w:id="116" w:name="OLE_LINK1"/>
      <w:r>
        <w:rPr>
          <w:rFonts w:hint="eastAsia"/>
        </w:rPr>
        <w:t>如谷子(</w:t>
      </w:r>
      <w:r>
        <w:rPr>
          <w:i/>
          <w:iCs/>
        </w:rPr>
        <w:t>Setaria italica</w:t>
      </w:r>
      <w:r>
        <w:rPr>
          <w:rFonts w:hint="eastAsia"/>
        </w:rPr>
        <w:t>)、马铃薯（</w:t>
      </w:r>
      <w:r>
        <w:rPr>
          <w:rFonts w:hint="eastAsia"/>
          <w:i/>
          <w:iCs/>
        </w:rPr>
        <w:t>Solanum tuberosum</w:t>
      </w:r>
      <w:r>
        <w:rPr>
          <w:rFonts w:hint="eastAsia"/>
        </w:rPr>
        <w:t>）、落花生（</w:t>
      </w:r>
      <w:r>
        <w:rPr>
          <w:rFonts w:hint="eastAsia"/>
          <w:i/>
          <w:iCs/>
        </w:rPr>
        <w:t>Arachis hypogaea</w:t>
      </w:r>
      <w:r>
        <w:rPr>
          <w:rFonts w:hint="eastAsia"/>
        </w:rPr>
        <w:t>)等；</w:t>
      </w:r>
    </w:p>
    <w:bookmarkEnd w:id="116"/>
    <w:p w14:paraId="0BA6D0E5">
      <w:pPr>
        <w:pStyle w:val="109"/>
      </w:pPr>
      <w:r>
        <w:rPr>
          <w:rFonts w:hint="eastAsia"/>
        </w:rPr>
        <w:t>保护播种，种植苜蓿时伴播生长较为迅速的一年生作物，苜蓿比例占60 ％以上。</w:t>
      </w:r>
    </w:p>
    <w:p w14:paraId="6CBC4273">
      <w:pPr>
        <w:pStyle w:val="105"/>
        <w:spacing w:before="156" w:after="156"/>
      </w:pPr>
      <w:bookmarkStart w:id="117" w:name="_Toc170386962"/>
      <w:bookmarkStart w:id="118" w:name="_Toc170389907"/>
      <w:r>
        <w:rPr>
          <w:rFonts w:hint="eastAsia"/>
        </w:rPr>
        <w:t>播种量</w:t>
      </w:r>
      <w:bookmarkEnd w:id="117"/>
      <w:bookmarkEnd w:id="118"/>
    </w:p>
    <w:p w14:paraId="21D00265">
      <w:pPr>
        <w:pStyle w:val="56"/>
        <w:ind w:firstLine="420"/>
      </w:pPr>
      <w:r>
        <w:rPr>
          <w:rFonts w:hint="eastAsia"/>
        </w:rPr>
        <w:t>纯净度95 ％以上，发芽率在85 ％以上。根据生产目标适当调整播种量：</w:t>
      </w:r>
    </w:p>
    <w:p w14:paraId="6337BB49">
      <w:pPr>
        <w:pStyle w:val="174"/>
        <w:numPr>
          <w:ilvl w:val="0"/>
          <w:numId w:val="35"/>
        </w:numPr>
      </w:pPr>
      <w:r>
        <w:rPr>
          <w:rFonts w:hint="eastAsia"/>
        </w:rPr>
        <w:t xml:space="preserve">撒播每公顷播种量为15kg～30kg； </w:t>
      </w:r>
    </w:p>
    <w:p w14:paraId="5DB1E299">
      <w:pPr>
        <w:pStyle w:val="174"/>
      </w:pPr>
      <w:r>
        <w:rPr>
          <w:rFonts w:hint="eastAsia"/>
        </w:rPr>
        <w:t>牧草生产田每公顷播种量为15kg～30kg，行距15cm～30cm；</w:t>
      </w:r>
    </w:p>
    <w:p w14:paraId="1A95D3C8">
      <w:pPr>
        <w:pStyle w:val="174"/>
      </w:pPr>
      <w:r>
        <w:rPr>
          <w:rFonts w:hint="eastAsia"/>
        </w:rPr>
        <w:t>种子生产田每公顷播种量为6kg～7.5kg，行距50cm～60cm。</w:t>
      </w:r>
    </w:p>
    <w:p w14:paraId="6FC8286D">
      <w:pPr>
        <w:pStyle w:val="105"/>
        <w:spacing w:before="156" w:after="156"/>
      </w:pPr>
      <w:bookmarkStart w:id="119" w:name="_Toc170389908"/>
      <w:bookmarkStart w:id="120" w:name="_Toc170386963"/>
      <w:r>
        <w:rPr>
          <w:rFonts w:hint="eastAsia"/>
        </w:rPr>
        <w:t>播种深度</w:t>
      </w:r>
      <w:bookmarkEnd w:id="119"/>
      <w:bookmarkEnd w:id="120"/>
    </w:p>
    <w:p w14:paraId="5958D67C">
      <w:pPr>
        <w:pStyle w:val="56"/>
        <w:ind w:firstLine="420"/>
      </w:pPr>
      <w:bookmarkStart w:id="121" w:name="OLE_LINK6"/>
      <w:r>
        <w:rPr>
          <w:rFonts w:hint="eastAsia"/>
        </w:rPr>
        <w:t>根据土壤质地选和水分条件择适宜播种深度：</w:t>
      </w:r>
    </w:p>
    <w:p w14:paraId="27578D74">
      <w:pPr>
        <w:pStyle w:val="174"/>
        <w:numPr>
          <w:ilvl w:val="0"/>
          <w:numId w:val="36"/>
        </w:numPr>
      </w:pPr>
      <w:r>
        <w:rPr>
          <w:rFonts w:hint="eastAsia"/>
        </w:rPr>
        <w:t>当水分条件较好时：</w:t>
      </w:r>
    </w:p>
    <w:p w14:paraId="70BD87AD">
      <w:pPr>
        <w:pStyle w:val="109"/>
      </w:pPr>
      <w:r>
        <w:rPr>
          <w:rFonts w:hint="eastAsia"/>
        </w:rPr>
        <w:t>沙性土壤以2.0cm为宜；</w:t>
      </w:r>
    </w:p>
    <w:p w14:paraId="38598483">
      <w:pPr>
        <w:pStyle w:val="109"/>
      </w:pPr>
      <w:r>
        <w:rPr>
          <w:rFonts w:hint="eastAsia"/>
        </w:rPr>
        <w:t>粘壤土1.5cm～2.0cm；</w:t>
      </w:r>
    </w:p>
    <w:p w14:paraId="3EEE6FFD">
      <w:pPr>
        <w:pStyle w:val="109"/>
      </w:pPr>
      <w:r>
        <w:rPr>
          <w:rFonts w:hint="eastAsia"/>
        </w:rPr>
        <w:t>粘土1.0cm～1.5cm。</w:t>
      </w:r>
    </w:p>
    <w:p w14:paraId="5F8F0319">
      <w:pPr>
        <w:pStyle w:val="174"/>
      </w:pPr>
      <w:r>
        <w:rPr>
          <w:rFonts w:hint="eastAsia"/>
        </w:rPr>
        <w:t>水分条件较差时，沙区旱作条件下，播种深度可增加至3.0cm。</w:t>
      </w:r>
    </w:p>
    <w:bookmarkEnd w:id="121"/>
    <w:p w14:paraId="229AA3DE">
      <w:pPr>
        <w:pStyle w:val="105"/>
        <w:spacing w:before="156" w:after="156"/>
      </w:pPr>
      <w:bookmarkStart w:id="122" w:name="_Toc170389909"/>
      <w:bookmarkStart w:id="123" w:name="_Toc170386964"/>
      <w:r>
        <w:rPr>
          <w:rFonts w:hint="eastAsia"/>
        </w:rPr>
        <w:t>覆土厚度及镇压</w:t>
      </w:r>
      <w:bookmarkEnd w:id="122"/>
      <w:bookmarkEnd w:id="123"/>
    </w:p>
    <w:p w14:paraId="1FCF2F56">
      <w:pPr>
        <w:pStyle w:val="56"/>
        <w:ind w:firstLine="420"/>
      </w:pPr>
      <w:r>
        <w:rPr>
          <w:rFonts w:hint="eastAsia"/>
        </w:rPr>
        <w:t>覆土厚度1cm～2cm 。覆土后需镇压一次。</w:t>
      </w:r>
    </w:p>
    <w:p w14:paraId="420546FE">
      <w:pPr>
        <w:pStyle w:val="104"/>
        <w:spacing w:before="312" w:after="312"/>
      </w:pPr>
      <w:bookmarkStart w:id="124" w:name="_Toc170389930"/>
      <w:bookmarkStart w:id="125" w:name="_Toc170389910"/>
      <w:bookmarkStart w:id="126" w:name="_Toc169284024"/>
      <w:bookmarkStart w:id="127" w:name="_Toc169330681"/>
      <w:bookmarkStart w:id="128" w:name="_Toc170386965"/>
      <w:bookmarkStart w:id="129" w:name="_Toc169281785"/>
      <w:r>
        <w:rPr>
          <w:rFonts w:hint="eastAsia"/>
        </w:rPr>
        <w:t>田间管理</w:t>
      </w:r>
      <w:bookmarkEnd w:id="124"/>
      <w:bookmarkEnd w:id="125"/>
      <w:bookmarkEnd w:id="126"/>
      <w:bookmarkEnd w:id="127"/>
      <w:bookmarkEnd w:id="128"/>
      <w:bookmarkEnd w:id="129"/>
    </w:p>
    <w:p w14:paraId="25973DDB">
      <w:pPr>
        <w:pStyle w:val="105"/>
        <w:spacing w:before="156" w:after="156"/>
      </w:pPr>
      <w:bookmarkStart w:id="130" w:name="_Toc170389911"/>
      <w:bookmarkStart w:id="131" w:name="_Toc170386966"/>
      <w:r>
        <w:rPr>
          <w:rFonts w:hint="eastAsia"/>
        </w:rPr>
        <w:t>杂草防除</w:t>
      </w:r>
      <w:bookmarkEnd w:id="130"/>
      <w:bookmarkEnd w:id="131"/>
    </w:p>
    <w:p w14:paraId="40556CEA">
      <w:pPr>
        <w:pStyle w:val="56"/>
        <w:ind w:firstLine="420"/>
      </w:pPr>
      <w:r>
        <w:rPr>
          <w:rFonts w:hint="eastAsia"/>
        </w:rPr>
        <w:t>执行DB15/T 2662的规定，可釆用物理防治和化学防治。</w:t>
      </w:r>
    </w:p>
    <w:p w14:paraId="7D484D03">
      <w:pPr>
        <w:pStyle w:val="174"/>
      </w:pPr>
      <w:r>
        <w:rPr>
          <w:rFonts w:hint="eastAsia"/>
        </w:rPr>
        <w:t>人工或机械铲除：当杂草在田间生长2～3片叶时用人工拔除杂草或用中耕机械铲除杂草。</w:t>
      </w:r>
    </w:p>
    <w:p w14:paraId="50D2E4ED">
      <w:pPr>
        <w:pStyle w:val="174"/>
      </w:pPr>
      <w:r>
        <w:rPr>
          <w:rFonts w:hint="eastAsia"/>
        </w:rPr>
        <w:t>化学除草剂：当杂草在田间生长3～4片叶时，将除草剂均匀喷洒在杂草植株上。除草剂的使用执行NY/T 1276、NY/T 1997和GB/T 8321的规定。</w:t>
      </w:r>
    </w:p>
    <w:p w14:paraId="062CB09C">
      <w:pPr>
        <w:pStyle w:val="105"/>
        <w:spacing w:before="156" w:after="156"/>
      </w:pPr>
      <w:bookmarkStart w:id="132" w:name="_Toc170386967"/>
      <w:bookmarkStart w:id="133" w:name="_Toc170389912"/>
      <w:r>
        <w:rPr>
          <w:rFonts w:hint="eastAsia"/>
        </w:rPr>
        <w:t>灌溉</w:t>
      </w:r>
      <w:bookmarkEnd w:id="132"/>
      <w:bookmarkEnd w:id="133"/>
    </w:p>
    <w:p w14:paraId="38508369">
      <w:pPr>
        <w:pStyle w:val="56"/>
        <w:ind w:firstLine="420"/>
      </w:pPr>
      <w:r>
        <w:rPr>
          <w:rFonts w:hint="eastAsia" w:hAnsi="宋体" w:cs="宋体"/>
        </w:rPr>
        <w:t>降水量低于310mm的地块，宜</w:t>
      </w:r>
      <w:r>
        <w:rPr>
          <w:rFonts w:hint="eastAsia"/>
        </w:rPr>
        <w:t>每年灌水1～3次。</w:t>
      </w:r>
    </w:p>
    <w:p w14:paraId="3AE1CAA0">
      <w:pPr>
        <w:pStyle w:val="56"/>
        <w:ind w:firstLine="420"/>
      </w:pPr>
    </w:p>
    <w:p w14:paraId="042CABF6">
      <w:pPr>
        <w:pStyle w:val="105"/>
        <w:spacing w:before="156" w:after="156"/>
      </w:pPr>
      <w:bookmarkStart w:id="134" w:name="_Toc170389913"/>
      <w:bookmarkStart w:id="135" w:name="_Toc170386968"/>
      <w:bookmarkStart w:id="136" w:name="OLE_LINK7"/>
      <w:r>
        <w:rPr>
          <w:rFonts w:hint="eastAsia"/>
        </w:rPr>
        <w:t>有害生物防治</w:t>
      </w:r>
      <w:bookmarkEnd w:id="134"/>
      <w:bookmarkEnd w:id="135"/>
    </w:p>
    <w:p w14:paraId="2C2AC196">
      <w:pPr>
        <w:pStyle w:val="65"/>
        <w:spacing w:before="156" w:after="156"/>
      </w:pPr>
      <w:bookmarkStart w:id="137" w:name="_Toc170389914"/>
      <w:bookmarkStart w:id="138" w:name="_Toc170386969"/>
      <w:r>
        <w:rPr>
          <w:rFonts w:hint="eastAsia"/>
        </w:rPr>
        <w:t>病害防治</w:t>
      </w:r>
      <w:bookmarkEnd w:id="137"/>
      <w:bookmarkEnd w:id="138"/>
    </w:p>
    <w:p w14:paraId="4BB4C70B">
      <w:pPr>
        <w:pStyle w:val="56"/>
        <w:ind w:firstLine="420"/>
      </w:pPr>
      <w:r>
        <w:rPr>
          <w:rFonts w:hint="eastAsia"/>
        </w:rPr>
        <w:t>病害主要有锈病（</w:t>
      </w:r>
      <w:r>
        <w:rPr>
          <w:rFonts w:hint="eastAsia"/>
          <w:i/>
          <w:iCs/>
        </w:rPr>
        <w:t>Uromyces striatus</w:t>
      </w:r>
      <w:r>
        <w:rPr>
          <w:rFonts w:hint="eastAsia"/>
        </w:rPr>
        <w:t>）、霜霉病（</w:t>
      </w:r>
      <w:r>
        <w:rPr>
          <w:rFonts w:hint="eastAsia"/>
          <w:i/>
          <w:iCs/>
        </w:rPr>
        <w:t>Leveillula leguminosarum</w:t>
      </w:r>
      <w:r>
        <w:rPr>
          <w:rFonts w:hint="eastAsia"/>
        </w:rPr>
        <w:t>）、白粉病（</w:t>
      </w:r>
      <w:r>
        <w:rPr>
          <w:rFonts w:hint="eastAsia"/>
          <w:i/>
          <w:iCs/>
        </w:rPr>
        <w:t>Peronospora aestivalis</w:t>
      </w:r>
      <w:r>
        <w:rPr>
          <w:rFonts w:hint="eastAsia"/>
        </w:rPr>
        <w:t>）、褐斑病（</w:t>
      </w:r>
      <w:r>
        <w:rPr>
          <w:rFonts w:hint="eastAsia"/>
          <w:i/>
          <w:iCs/>
        </w:rPr>
        <w:t>Pseudopeziza medicaginis</w:t>
      </w:r>
      <w:r>
        <w:rPr>
          <w:rFonts w:hint="eastAsia"/>
        </w:rPr>
        <w:t>）、炭疽病（</w:t>
      </w:r>
      <w:r>
        <w:rPr>
          <w:rFonts w:hint="eastAsia"/>
          <w:i/>
          <w:iCs/>
        </w:rPr>
        <w:t>Colletotrichua destructivum</w:t>
      </w:r>
      <w:r>
        <w:rPr>
          <w:rFonts w:hint="eastAsia"/>
        </w:rPr>
        <w:t>）、菌核病（</w:t>
      </w:r>
      <w:r>
        <w:rPr>
          <w:rFonts w:hint="eastAsia"/>
          <w:i/>
          <w:iCs/>
        </w:rPr>
        <w:t>Sclerotinia trifoliorum</w:t>
      </w:r>
      <w:r>
        <w:rPr>
          <w:rFonts w:hint="eastAsia"/>
        </w:rPr>
        <w:t>）、黄萎病（</w:t>
      </w:r>
      <w:r>
        <w:rPr>
          <w:rFonts w:hint="eastAsia"/>
          <w:i/>
          <w:iCs/>
        </w:rPr>
        <w:t>Verticillium albo－atrum</w:t>
      </w:r>
      <w:r>
        <w:rPr>
          <w:rFonts w:hint="eastAsia"/>
        </w:rPr>
        <w:t>）。防治时，执行GB/T 8321、NY/T 1276、DB15/T 2661的规定，宜采用无公害防治方法。</w:t>
      </w:r>
    </w:p>
    <w:p w14:paraId="4BFB82C4">
      <w:pPr>
        <w:pStyle w:val="174"/>
        <w:numPr>
          <w:ilvl w:val="0"/>
          <w:numId w:val="37"/>
        </w:numPr>
      </w:pPr>
      <w:r>
        <w:rPr>
          <w:rFonts w:hint="eastAsia"/>
        </w:rPr>
        <w:t>栽培管理防治：合理排灌、合理种植密度与禾本科牧草混播。</w:t>
      </w:r>
    </w:p>
    <w:p w14:paraId="56FFBF57">
      <w:pPr>
        <w:pStyle w:val="174"/>
        <w:numPr>
          <w:ilvl w:val="0"/>
          <w:numId w:val="37"/>
        </w:numPr>
      </w:pPr>
      <w:r>
        <w:rPr>
          <w:rFonts w:hint="eastAsia"/>
        </w:rPr>
        <w:t>物理防治：主要是用于种子和土壤处理：</w:t>
      </w:r>
    </w:p>
    <w:p w14:paraId="2CF1F77B">
      <w:pPr>
        <w:pStyle w:val="109"/>
        <w:numPr>
          <w:ilvl w:val="1"/>
          <w:numId w:val="38"/>
        </w:numPr>
      </w:pPr>
      <w:r>
        <w:rPr>
          <w:rFonts w:hint="eastAsia"/>
        </w:rPr>
        <w:t>采用有机械处理法，利用风力、浮力或过筛的方法粗选健康种子；</w:t>
      </w:r>
    </w:p>
    <w:p w14:paraId="412E5B45">
      <w:pPr>
        <w:pStyle w:val="109"/>
      </w:pPr>
      <w:r>
        <w:rPr>
          <w:rFonts w:hint="eastAsia"/>
        </w:rPr>
        <w:t>热处理法用于种子的温汤浸种。</w:t>
      </w:r>
    </w:p>
    <w:p w14:paraId="1229D1CB">
      <w:pPr>
        <w:pStyle w:val="174"/>
      </w:pPr>
      <w:r>
        <w:rPr>
          <w:rFonts w:hint="eastAsia"/>
        </w:rPr>
        <w:t>生物防治：利用绿色木霉或荧光假单胞杆菌微生物农药拌种。</w:t>
      </w:r>
    </w:p>
    <w:p w14:paraId="540BEA13">
      <w:pPr>
        <w:pStyle w:val="174"/>
      </w:pPr>
      <w:r>
        <w:rPr>
          <w:rFonts w:hint="eastAsia"/>
        </w:rPr>
        <w:t>化学防治，防治锈病可用20 ％粉锈宁乳油1000～1500倍液，霜霉病用65％代森锌可湿性粉剂400～500倍液，白粉病用</w:t>
      </w:r>
      <w:r>
        <w:t>70</w:t>
      </w:r>
      <w:r>
        <w:rPr>
          <w:rFonts w:hint="eastAsia"/>
        </w:rPr>
        <w:t>％甲基托布津可湿性粉剂1000倍液，褐斑病用50％多菌灵可湿性500～800倍液,炭疽病用50％福美双可湿性粉剂，菌核病用50 ％速克灵可湿性粉剂1000～1500倍液，黄萎病用50％福美双可湿性粉剂500～700倍液喷雾防治。</w:t>
      </w:r>
    </w:p>
    <w:p w14:paraId="0A9644C7">
      <w:pPr>
        <w:pStyle w:val="65"/>
        <w:spacing w:before="156" w:after="156"/>
      </w:pPr>
      <w:bookmarkStart w:id="139" w:name="_Toc170389915"/>
      <w:bookmarkStart w:id="140" w:name="_Toc170386970"/>
      <w:r>
        <w:rPr>
          <w:rFonts w:hint="eastAsia"/>
        </w:rPr>
        <w:t>虫害的防治</w:t>
      </w:r>
      <w:bookmarkEnd w:id="139"/>
      <w:bookmarkEnd w:id="140"/>
    </w:p>
    <w:p w14:paraId="019D4773">
      <w:pPr>
        <w:pStyle w:val="56"/>
        <w:ind w:firstLine="420"/>
      </w:pPr>
      <w:r>
        <w:rPr>
          <w:rFonts w:hint="eastAsia"/>
        </w:rPr>
        <w:t>虫害有蝗虫、蚜虫、金龟子、粘虫、潜叶蝇、蓟马、盲椿象和夜蛾类昆虫和草地螟（</w:t>
      </w:r>
      <w:r>
        <w:rPr>
          <w:i/>
          <w:iCs/>
        </w:rPr>
        <w:t>Loxostege sticticalis</w:t>
      </w:r>
      <w:r>
        <w:rPr>
          <w:rFonts w:hint="eastAsia"/>
        </w:rPr>
        <w:t>）。防治时，执行GB/T 8321、NY/T 1276、DB15/T 2661的规定。采用化学防治时，蝗虫、蚜虫、蓟马、粘虫、盲椿象、潜叶蝇用0.3％</w:t>
      </w:r>
      <w:r>
        <w:rPr>
          <w:rFonts w:ascii="Helvetica" w:hAnsi="Helvetica"/>
          <w:color w:val="333333"/>
          <w:szCs w:val="21"/>
          <w:shd w:val="clear" w:color="auto" w:fill="FFFFFF"/>
        </w:rPr>
        <w:t>苦参碱水剂</w:t>
      </w:r>
      <w:r>
        <w:rPr>
          <w:rFonts w:hint="eastAsia"/>
        </w:rPr>
        <w:t>、0.3％印楝素乳油或1.2 ％烟碱</w:t>
      </w:r>
      <w:r>
        <w:rPr>
          <w:rFonts w:hint="eastAsia" w:hAnsi="宋体"/>
        </w:rPr>
        <w:t>·</w:t>
      </w:r>
      <w:r>
        <w:rPr>
          <w:rFonts w:hint="eastAsia"/>
        </w:rPr>
        <w:t>苦参碱乳油1000～1500倍液，5 ％吡虫啉乳油2000～3000倍液，或40％乐果乳剂1000～1500倍液喷洒防治；防止粘虫可用菊酯类喷洒防治；防治夜蛾类和白粉虱用菊脂类与苏云金杆菌混用，或辛硫磷与菊脂类药混用。</w:t>
      </w:r>
    </w:p>
    <w:p w14:paraId="3BF4ECC3">
      <w:pPr>
        <w:pStyle w:val="65"/>
        <w:spacing w:before="156" w:after="156"/>
      </w:pPr>
      <w:bookmarkStart w:id="141" w:name="_Toc170386971"/>
      <w:bookmarkStart w:id="142" w:name="_Toc170389916"/>
      <w:bookmarkStart w:id="143" w:name="_Toc169281786"/>
      <w:r>
        <w:rPr>
          <w:rFonts w:hint="eastAsia"/>
        </w:rPr>
        <w:t>鼠害的防治</w:t>
      </w:r>
      <w:bookmarkEnd w:id="141"/>
      <w:bookmarkEnd w:id="142"/>
    </w:p>
    <w:p w14:paraId="39AF7B7B">
      <w:pPr>
        <w:pStyle w:val="56"/>
        <w:ind w:firstLine="420"/>
      </w:pPr>
      <w:r>
        <w:rPr>
          <w:rFonts w:hint="eastAsia"/>
        </w:rPr>
        <w:t>鼠害有鼢鼠（</w:t>
      </w:r>
      <w:r>
        <w:rPr>
          <w:i/>
          <w:iCs/>
        </w:rPr>
        <w:t>Myospalax fontanieri</w:t>
      </w:r>
      <w:r>
        <w:rPr>
          <w:rFonts w:hint="eastAsia"/>
        </w:rPr>
        <w:t>）、黄鼠（</w:t>
      </w:r>
      <w:r>
        <w:rPr>
          <w:i/>
          <w:iCs/>
        </w:rPr>
        <w:t>Citellus dauricus</w:t>
      </w:r>
      <w:r>
        <w:rPr>
          <w:rFonts w:hint="eastAsia"/>
        </w:rPr>
        <w:t>）、跳鼠、鼠兔，有物理防治和化学防治两种方式。</w:t>
      </w:r>
    </w:p>
    <w:p w14:paraId="35759B13">
      <w:pPr>
        <w:pStyle w:val="174"/>
        <w:numPr>
          <w:ilvl w:val="0"/>
          <w:numId w:val="39"/>
        </w:numPr>
      </w:pPr>
      <w:r>
        <w:rPr>
          <w:rFonts w:hint="eastAsia"/>
        </w:rPr>
        <w:t>物理防治：捕鼠夹、捕鼠笼、粘鼠板、拍鼠板、鼢鼠箭、洞道箭。</w:t>
      </w:r>
    </w:p>
    <w:p w14:paraId="52BFC0B0">
      <w:pPr>
        <w:pStyle w:val="174"/>
        <w:numPr>
          <w:ilvl w:val="0"/>
          <w:numId w:val="39"/>
        </w:numPr>
      </w:pPr>
      <w:r>
        <w:rPr>
          <w:rFonts w:hint="eastAsia"/>
        </w:rPr>
        <w:t>化学防治：20.02％地芬诺酯</w:t>
      </w:r>
      <w:r>
        <w:rPr>
          <w:rFonts w:hint="eastAsia" w:hAnsi="宋体"/>
        </w:rPr>
        <w:t>·</w:t>
      </w:r>
      <w:r>
        <w:rPr>
          <w:rFonts w:hint="eastAsia"/>
        </w:rPr>
        <w:t>硫酸钡饵剂，一般每公顷用量为1500g～2000g。</w:t>
      </w:r>
    </w:p>
    <w:bookmarkEnd w:id="136"/>
    <w:p w14:paraId="5B339961">
      <w:pPr>
        <w:pStyle w:val="104"/>
        <w:spacing w:before="312" w:after="312"/>
      </w:pPr>
      <w:bookmarkStart w:id="144" w:name="_Toc170389917"/>
      <w:bookmarkStart w:id="145" w:name="_Toc170386972"/>
      <w:bookmarkStart w:id="146" w:name="_Toc170389931"/>
      <w:bookmarkStart w:id="147" w:name="_Toc169284025"/>
      <w:bookmarkStart w:id="148" w:name="_Toc169330682"/>
      <w:bookmarkStart w:id="149" w:name="OLE_LINK8"/>
      <w:r>
        <w:rPr>
          <w:rFonts w:hint="eastAsia"/>
        </w:rPr>
        <w:t>收割利用</w:t>
      </w:r>
      <w:bookmarkEnd w:id="143"/>
      <w:bookmarkEnd w:id="144"/>
      <w:bookmarkEnd w:id="145"/>
      <w:bookmarkEnd w:id="146"/>
      <w:bookmarkEnd w:id="147"/>
      <w:bookmarkEnd w:id="148"/>
    </w:p>
    <w:p w14:paraId="055CD7FA">
      <w:pPr>
        <w:pStyle w:val="56"/>
        <w:ind w:firstLine="420"/>
      </w:pPr>
      <w:r>
        <w:rPr>
          <w:rFonts w:hint="eastAsia"/>
        </w:rPr>
        <w:t>刈割时留茬高度5cm～6cm。一般釆用两种利用方式。</w:t>
      </w:r>
    </w:p>
    <w:p w14:paraId="51DF6B45">
      <w:pPr>
        <w:pStyle w:val="174"/>
        <w:numPr>
          <w:ilvl w:val="0"/>
          <w:numId w:val="40"/>
        </w:numPr>
      </w:pPr>
      <w:r>
        <w:rPr>
          <w:rFonts w:hint="eastAsia"/>
        </w:rPr>
        <w:t>收获牧草，以初花期或始花期到盛花期刈割为最佳刈割期，根据产品需要：</w:t>
      </w:r>
    </w:p>
    <w:p w14:paraId="2B7762F8">
      <w:pPr>
        <w:pStyle w:val="109"/>
      </w:pPr>
      <w:r>
        <w:rPr>
          <w:rFonts w:hint="eastAsia"/>
        </w:rPr>
        <w:t>制作青贮饲料，执行DB15/T 2374的规定；</w:t>
      </w:r>
    </w:p>
    <w:p w14:paraId="760EB348">
      <w:pPr>
        <w:pStyle w:val="109"/>
      </w:pPr>
      <w:r>
        <w:rPr>
          <w:rFonts w:hint="eastAsia"/>
        </w:rPr>
        <w:t>制作草捆，执行DB15/T 2664的规定；</w:t>
      </w:r>
    </w:p>
    <w:p w14:paraId="549E8A43">
      <w:pPr>
        <w:pStyle w:val="109"/>
      </w:pPr>
      <w:r>
        <w:rPr>
          <w:rFonts w:hint="eastAsia"/>
        </w:rPr>
        <w:t>晒制干草，执行</w:t>
      </w:r>
      <w:r>
        <w:t>NY/T 1574</w:t>
      </w:r>
      <w:r>
        <w:rPr>
          <w:rFonts w:hint="eastAsia"/>
        </w:rPr>
        <w:t>、DB15/T 2373的规定；</w:t>
      </w:r>
    </w:p>
    <w:p w14:paraId="457BFE46">
      <w:pPr>
        <w:pStyle w:val="109"/>
      </w:pPr>
      <w:r>
        <w:rPr>
          <w:rFonts w:hint="eastAsia"/>
        </w:rPr>
        <w:t>加工草粉，执行DB15/T 2666的规定；</w:t>
      </w:r>
    </w:p>
    <w:p w14:paraId="019FE311">
      <w:pPr>
        <w:pStyle w:val="109"/>
      </w:pPr>
      <w:r>
        <w:rPr>
          <w:rFonts w:hint="eastAsia"/>
        </w:rPr>
        <w:t>制作颗粒，执行DB15/T 2667的规定。</w:t>
      </w:r>
    </w:p>
    <w:p w14:paraId="4B1C67B3">
      <w:pPr>
        <w:pStyle w:val="174"/>
        <w:numPr>
          <w:ilvl w:val="0"/>
          <w:numId w:val="40"/>
        </w:numPr>
      </w:pPr>
      <w:r>
        <w:rPr>
          <w:rFonts w:hint="eastAsia"/>
        </w:rPr>
        <w:t xml:space="preserve"> 收获种子，种植当年不收获种子，翌年当荚果变成 </w:t>
      </w:r>
      <w:r>
        <w:t>⅔</w:t>
      </w:r>
      <w:r>
        <w:rPr>
          <w:rFonts w:hint="eastAsia"/>
        </w:rPr>
        <w:t>浅黄色或褐色，标志种子成熟时收割。</w:t>
      </w:r>
    </w:p>
    <w:p w14:paraId="27C0F014">
      <w:pPr>
        <w:pStyle w:val="109"/>
        <w:numPr>
          <w:ilvl w:val="1"/>
          <w:numId w:val="41"/>
        </w:numPr>
      </w:pPr>
      <w:r>
        <w:rPr>
          <w:rFonts w:hint="eastAsia"/>
        </w:rPr>
        <w:t>清选种子，种子清选按照NY</w:t>
      </w:r>
      <w:r>
        <w:rPr>
          <w:rFonts w:hint="eastAsia" w:hAnsi="宋体" w:cs="宋体"/>
        </w:rPr>
        <w:t>/T 1780的规定执行；</w:t>
      </w:r>
    </w:p>
    <w:p w14:paraId="4F87AE1A">
      <w:pPr>
        <w:pStyle w:val="109"/>
      </w:pPr>
      <w:r>
        <w:rPr>
          <w:rFonts w:hint="eastAsia" w:hAnsi="宋体" w:cs="宋体"/>
        </w:rPr>
        <w:t>质量检验</w:t>
      </w:r>
      <w:r>
        <w:rPr>
          <w:rFonts w:hint="eastAsia"/>
        </w:rPr>
        <w:t>，执照GB</w:t>
      </w:r>
      <w:r>
        <w:rPr>
          <w:rFonts w:hint="eastAsia" w:hAnsi="宋体" w:cs="宋体"/>
        </w:rPr>
        <w:t>/T 2930.1、</w:t>
      </w:r>
      <w:r>
        <w:rPr>
          <w:rFonts w:hint="eastAsia"/>
        </w:rPr>
        <w:t>GB</w:t>
      </w:r>
      <w:r>
        <w:rPr>
          <w:rFonts w:hint="eastAsia" w:hAnsi="宋体" w:cs="宋体"/>
        </w:rPr>
        <w:t>/T 2930.2、</w:t>
      </w:r>
      <w:r>
        <w:rPr>
          <w:rFonts w:hint="eastAsia"/>
        </w:rPr>
        <w:t>GB</w:t>
      </w:r>
      <w:r>
        <w:rPr>
          <w:rFonts w:hint="eastAsia" w:hAnsi="宋体" w:cs="宋体"/>
        </w:rPr>
        <w:t>/T 2930.3、GB/T2930.4、GB/T 2930.8的规定执行；</w:t>
      </w:r>
    </w:p>
    <w:p w14:paraId="68ECEA7E">
      <w:pPr>
        <w:pStyle w:val="109"/>
      </w:pPr>
      <w:r>
        <w:rPr>
          <w:rFonts w:hint="eastAsia"/>
        </w:rPr>
        <w:t>种子分级，按照GB</w:t>
      </w:r>
      <w:r>
        <w:rPr>
          <w:rFonts w:hint="eastAsia" w:hAnsi="宋体" w:cs="宋体"/>
        </w:rPr>
        <w:t>/T</w:t>
      </w:r>
      <w:r>
        <w:rPr>
          <w:rFonts w:hint="eastAsia"/>
        </w:rPr>
        <w:t xml:space="preserve"> 6141的规定执行；</w:t>
      </w:r>
    </w:p>
    <w:p w14:paraId="02A00875">
      <w:pPr>
        <w:pStyle w:val="109"/>
      </w:pPr>
      <w:r>
        <w:rPr>
          <w:rFonts w:hint="eastAsia"/>
        </w:rPr>
        <w:t>包装，合格种子应进行包装，包装与标识按照NY</w:t>
      </w:r>
      <w:r>
        <w:rPr>
          <w:rFonts w:hint="eastAsia" w:hAnsi="宋体" w:cs="宋体"/>
        </w:rPr>
        <w:t>/T 1780的相关规定执行，贮藏于通风、干燥的库房。</w:t>
      </w:r>
    </w:p>
    <w:bookmarkEnd w:id="149"/>
    <w:p w14:paraId="0C13C3B3">
      <w:pPr>
        <w:pStyle w:val="104"/>
        <w:spacing w:before="312" w:after="312"/>
        <w:rPr>
          <w:rFonts w:hint="eastAsia" w:eastAsia="宋体"/>
          <w:lang w:eastAsia="zh-CN"/>
        </w:rPr>
      </w:pPr>
      <w:bookmarkStart w:id="150" w:name="_Toc170386973"/>
      <w:bookmarkStart w:id="151" w:name="_Toc170389918"/>
      <w:bookmarkStart w:id="152" w:name="_Toc169284026"/>
      <w:bookmarkStart w:id="153" w:name="_Toc170389932"/>
      <w:bookmarkStart w:id="154" w:name="_Toc169330683"/>
      <w:bookmarkStart w:id="155" w:name="_Toc169281787"/>
      <w:r>
        <w:rPr>
          <w:rFonts w:hint="eastAsia"/>
        </w:rPr>
        <w:t>档案管理</w:t>
      </w:r>
      <w:bookmarkEnd w:id="150"/>
      <w:bookmarkEnd w:id="151"/>
      <w:bookmarkEnd w:id="152"/>
      <w:bookmarkEnd w:id="153"/>
      <w:bookmarkEnd w:id="154"/>
      <w:bookmarkEnd w:id="155"/>
    </w:p>
    <w:p w14:paraId="3DB67538">
      <w:pPr>
        <w:pStyle w:val="56"/>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档案分为文书档案、科技档案和会计档案。文书档案按照DA/T 22规定执行；科技档案按照GB/T 11822</w:t>
      </w:r>
      <w:r>
        <w:rPr>
          <w:rFonts w:hint="eastAsia"/>
          <w:lang w:val="en-US" w:eastAsia="zh-CN"/>
        </w:rPr>
        <w:t>规定</w:t>
      </w:r>
      <w:r>
        <w:rPr>
          <w:rFonts w:hint="eastAsia" w:ascii="宋体" w:hAnsi="Times New Roman" w:eastAsia="宋体" w:cs="Times New Roman"/>
          <w:sz w:val="21"/>
          <w:lang w:val="en-US" w:eastAsia="zh-CN" w:bidi="ar-SA"/>
        </w:rPr>
        <w:t>执行</w:t>
      </w:r>
      <w:bookmarkEnd w:id="30"/>
    </w:p>
    <w:p w14:paraId="71A93B52">
      <w:pPr>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br w:type="page"/>
      </w:r>
    </w:p>
    <w:p w14:paraId="3F36D3E1">
      <w:pPr>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1</w:t>
      </w:r>
      <w:r>
        <w:rPr>
          <w:rFonts w:hint="eastAsia" w:ascii="仿宋_GB2312" w:eastAsia="仿宋_GB2312"/>
          <w:sz w:val="32"/>
          <w:szCs w:val="32"/>
        </w:rPr>
        <w:t>3</w:t>
      </w:r>
    </w:p>
    <w:p w14:paraId="046EB883">
      <w:pPr>
        <w:pStyle w:val="122"/>
        <w:framePr w:w="9084" w:h="628" w:hRule="exact" w:wrap="around" w:vAnchor="page" w:hAnchor="page" w:x="1472" w:y="2107"/>
        <w:jc w:val="center"/>
        <w:rPr>
          <w:rFonts w:hint="eastAsia" w:ascii="方正小标宋简体" w:eastAsia="方正小标宋简体"/>
          <w:sz w:val="44"/>
          <w:szCs w:val="44"/>
        </w:rPr>
      </w:pPr>
      <w:r>
        <w:rPr>
          <w:rFonts w:hint="eastAsia" w:ascii="方正小标宋简体" w:eastAsia="方正小标宋简体"/>
          <w:sz w:val="44"/>
          <w:szCs w:val="44"/>
          <w:lang w:eastAsia="zh-CN"/>
        </w:rPr>
        <w:t>赤峰市</w:t>
      </w:r>
      <w:r>
        <w:rPr>
          <w:rFonts w:hint="eastAsia" w:ascii="方正小标宋简体" w:eastAsia="方正小标宋简体"/>
          <w:sz w:val="44"/>
          <w:szCs w:val="44"/>
        </w:rPr>
        <w:t>地方标准（征求意见稿）意见反馈表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035"/>
        <w:gridCol w:w="1529"/>
        <w:gridCol w:w="1144"/>
        <w:gridCol w:w="1749"/>
        <w:gridCol w:w="446"/>
        <w:gridCol w:w="1227"/>
        <w:gridCol w:w="1732"/>
      </w:tblGrid>
      <w:tr w14:paraId="7E81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pct"/>
            <w:gridSpan w:val="2"/>
            <w:tcBorders>
              <w:top w:val="single" w:color="auto" w:sz="4" w:space="0"/>
              <w:left w:val="single" w:color="auto" w:sz="4" w:space="0"/>
              <w:bottom w:val="single" w:color="auto" w:sz="4" w:space="0"/>
              <w:right w:val="nil"/>
            </w:tcBorders>
            <w:noWrap w:val="0"/>
            <w:vAlign w:val="center"/>
          </w:tcPr>
          <w:p w14:paraId="44332FB1">
            <w:pPr>
              <w:autoSpaceDE w:val="0"/>
              <w:spacing w:line="600" w:lineRule="exact"/>
              <w:jc w:val="center"/>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地方标准名称</w:t>
            </w:r>
          </w:p>
        </w:tc>
        <w:tc>
          <w:tcPr>
            <w:tcW w:w="4090" w:type="pct"/>
            <w:gridSpan w:val="6"/>
            <w:tcBorders>
              <w:top w:val="single" w:color="auto" w:sz="4" w:space="0"/>
              <w:left w:val="single" w:color="auto" w:sz="4" w:space="0"/>
              <w:bottom w:val="single" w:color="auto" w:sz="4" w:space="0"/>
              <w:right w:val="single" w:color="auto" w:sz="4" w:space="0"/>
            </w:tcBorders>
            <w:noWrap w:val="0"/>
            <w:vAlign w:val="center"/>
          </w:tcPr>
          <w:p w14:paraId="0F4E0A04">
            <w:pPr>
              <w:autoSpaceDE w:val="0"/>
              <w:spacing w:line="600" w:lineRule="exact"/>
              <w:jc w:val="center"/>
              <w:rPr>
                <w:rFonts w:hint="eastAsia" w:ascii="CESI仿宋-GB2312" w:hAnsi="CESI仿宋-GB2312" w:eastAsia="CESI仿宋-GB2312" w:cs="CESI仿宋-GB2312"/>
                <w:sz w:val="32"/>
                <w:szCs w:val="32"/>
              </w:rPr>
            </w:pPr>
            <w:r>
              <w:rPr>
                <w:rFonts w:hint="eastAsia" w:ascii="CESI仿宋-GB2312" w:hAnsi="CESI仿宋-GB2312" w:eastAsia="CESI仿宋-GB2312" w:cs="CESI仿宋-GB2312"/>
                <w:b/>
                <w:bCs/>
                <w:sz w:val="32"/>
                <w:szCs w:val="32"/>
              </w:rPr>
              <w:t>“敖汉苜蓿栽培技术规程”</w:t>
            </w:r>
          </w:p>
        </w:tc>
      </w:tr>
      <w:tr w14:paraId="0845B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pct"/>
            <w:gridSpan w:val="2"/>
            <w:tcBorders>
              <w:top w:val="single" w:color="auto" w:sz="4" w:space="0"/>
              <w:left w:val="single" w:color="auto" w:sz="4" w:space="0"/>
              <w:bottom w:val="single" w:color="auto" w:sz="4" w:space="0"/>
              <w:right w:val="nil"/>
            </w:tcBorders>
            <w:noWrap w:val="0"/>
            <w:vAlign w:val="center"/>
          </w:tcPr>
          <w:p w14:paraId="12267125">
            <w:pPr>
              <w:autoSpaceDE w:val="0"/>
              <w:spacing w:line="600" w:lineRule="exact"/>
              <w:jc w:val="center"/>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反馈人姓名</w:t>
            </w:r>
          </w:p>
        </w:tc>
        <w:tc>
          <w:tcPr>
            <w:tcW w:w="799" w:type="pct"/>
            <w:tcBorders>
              <w:top w:val="single" w:color="auto" w:sz="4" w:space="0"/>
              <w:left w:val="single" w:color="auto" w:sz="4" w:space="0"/>
              <w:bottom w:val="single" w:color="auto" w:sz="4" w:space="0"/>
              <w:right w:val="single" w:color="auto" w:sz="4" w:space="0"/>
            </w:tcBorders>
            <w:noWrap w:val="0"/>
            <w:vAlign w:val="center"/>
          </w:tcPr>
          <w:p w14:paraId="03A8DEF2">
            <w:pPr>
              <w:autoSpaceDE w:val="0"/>
              <w:spacing w:line="600" w:lineRule="exact"/>
              <w:jc w:val="center"/>
              <w:rPr>
                <w:rFonts w:hint="eastAsia" w:ascii="CESI仿宋-GB2312" w:hAnsi="CESI仿宋-GB2312" w:eastAsia="CESI仿宋-GB2312" w:cs="CESI仿宋-GB2312"/>
                <w:sz w:val="32"/>
                <w:szCs w:val="32"/>
              </w:rPr>
            </w:pPr>
          </w:p>
        </w:tc>
        <w:tc>
          <w:tcPr>
            <w:tcW w:w="598" w:type="pct"/>
            <w:tcBorders>
              <w:top w:val="single" w:color="auto" w:sz="4" w:space="0"/>
              <w:left w:val="nil"/>
              <w:bottom w:val="single" w:color="auto" w:sz="4" w:space="0"/>
              <w:right w:val="single" w:color="auto" w:sz="4" w:space="0"/>
            </w:tcBorders>
            <w:noWrap w:val="0"/>
            <w:vAlign w:val="center"/>
          </w:tcPr>
          <w:p w14:paraId="7DFF440C">
            <w:pPr>
              <w:autoSpaceDE w:val="0"/>
              <w:spacing w:line="600" w:lineRule="exact"/>
              <w:jc w:val="center"/>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职务/职称</w:t>
            </w:r>
          </w:p>
        </w:tc>
        <w:tc>
          <w:tcPr>
            <w:tcW w:w="1147" w:type="pct"/>
            <w:gridSpan w:val="2"/>
            <w:tcBorders>
              <w:top w:val="single" w:color="auto" w:sz="4" w:space="0"/>
              <w:left w:val="nil"/>
              <w:bottom w:val="single" w:color="auto" w:sz="4" w:space="0"/>
              <w:right w:val="single" w:color="auto" w:sz="4" w:space="0"/>
            </w:tcBorders>
            <w:noWrap w:val="0"/>
            <w:vAlign w:val="center"/>
          </w:tcPr>
          <w:p w14:paraId="4A136501">
            <w:pPr>
              <w:autoSpaceDE w:val="0"/>
              <w:spacing w:line="600" w:lineRule="exact"/>
              <w:jc w:val="center"/>
              <w:rPr>
                <w:rFonts w:hint="eastAsia" w:ascii="CESI仿宋-GB2312" w:hAnsi="CESI仿宋-GB2312" w:eastAsia="CESI仿宋-GB2312" w:cs="CESI仿宋-GB2312"/>
                <w:sz w:val="32"/>
                <w:szCs w:val="32"/>
              </w:rPr>
            </w:pPr>
          </w:p>
        </w:tc>
        <w:tc>
          <w:tcPr>
            <w:tcW w:w="641" w:type="pct"/>
            <w:tcBorders>
              <w:top w:val="single" w:color="auto" w:sz="4" w:space="0"/>
              <w:left w:val="single" w:color="auto" w:sz="4" w:space="0"/>
              <w:bottom w:val="single" w:color="auto" w:sz="4" w:space="0"/>
              <w:right w:val="single" w:color="auto" w:sz="4" w:space="0"/>
            </w:tcBorders>
            <w:noWrap w:val="0"/>
            <w:vAlign w:val="center"/>
          </w:tcPr>
          <w:p w14:paraId="24C0CB4B">
            <w:pPr>
              <w:autoSpaceDE w:val="0"/>
              <w:spacing w:line="600" w:lineRule="exact"/>
              <w:jc w:val="center"/>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eastAsia="zh-CN"/>
              </w:rPr>
              <w:t>电话</w:t>
            </w:r>
            <w:r>
              <w:rPr>
                <w:rFonts w:hint="eastAsia" w:ascii="CESI仿宋-GB2312" w:hAnsi="CESI仿宋-GB2312" w:eastAsia="CESI仿宋-GB2312" w:cs="CESI仿宋-GB2312"/>
                <w:sz w:val="32"/>
                <w:szCs w:val="32"/>
                <w:lang w:val="en-US" w:eastAsia="zh-CN"/>
              </w:rPr>
              <w:t>/手机</w:t>
            </w:r>
          </w:p>
        </w:tc>
        <w:tc>
          <w:tcPr>
            <w:tcW w:w="903" w:type="pct"/>
            <w:tcBorders>
              <w:top w:val="single" w:color="auto" w:sz="4" w:space="0"/>
              <w:left w:val="single" w:color="auto" w:sz="4" w:space="0"/>
              <w:bottom w:val="single" w:color="auto" w:sz="4" w:space="0"/>
              <w:right w:val="single" w:color="auto" w:sz="4" w:space="0"/>
            </w:tcBorders>
            <w:noWrap w:val="0"/>
            <w:vAlign w:val="center"/>
          </w:tcPr>
          <w:p w14:paraId="7E627367">
            <w:pPr>
              <w:autoSpaceDE w:val="0"/>
              <w:spacing w:line="600" w:lineRule="exact"/>
              <w:jc w:val="center"/>
              <w:rPr>
                <w:rFonts w:hint="eastAsia" w:ascii="CESI仿宋-GB2312" w:hAnsi="CESI仿宋-GB2312" w:eastAsia="CESI仿宋-GB2312" w:cs="CESI仿宋-GB2312"/>
                <w:sz w:val="32"/>
                <w:szCs w:val="32"/>
              </w:rPr>
            </w:pPr>
          </w:p>
        </w:tc>
      </w:tr>
      <w:tr w14:paraId="02E3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09" w:type="pct"/>
            <w:gridSpan w:val="2"/>
            <w:tcBorders>
              <w:top w:val="single" w:color="auto" w:sz="4" w:space="0"/>
              <w:left w:val="single" w:color="auto" w:sz="4" w:space="0"/>
              <w:bottom w:val="single" w:color="auto" w:sz="4" w:space="0"/>
              <w:right w:val="nil"/>
            </w:tcBorders>
            <w:noWrap w:val="0"/>
            <w:vAlign w:val="center"/>
          </w:tcPr>
          <w:p w14:paraId="56E096B7">
            <w:pPr>
              <w:autoSpaceDE w:val="0"/>
              <w:spacing w:line="600" w:lineRule="exact"/>
              <w:jc w:val="center"/>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单    位</w:t>
            </w:r>
          </w:p>
        </w:tc>
        <w:tc>
          <w:tcPr>
            <w:tcW w:w="2544" w:type="pct"/>
            <w:gridSpan w:val="4"/>
            <w:tcBorders>
              <w:top w:val="single" w:color="auto" w:sz="4" w:space="0"/>
              <w:left w:val="single" w:color="auto" w:sz="4" w:space="0"/>
              <w:bottom w:val="single" w:color="auto" w:sz="4" w:space="0"/>
              <w:right w:val="single" w:color="auto" w:sz="4" w:space="0"/>
            </w:tcBorders>
            <w:noWrap w:val="0"/>
            <w:vAlign w:val="center"/>
          </w:tcPr>
          <w:p w14:paraId="709EA651">
            <w:pPr>
              <w:autoSpaceDE w:val="0"/>
              <w:spacing w:line="600" w:lineRule="exact"/>
              <w:jc w:val="center"/>
              <w:rPr>
                <w:rFonts w:hint="eastAsia" w:ascii="CESI仿宋-GB2312" w:hAnsi="CESI仿宋-GB2312" w:eastAsia="CESI仿宋-GB2312" w:cs="CESI仿宋-GB2312"/>
                <w:sz w:val="32"/>
                <w:szCs w:val="32"/>
              </w:rPr>
            </w:pPr>
          </w:p>
        </w:tc>
        <w:tc>
          <w:tcPr>
            <w:tcW w:w="641" w:type="pct"/>
            <w:tcBorders>
              <w:top w:val="single" w:color="auto" w:sz="4" w:space="0"/>
              <w:left w:val="single" w:color="auto" w:sz="4" w:space="0"/>
              <w:bottom w:val="single" w:color="auto" w:sz="4" w:space="0"/>
              <w:right w:val="single" w:color="auto" w:sz="4" w:space="0"/>
            </w:tcBorders>
            <w:noWrap w:val="0"/>
            <w:vAlign w:val="center"/>
          </w:tcPr>
          <w:p w14:paraId="15327892">
            <w:pPr>
              <w:autoSpaceDE w:val="0"/>
              <w:spacing w:line="600" w:lineRule="exact"/>
              <w:jc w:val="center"/>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lang w:eastAsia="zh-CN"/>
              </w:rPr>
              <w:t>电子邮箱</w:t>
            </w:r>
          </w:p>
        </w:tc>
        <w:tc>
          <w:tcPr>
            <w:tcW w:w="903" w:type="pct"/>
            <w:tcBorders>
              <w:top w:val="single" w:color="auto" w:sz="4" w:space="0"/>
              <w:left w:val="single" w:color="auto" w:sz="4" w:space="0"/>
              <w:bottom w:val="single" w:color="auto" w:sz="4" w:space="0"/>
              <w:right w:val="single" w:color="auto" w:sz="4" w:space="0"/>
            </w:tcBorders>
            <w:noWrap w:val="0"/>
            <w:vAlign w:val="center"/>
          </w:tcPr>
          <w:p w14:paraId="72F0BA8C">
            <w:pPr>
              <w:autoSpaceDE w:val="0"/>
              <w:spacing w:line="600" w:lineRule="exact"/>
              <w:jc w:val="center"/>
              <w:rPr>
                <w:rFonts w:hint="eastAsia" w:ascii="CESI仿宋-GB2312" w:hAnsi="CESI仿宋-GB2312" w:eastAsia="CESI仿宋-GB2312" w:cs="CESI仿宋-GB2312"/>
                <w:sz w:val="32"/>
                <w:szCs w:val="32"/>
              </w:rPr>
            </w:pPr>
          </w:p>
        </w:tc>
      </w:tr>
      <w:tr w14:paraId="7C0F5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368" w:type="pct"/>
            <w:tcBorders>
              <w:top w:val="single" w:color="auto" w:sz="4" w:space="0"/>
              <w:left w:val="single" w:color="auto" w:sz="4" w:space="0"/>
              <w:bottom w:val="single" w:color="auto" w:sz="4" w:space="0"/>
              <w:right w:val="single" w:color="auto" w:sz="4" w:space="0"/>
            </w:tcBorders>
            <w:noWrap w:val="0"/>
            <w:vAlign w:val="top"/>
          </w:tcPr>
          <w:p w14:paraId="59F85910">
            <w:pPr>
              <w:jc w:val="center"/>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lang w:eastAsia="zh-CN"/>
              </w:rPr>
              <w:t>序号</w:t>
            </w:r>
          </w:p>
        </w:tc>
        <w:tc>
          <w:tcPr>
            <w:tcW w:w="540" w:type="pct"/>
            <w:tcBorders>
              <w:top w:val="single" w:color="auto" w:sz="4" w:space="0"/>
              <w:left w:val="single" w:color="auto" w:sz="4" w:space="0"/>
              <w:bottom w:val="single" w:color="auto" w:sz="4" w:space="0"/>
              <w:right w:val="single" w:color="auto" w:sz="4" w:space="0"/>
            </w:tcBorders>
            <w:noWrap w:val="0"/>
            <w:vAlign w:val="top"/>
          </w:tcPr>
          <w:p w14:paraId="2A4A1F5C">
            <w:pPr>
              <w:jc w:val="center"/>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lang w:eastAsia="zh-CN"/>
              </w:rPr>
              <w:t>章条号</w:t>
            </w:r>
          </w:p>
        </w:tc>
        <w:tc>
          <w:tcPr>
            <w:tcW w:w="2311" w:type="pct"/>
            <w:gridSpan w:val="3"/>
            <w:tcBorders>
              <w:top w:val="single" w:color="auto" w:sz="4" w:space="0"/>
              <w:left w:val="single" w:color="auto" w:sz="4" w:space="0"/>
              <w:bottom w:val="single" w:color="auto" w:sz="4" w:space="0"/>
              <w:right w:val="single" w:color="auto" w:sz="4" w:space="0"/>
            </w:tcBorders>
            <w:noWrap w:val="0"/>
            <w:vAlign w:val="top"/>
          </w:tcPr>
          <w:p w14:paraId="44504062">
            <w:pPr>
              <w:jc w:val="center"/>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lang w:eastAsia="zh-CN"/>
              </w:rPr>
              <w:t>修改建议</w:t>
            </w:r>
          </w:p>
        </w:tc>
        <w:tc>
          <w:tcPr>
            <w:tcW w:w="1778" w:type="pct"/>
            <w:gridSpan w:val="3"/>
            <w:tcBorders>
              <w:top w:val="single" w:color="auto" w:sz="4" w:space="0"/>
              <w:left w:val="single" w:color="auto" w:sz="4" w:space="0"/>
              <w:bottom w:val="single" w:color="auto" w:sz="4" w:space="0"/>
              <w:right w:val="single" w:color="auto" w:sz="4" w:space="0"/>
            </w:tcBorders>
            <w:noWrap w:val="0"/>
            <w:vAlign w:val="top"/>
          </w:tcPr>
          <w:p w14:paraId="6382267F">
            <w:pPr>
              <w:jc w:val="center"/>
              <w:rPr>
                <w:rFonts w:hint="eastAsia"/>
                <w:lang w:eastAsia="zh-CN"/>
              </w:rPr>
            </w:pPr>
            <w:r>
              <w:rPr>
                <w:rFonts w:hint="eastAsia" w:ascii="CESI仿宋-GB2312" w:hAnsi="CESI仿宋-GB2312" w:eastAsia="CESI仿宋-GB2312" w:cs="CESI仿宋-GB2312"/>
                <w:sz w:val="32"/>
                <w:szCs w:val="32"/>
                <w:lang w:eastAsia="zh-CN"/>
              </w:rPr>
              <w:t>修改理由</w:t>
            </w:r>
          </w:p>
        </w:tc>
      </w:tr>
      <w:tr w14:paraId="68841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368" w:type="pct"/>
            <w:tcBorders>
              <w:top w:val="single" w:color="auto" w:sz="4" w:space="0"/>
              <w:left w:val="single" w:color="auto" w:sz="4" w:space="0"/>
              <w:bottom w:val="single" w:color="auto" w:sz="4" w:space="0"/>
              <w:right w:val="single" w:color="auto" w:sz="4" w:space="0"/>
            </w:tcBorders>
            <w:noWrap w:val="0"/>
            <w:vAlign w:val="top"/>
          </w:tcPr>
          <w:p w14:paraId="76CE2076">
            <w:pPr>
              <w:jc w:val="center"/>
              <w:rPr>
                <w:rFonts w:hint="eastAsia" w:ascii="仿宋_GB2312" w:eastAsia="仿宋_GB2312"/>
                <w:sz w:val="28"/>
                <w:szCs w:val="28"/>
                <w:lang w:eastAsia="zh-CN"/>
              </w:rPr>
            </w:pPr>
          </w:p>
        </w:tc>
        <w:tc>
          <w:tcPr>
            <w:tcW w:w="540" w:type="pct"/>
            <w:tcBorders>
              <w:top w:val="single" w:color="auto" w:sz="4" w:space="0"/>
              <w:left w:val="single" w:color="auto" w:sz="4" w:space="0"/>
              <w:bottom w:val="single" w:color="auto" w:sz="4" w:space="0"/>
              <w:right w:val="single" w:color="auto" w:sz="4" w:space="0"/>
            </w:tcBorders>
            <w:noWrap w:val="0"/>
            <w:vAlign w:val="top"/>
          </w:tcPr>
          <w:p w14:paraId="7BB35C78">
            <w:pPr>
              <w:jc w:val="center"/>
              <w:rPr>
                <w:rFonts w:hint="eastAsia" w:ascii="仿宋_GB2312" w:eastAsia="仿宋_GB2312"/>
                <w:sz w:val="28"/>
                <w:szCs w:val="28"/>
                <w:lang w:eastAsia="zh-CN"/>
              </w:rPr>
            </w:pPr>
          </w:p>
        </w:tc>
        <w:tc>
          <w:tcPr>
            <w:tcW w:w="2311" w:type="pct"/>
            <w:gridSpan w:val="3"/>
            <w:tcBorders>
              <w:top w:val="single" w:color="auto" w:sz="4" w:space="0"/>
              <w:left w:val="single" w:color="auto" w:sz="4" w:space="0"/>
              <w:bottom w:val="single" w:color="auto" w:sz="4" w:space="0"/>
              <w:right w:val="single" w:color="auto" w:sz="4" w:space="0"/>
            </w:tcBorders>
            <w:noWrap w:val="0"/>
            <w:vAlign w:val="top"/>
          </w:tcPr>
          <w:p w14:paraId="4E8FEAD4">
            <w:pPr>
              <w:jc w:val="center"/>
              <w:rPr>
                <w:rFonts w:hint="eastAsia" w:ascii="仿宋_GB2312" w:eastAsia="仿宋_GB2312"/>
                <w:sz w:val="28"/>
                <w:szCs w:val="28"/>
                <w:lang w:eastAsia="zh-CN"/>
              </w:rPr>
            </w:pPr>
          </w:p>
        </w:tc>
        <w:tc>
          <w:tcPr>
            <w:tcW w:w="1778" w:type="pct"/>
            <w:gridSpan w:val="3"/>
            <w:tcBorders>
              <w:top w:val="single" w:color="auto" w:sz="4" w:space="0"/>
              <w:left w:val="single" w:color="auto" w:sz="4" w:space="0"/>
              <w:bottom w:val="single" w:color="auto" w:sz="4" w:space="0"/>
              <w:right w:val="single" w:color="auto" w:sz="4" w:space="0"/>
            </w:tcBorders>
            <w:noWrap w:val="0"/>
            <w:vAlign w:val="top"/>
          </w:tcPr>
          <w:p w14:paraId="19E59D6D">
            <w:pPr>
              <w:jc w:val="center"/>
              <w:rPr>
                <w:rFonts w:hint="eastAsia" w:ascii="仿宋_GB2312" w:eastAsia="仿宋_GB2312"/>
                <w:sz w:val="28"/>
                <w:szCs w:val="28"/>
                <w:lang w:eastAsia="zh-CN"/>
              </w:rPr>
            </w:pPr>
          </w:p>
        </w:tc>
      </w:tr>
      <w:tr w14:paraId="3EE8B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368" w:type="pct"/>
            <w:tcBorders>
              <w:top w:val="single" w:color="auto" w:sz="4" w:space="0"/>
              <w:left w:val="single" w:color="auto" w:sz="4" w:space="0"/>
              <w:bottom w:val="single" w:color="auto" w:sz="4" w:space="0"/>
              <w:right w:val="single" w:color="auto" w:sz="4" w:space="0"/>
            </w:tcBorders>
            <w:noWrap w:val="0"/>
            <w:vAlign w:val="top"/>
          </w:tcPr>
          <w:p w14:paraId="0B35D134">
            <w:pPr>
              <w:jc w:val="center"/>
              <w:rPr>
                <w:rFonts w:hint="eastAsia" w:ascii="仿宋_GB2312" w:eastAsia="仿宋_GB2312"/>
                <w:sz w:val="28"/>
                <w:szCs w:val="28"/>
                <w:lang w:eastAsia="zh-CN"/>
              </w:rPr>
            </w:pPr>
          </w:p>
        </w:tc>
        <w:tc>
          <w:tcPr>
            <w:tcW w:w="540" w:type="pct"/>
            <w:tcBorders>
              <w:top w:val="single" w:color="auto" w:sz="4" w:space="0"/>
              <w:left w:val="single" w:color="auto" w:sz="4" w:space="0"/>
              <w:bottom w:val="single" w:color="auto" w:sz="4" w:space="0"/>
              <w:right w:val="single" w:color="auto" w:sz="4" w:space="0"/>
            </w:tcBorders>
            <w:noWrap w:val="0"/>
            <w:vAlign w:val="top"/>
          </w:tcPr>
          <w:p w14:paraId="6E3FF8BA">
            <w:pPr>
              <w:jc w:val="center"/>
              <w:rPr>
                <w:rFonts w:hint="eastAsia" w:ascii="仿宋_GB2312" w:eastAsia="仿宋_GB2312"/>
                <w:sz w:val="28"/>
                <w:szCs w:val="28"/>
                <w:lang w:eastAsia="zh-CN"/>
              </w:rPr>
            </w:pPr>
          </w:p>
        </w:tc>
        <w:tc>
          <w:tcPr>
            <w:tcW w:w="2311" w:type="pct"/>
            <w:gridSpan w:val="3"/>
            <w:tcBorders>
              <w:top w:val="single" w:color="auto" w:sz="4" w:space="0"/>
              <w:left w:val="single" w:color="auto" w:sz="4" w:space="0"/>
              <w:bottom w:val="single" w:color="auto" w:sz="4" w:space="0"/>
              <w:right w:val="single" w:color="auto" w:sz="4" w:space="0"/>
            </w:tcBorders>
            <w:noWrap w:val="0"/>
            <w:vAlign w:val="top"/>
          </w:tcPr>
          <w:p w14:paraId="26DB38D5">
            <w:pPr>
              <w:jc w:val="center"/>
              <w:rPr>
                <w:rFonts w:hint="eastAsia" w:ascii="仿宋_GB2312" w:eastAsia="仿宋_GB2312"/>
                <w:sz w:val="28"/>
                <w:szCs w:val="28"/>
                <w:lang w:eastAsia="zh-CN"/>
              </w:rPr>
            </w:pPr>
          </w:p>
        </w:tc>
        <w:tc>
          <w:tcPr>
            <w:tcW w:w="1778" w:type="pct"/>
            <w:gridSpan w:val="3"/>
            <w:tcBorders>
              <w:top w:val="single" w:color="auto" w:sz="4" w:space="0"/>
              <w:left w:val="single" w:color="auto" w:sz="4" w:space="0"/>
              <w:bottom w:val="single" w:color="auto" w:sz="4" w:space="0"/>
              <w:right w:val="single" w:color="auto" w:sz="4" w:space="0"/>
            </w:tcBorders>
            <w:noWrap w:val="0"/>
            <w:vAlign w:val="top"/>
          </w:tcPr>
          <w:p w14:paraId="0E79529D">
            <w:pPr>
              <w:jc w:val="center"/>
              <w:rPr>
                <w:rFonts w:hint="eastAsia" w:ascii="仿宋_GB2312" w:eastAsia="仿宋_GB2312"/>
                <w:sz w:val="28"/>
                <w:szCs w:val="28"/>
                <w:lang w:eastAsia="zh-CN"/>
              </w:rPr>
            </w:pPr>
          </w:p>
        </w:tc>
      </w:tr>
      <w:tr w14:paraId="1EAC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368" w:type="pct"/>
            <w:tcBorders>
              <w:top w:val="single" w:color="auto" w:sz="4" w:space="0"/>
              <w:left w:val="single" w:color="auto" w:sz="4" w:space="0"/>
              <w:bottom w:val="single" w:color="auto" w:sz="4" w:space="0"/>
              <w:right w:val="single" w:color="auto" w:sz="4" w:space="0"/>
            </w:tcBorders>
            <w:noWrap w:val="0"/>
            <w:vAlign w:val="top"/>
          </w:tcPr>
          <w:p w14:paraId="3B30A875">
            <w:pPr>
              <w:jc w:val="center"/>
              <w:rPr>
                <w:rFonts w:hint="eastAsia" w:ascii="仿宋_GB2312" w:eastAsia="仿宋_GB2312"/>
                <w:sz w:val="28"/>
                <w:szCs w:val="28"/>
                <w:lang w:eastAsia="zh-CN"/>
              </w:rPr>
            </w:pPr>
          </w:p>
        </w:tc>
        <w:tc>
          <w:tcPr>
            <w:tcW w:w="540" w:type="pct"/>
            <w:tcBorders>
              <w:top w:val="single" w:color="auto" w:sz="4" w:space="0"/>
              <w:left w:val="single" w:color="auto" w:sz="4" w:space="0"/>
              <w:bottom w:val="single" w:color="auto" w:sz="4" w:space="0"/>
              <w:right w:val="single" w:color="auto" w:sz="4" w:space="0"/>
            </w:tcBorders>
            <w:noWrap w:val="0"/>
            <w:vAlign w:val="top"/>
          </w:tcPr>
          <w:p w14:paraId="798C233C">
            <w:pPr>
              <w:jc w:val="center"/>
              <w:rPr>
                <w:rFonts w:hint="eastAsia" w:ascii="仿宋_GB2312" w:eastAsia="仿宋_GB2312"/>
                <w:sz w:val="28"/>
                <w:szCs w:val="28"/>
                <w:lang w:eastAsia="zh-CN"/>
              </w:rPr>
            </w:pPr>
          </w:p>
        </w:tc>
        <w:tc>
          <w:tcPr>
            <w:tcW w:w="2311" w:type="pct"/>
            <w:gridSpan w:val="3"/>
            <w:tcBorders>
              <w:top w:val="single" w:color="auto" w:sz="4" w:space="0"/>
              <w:left w:val="single" w:color="auto" w:sz="4" w:space="0"/>
              <w:bottom w:val="single" w:color="auto" w:sz="4" w:space="0"/>
              <w:right w:val="single" w:color="auto" w:sz="4" w:space="0"/>
            </w:tcBorders>
            <w:noWrap w:val="0"/>
            <w:vAlign w:val="top"/>
          </w:tcPr>
          <w:p w14:paraId="6EF8FAC5">
            <w:pPr>
              <w:jc w:val="center"/>
              <w:rPr>
                <w:rFonts w:hint="eastAsia" w:ascii="仿宋_GB2312" w:eastAsia="仿宋_GB2312"/>
                <w:sz w:val="28"/>
                <w:szCs w:val="28"/>
                <w:lang w:eastAsia="zh-CN"/>
              </w:rPr>
            </w:pPr>
          </w:p>
        </w:tc>
        <w:tc>
          <w:tcPr>
            <w:tcW w:w="1778" w:type="pct"/>
            <w:gridSpan w:val="3"/>
            <w:tcBorders>
              <w:top w:val="single" w:color="auto" w:sz="4" w:space="0"/>
              <w:left w:val="single" w:color="auto" w:sz="4" w:space="0"/>
              <w:bottom w:val="single" w:color="auto" w:sz="4" w:space="0"/>
              <w:right w:val="single" w:color="auto" w:sz="4" w:space="0"/>
            </w:tcBorders>
            <w:noWrap w:val="0"/>
            <w:vAlign w:val="top"/>
          </w:tcPr>
          <w:p w14:paraId="1203913A">
            <w:pPr>
              <w:jc w:val="center"/>
              <w:rPr>
                <w:rFonts w:hint="eastAsia" w:ascii="仿宋_GB2312" w:eastAsia="仿宋_GB2312"/>
                <w:sz w:val="28"/>
                <w:szCs w:val="28"/>
                <w:lang w:eastAsia="zh-CN"/>
              </w:rPr>
            </w:pPr>
          </w:p>
        </w:tc>
      </w:tr>
      <w:tr w14:paraId="6C052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368" w:type="pct"/>
            <w:tcBorders>
              <w:top w:val="single" w:color="auto" w:sz="4" w:space="0"/>
              <w:left w:val="single" w:color="auto" w:sz="4" w:space="0"/>
              <w:bottom w:val="single" w:color="auto" w:sz="4" w:space="0"/>
              <w:right w:val="single" w:color="auto" w:sz="4" w:space="0"/>
            </w:tcBorders>
            <w:noWrap w:val="0"/>
            <w:vAlign w:val="top"/>
          </w:tcPr>
          <w:p w14:paraId="564A17A8">
            <w:pPr>
              <w:jc w:val="center"/>
              <w:rPr>
                <w:rFonts w:hint="eastAsia" w:ascii="仿宋_GB2312" w:eastAsia="仿宋_GB2312"/>
                <w:sz w:val="28"/>
                <w:szCs w:val="28"/>
                <w:lang w:eastAsia="zh-CN"/>
              </w:rPr>
            </w:pPr>
          </w:p>
        </w:tc>
        <w:tc>
          <w:tcPr>
            <w:tcW w:w="540" w:type="pct"/>
            <w:tcBorders>
              <w:top w:val="single" w:color="auto" w:sz="4" w:space="0"/>
              <w:left w:val="single" w:color="auto" w:sz="4" w:space="0"/>
              <w:bottom w:val="single" w:color="auto" w:sz="4" w:space="0"/>
              <w:right w:val="single" w:color="auto" w:sz="4" w:space="0"/>
            </w:tcBorders>
            <w:noWrap w:val="0"/>
            <w:vAlign w:val="top"/>
          </w:tcPr>
          <w:p w14:paraId="3BC94723">
            <w:pPr>
              <w:jc w:val="center"/>
              <w:rPr>
                <w:rFonts w:hint="eastAsia" w:ascii="仿宋_GB2312" w:eastAsia="仿宋_GB2312"/>
                <w:sz w:val="28"/>
                <w:szCs w:val="28"/>
                <w:lang w:eastAsia="zh-CN"/>
              </w:rPr>
            </w:pPr>
          </w:p>
        </w:tc>
        <w:tc>
          <w:tcPr>
            <w:tcW w:w="2311" w:type="pct"/>
            <w:gridSpan w:val="3"/>
            <w:tcBorders>
              <w:top w:val="single" w:color="auto" w:sz="4" w:space="0"/>
              <w:left w:val="single" w:color="auto" w:sz="4" w:space="0"/>
              <w:bottom w:val="single" w:color="auto" w:sz="4" w:space="0"/>
              <w:right w:val="single" w:color="auto" w:sz="4" w:space="0"/>
            </w:tcBorders>
            <w:noWrap w:val="0"/>
            <w:vAlign w:val="top"/>
          </w:tcPr>
          <w:p w14:paraId="6E773BD6">
            <w:pPr>
              <w:jc w:val="center"/>
              <w:rPr>
                <w:rFonts w:hint="eastAsia" w:ascii="仿宋_GB2312" w:eastAsia="仿宋_GB2312"/>
                <w:sz w:val="28"/>
                <w:szCs w:val="28"/>
                <w:lang w:eastAsia="zh-CN"/>
              </w:rPr>
            </w:pPr>
          </w:p>
        </w:tc>
        <w:tc>
          <w:tcPr>
            <w:tcW w:w="1778" w:type="pct"/>
            <w:gridSpan w:val="3"/>
            <w:tcBorders>
              <w:top w:val="single" w:color="auto" w:sz="4" w:space="0"/>
              <w:left w:val="single" w:color="auto" w:sz="4" w:space="0"/>
              <w:bottom w:val="single" w:color="auto" w:sz="4" w:space="0"/>
              <w:right w:val="single" w:color="auto" w:sz="4" w:space="0"/>
            </w:tcBorders>
            <w:noWrap w:val="0"/>
            <w:vAlign w:val="top"/>
          </w:tcPr>
          <w:p w14:paraId="456B8C4B">
            <w:pPr>
              <w:jc w:val="center"/>
              <w:rPr>
                <w:rFonts w:hint="eastAsia" w:ascii="仿宋_GB2312" w:eastAsia="仿宋_GB2312"/>
                <w:sz w:val="28"/>
                <w:szCs w:val="28"/>
                <w:lang w:eastAsia="zh-CN"/>
              </w:rPr>
            </w:pPr>
          </w:p>
        </w:tc>
      </w:tr>
      <w:tr w14:paraId="045BC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368" w:type="pct"/>
            <w:tcBorders>
              <w:top w:val="single" w:color="auto" w:sz="4" w:space="0"/>
              <w:left w:val="single" w:color="auto" w:sz="4" w:space="0"/>
              <w:bottom w:val="single" w:color="auto" w:sz="4" w:space="0"/>
              <w:right w:val="single" w:color="auto" w:sz="4" w:space="0"/>
            </w:tcBorders>
            <w:noWrap w:val="0"/>
            <w:vAlign w:val="top"/>
          </w:tcPr>
          <w:p w14:paraId="53FF8C48">
            <w:pPr>
              <w:jc w:val="center"/>
              <w:rPr>
                <w:rFonts w:hint="eastAsia" w:ascii="仿宋_GB2312" w:eastAsia="仿宋_GB2312"/>
                <w:sz w:val="28"/>
                <w:szCs w:val="28"/>
                <w:lang w:eastAsia="zh-CN"/>
              </w:rPr>
            </w:pPr>
          </w:p>
        </w:tc>
        <w:tc>
          <w:tcPr>
            <w:tcW w:w="540" w:type="pct"/>
            <w:tcBorders>
              <w:top w:val="single" w:color="auto" w:sz="4" w:space="0"/>
              <w:left w:val="single" w:color="auto" w:sz="4" w:space="0"/>
              <w:bottom w:val="single" w:color="auto" w:sz="4" w:space="0"/>
              <w:right w:val="single" w:color="auto" w:sz="4" w:space="0"/>
            </w:tcBorders>
            <w:noWrap w:val="0"/>
            <w:vAlign w:val="top"/>
          </w:tcPr>
          <w:p w14:paraId="4BE4244D">
            <w:pPr>
              <w:jc w:val="center"/>
              <w:rPr>
                <w:rFonts w:hint="eastAsia" w:ascii="仿宋_GB2312" w:eastAsia="仿宋_GB2312"/>
                <w:sz w:val="28"/>
                <w:szCs w:val="28"/>
                <w:lang w:eastAsia="zh-CN"/>
              </w:rPr>
            </w:pPr>
          </w:p>
        </w:tc>
        <w:tc>
          <w:tcPr>
            <w:tcW w:w="2311" w:type="pct"/>
            <w:gridSpan w:val="3"/>
            <w:tcBorders>
              <w:top w:val="single" w:color="auto" w:sz="4" w:space="0"/>
              <w:left w:val="single" w:color="auto" w:sz="4" w:space="0"/>
              <w:bottom w:val="single" w:color="auto" w:sz="4" w:space="0"/>
              <w:right w:val="single" w:color="auto" w:sz="4" w:space="0"/>
            </w:tcBorders>
            <w:noWrap w:val="0"/>
            <w:vAlign w:val="top"/>
          </w:tcPr>
          <w:p w14:paraId="78545CA8">
            <w:pPr>
              <w:jc w:val="center"/>
              <w:rPr>
                <w:rFonts w:hint="eastAsia" w:ascii="仿宋_GB2312" w:eastAsia="仿宋_GB2312"/>
                <w:sz w:val="28"/>
                <w:szCs w:val="28"/>
                <w:lang w:eastAsia="zh-CN"/>
              </w:rPr>
            </w:pPr>
          </w:p>
        </w:tc>
        <w:tc>
          <w:tcPr>
            <w:tcW w:w="1778" w:type="pct"/>
            <w:gridSpan w:val="3"/>
            <w:tcBorders>
              <w:top w:val="single" w:color="auto" w:sz="4" w:space="0"/>
              <w:left w:val="single" w:color="auto" w:sz="4" w:space="0"/>
              <w:bottom w:val="single" w:color="auto" w:sz="4" w:space="0"/>
              <w:right w:val="single" w:color="auto" w:sz="4" w:space="0"/>
            </w:tcBorders>
            <w:noWrap w:val="0"/>
            <w:vAlign w:val="top"/>
          </w:tcPr>
          <w:p w14:paraId="27FA07B2">
            <w:pPr>
              <w:jc w:val="center"/>
              <w:rPr>
                <w:rFonts w:hint="eastAsia" w:ascii="仿宋_GB2312" w:eastAsia="仿宋_GB2312"/>
                <w:sz w:val="28"/>
                <w:szCs w:val="28"/>
                <w:lang w:eastAsia="zh-CN"/>
              </w:rPr>
            </w:pPr>
          </w:p>
        </w:tc>
      </w:tr>
      <w:tr w14:paraId="0172E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trPr>
        <w:tc>
          <w:tcPr>
            <w:tcW w:w="368" w:type="pct"/>
            <w:tcBorders>
              <w:top w:val="single" w:color="auto" w:sz="4" w:space="0"/>
              <w:left w:val="single" w:color="auto" w:sz="4" w:space="0"/>
              <w:bottom w:val="single" w:color="auto" w:sz="4" w:space="0"/>
              <w:right w:val="single" w:color="auto" w:sz="4" w:space="0"/>
            </w:tcBorders>
            <w:noWrap w:val="0"/>
            <w:vAlign w:val="top"/>
          </w:tcPr>
          <w:p w14:paraId="1482F359">
            <w:pPr>
              <w:jc w:val="center"/>
              <w:rPr>
                <w:rFonts w:hint="eastAsia" w:ascii="仿宋_GB2312" w:eastAsia="仿宋_GB2312"/>
                <w:sz w:val="28"/>
                <w:szCs w:val="28"/>
                <w:lang w:eastAsia="zh-CN"/>
              </w:rPr>
            </w:pPr>
          </w:p>
        </w:tc>
        <w:tc>
          <w:tcPr>
            <w:tcW w:w="540" w:type="pct"/>
            <w:tcBorders>
              <w:top w:val="single" w:color="auto" w:sz="4" w:space="0"/>
              <w:left w:val="single" w:color="auto" w:sz="4" w:space="0"/>
              <w:bottom w:val="single" w:color="auto" w:sz="4" w:space="0"/>
              <w:right w:val="single" w:color="auto" w:sz="4" w:space="0"/>
            </w:tcBorders>
            <w:noWrap w:val="0"/>
            <w:vAlign w:val="top"/>
          </w:tcPr>
          <w:p w14:paraId="73AB05B8">
            <w:pPr>
              <w:jc w:val="center"/>
              <w:rPr>
                <w:rFonts w:hint="eastAsia" w:ascii="仿宋_GB2312" w:eastAsia="仿宋_GB2312"/>
                <w:sz w:val="28"/>
                <w:szCs w:val="28"/>
                <w:lang w:eastAsia="zh-CN"/>
              </w:rPr>
            </w:pPr>
          </w:p>
        </w:tc>
        <w:tc>
          <w:tcPr>
            <w:tcW w:w="2311" w:type="pct"/>
            <w:gridSpan w:val="3"/>
            <w:tcBorders>
              <w:top w:val="single" w:color="auto" w:sz="4" w:space="0"/>
              <w:left w:val="single" w:color="auto" w:sz="4" w:space="0"/>
              <w:bottom w:val="single" w:color="auto" w:sz="4" w:space="0"/>
              <w:right w:val="single" w:color="auto" w:sz="4" w:space="0"/>
            </w:tcBorders>
            <w:noWrap w:val="0"/>
            <w:vAlign w:val="top"/>
          </w:tcPr>
          <w:p w14:paraId="681017FC">
            <w:pPr>
              <w:jc w:val="center"/>
              <w:rPr>
                <w:rFonts w:hint="eastAsia" w:ascii="仿宋_GB2312" w:eastAsia="仿宋_GB2312"/>
                <w:sz w:val="28"/>
                <w:szCs w:val="28"/>
                <w:lang w:eastAsia="zh-CN"/>
              </w:rPr>
            </w:pPr>
          </w:p>
        </w:tc>
        <w:tc>
          <w:tcPr>
            <w:tcW w:w="1778" w:type="pct"/>
            <w:gridSpan w:val="3"/>
            <w:tcBorders>
              <w:top w:val="single" w:color="auto" w:sz="4" w:space="0"/>
              <w:left w:val="single" w:color="auto" w:sz="4" w:space="0"/>
              <w:bottom w:val="single" w:color="auto" w:sz="4" w:space="0"/>
              <w:right w:val="single" w:color="auto" w:sz="4" w:space="0"/>
            </w:tcBorders>
            <w:noWrap w:val="0"/>
            <w:vAlign w:val="top"/>
          </w:tcPr>
          <w:p w14:paraId="59939856">
            <w:pPr>
              <w:jc w:val="center"/>
              <w:rPr>
                <w:rFonts w:hint="eastAsia" w:ascii="仿宋_GB2312" w:eastAsia="仿宋_GB2312"/>
                <w:sz w:val="28"/>
                <w:szCs w:val="28"/>
                <w:lang w:eastAsia="zh-CN"/>
              </w:rPr>
            </w:pPr>
          </w:p>
        </w:tc>
      </w:tr>
    </w:tbl>
    <w:p w14:paraId="2966F8AD">
      <w:pPr>
        <w:autoSpaceDE w:val="0"/>
        <w:spacing w:line="20" w:lineRule="exact"/>
        <w:jc w:val="left"/>
        <w:rPr>
          <w:rFonts w:hint="eastAsia" w:ascii="方正小标宋简体" w:eastAsia="方正小标宋简体"/>
          <w:sz w:val="44"/>
          <w:szCs w:val="44"/>
        </w:rPr>
      </w:pPr>
      <w:r>
        <w:rPr>
          <w:rFonts w:hint="eastAsia" w:ascii="方正小标宋简体" w:eastAsia="方正小标宋简体"/>
          <w:sz w:val="44"/>
          <w:szCs w:val="44"/>
        </w:rPr>
        <w:t xml:space="preserve"> </w:t>
      </w:r>
    </w:p>
    <w:p w14:paraId="28DCD8C3">
      <w:r>
        <w:rPr>
          <w:rFonts w:hint="eastAsia" w:ascii="CESI仿宋-GB2312" w:hAnsi="CESI仿宋-GB2312" w:eastAsia="CESI仿宋-GB2312" w:cs="CESI仿宋-GB2312"/>
          <w:sz w:val="32"/>
          <w:szCs w:val="32"/>
          <w:lang w:eastAsia="zh-CN"/>
        </w:rPr>
        <w:t>请加盖单位公章</w:t>
      </w:r>
      <w:r>
        <w:rPr>
          <w:rFonts w:hint="eastAsia" w:ascii="CESI仿宋-GB2312" w:hAnsi="CESI仿宋-GB2312" w:eastAsia="CESI仿宋-GB2312" w:cs="CESI仿宋-GB2312"/>
          <w:sz w:val="32"/>
          <w:szCs w:val="32"/>
          <w:lang w:val="en-US" w:eastAsia="zh-CN"/>
        </w:rPr>
        <w:t xml:space="preserve">                   （纸幅不够，请附页）</w:t>
      </w:r>
    </w:p>
    <w:p w14:paraId="28E19A74">
      <w:pPr>
        <w:pStyle w:val="56"/>
        <w:ind w:firstLine="420"/>
        <w:rPr>
          <w:rFonts w:hint="eastAsia" w:ascii="宋体" w:hAnsi="Times New Roman" w:eastAsia="宋体" w:cs="Times New Roman"/>
          <w:sz w:val="21"/>
          <w:lang w:val="en-US" w:eastAsia="zh-CN" w:bidi="ar-SA"/>
        </w:rPr>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82E2D">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BB4BA">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71FC8">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37788">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1D467">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9D40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64CB2">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84483">
    <w:pPr>
      <w:pStyle w:val="61"/>
    </w:pPr>
    <w:r>
      <w:fldChar w:fldCharType="begin"/>
    </w:r>
    <w:r>
      <w:instrText xml:space="preserve"> STYLEREF  标准文件_文件编号  \* MERGEFORMAT </w:instrText>
    </w:r>
    <w:r>
      <w:fldChar w:fldCharType="separate"/>
    </w:r>
    <w:r>
      <w:t>DB 1504/T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877DF">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1504/T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71fd/jl55sVZ25LkMiXhtZMICLa/eESKDjHW2ziG2OjZhoZyR1z2rHXbOggqkrw2BXrj00iRgtMMeb+Zdj9fKg==" w:salt="aiE9hPzrNqwEaAM+YYv41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mZDI3MjI4NDUxZjhhZDM5MjY0ZGY3MDgyMjc2MTcifQ=="/>
  </w:docVars>
  <w:rsids>
    <w:rsidRoot w:val="00C803BE"/>
    <w:rsid w:val="0000040A"/>
    <w:rsid w:val="00000A94"/>
    <w:rsid w:val="00000C0E"/>
    <w:rsid w:val="00001972"/>
    <w:rsid w:val="00001D9A"/>
    <w:rsid w:val="00007B3A"/>
    <w:rsid w:val="000107E0"/>
    <w:rsid w:val="00011FDE"/>
    <w:rsid w:val="00012FFD"/>
    <w:rsid w:val="000136CD"/>
    <w:rsid w:val="00014162"/>
    <w:rsid w:val="00014340"/>
    <w:rsid w:val="0001484D"/>
    <w:rsid w:val="000155B7"/>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997"/>
    <w:rsid w:val="00047F28"/>
    <w:rsid w:val="000503AA"/>
    <w:rsid w:val="000506A1"/>
    <w:rsid w:val="000515DD"/>
    <w:rsid w:val="0005265A"/>
    <w:rsid w:val="000539DD"/>
    <w:rsid w:val="00053BD3"/>
    <w:rsid w:val="000556ED"/>
    <w:rsid w:val="00055FE2"/>
    <w:rsid w:val="0005616F"/>
    <w:rsid w:val="00060809"/>
    <w:rsid w:val="00060C2E"/>
    <w:rsid w:val="00061033"/>
    <w:rsid w:val="000619E9"/>
    <w:rsid w:val="000622D4"/>
    <w:rsid w:val="0006357D"/>
    <w:rsid w:val="00067F1E"/>
    <w:rsid w:val="00071CC0"/>
    <w:rsid w:val="00073C8C"/>
    <w:rsid w:val="00077B64"/>
    <w:rsid w:val="00080A1C"/>
    <w:rsid w:val="00082317"/>
    <w:rsid w:val="0008344F"/>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EE4"/>
    <w:rsid w:val="000B1FF2"/>
    <w:rsid w:val="000B3CDA"/>
    <w:rsid w:val="000B6A0B"/>
    <w:rsid w:val="000C0CC9"/>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94D"/>
    <w:rsid w:val="000E4C9E"/>
    <w:rsid w:val="000E6FD7"/>
    <w:rsid w:val="000F06E1"/>
    <w:rsid w:val="000F0E3C"/>
    <w:rsid w:val="000F19D5"/>
    <w:rsid w:val="000F4AEA"/>
    <w:rsid w:val="000F633F"/>
    <w:rsid w:val="000F67E9"/>
    <w:rsid w:val="00104926"/>
    <w:rsid w:val="00113B1E"/>
    <w:rsid w:val="00114F6C"/>
    <w:rsid w:val="0011711C"/>
    <w:rsid w:val="0012059C"/>
    <w:rsid w:val="00124E4F"/>
    <w:rsid w:val="001260B7"/>
    <w:rsid w:val="001265CB"/>
    <w:rsid w:val="001321C6"/>
    <w:rsid w:val="001325C4"/>
    <w:rsid w:val="00133010"/>
    <w:rsid w:val="001338EE"/>
    <w:rsid w:val="00133AAE"/>
    <w:rsid w:val="00135323"/>
    <w:rsid w:val="001356C4"/>
    <w:rsid w:val="00141015"/>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B77A0"/>
    <w:rsid w:val="001C04A8"/>
    <w:rsid w:val="001C2C03"/>
    <w:rsid w:val="001C42F7"/>
    <w:rsid w:val="001C49E5"/>
    <w:rsid w:val="001C680C"/>
    <w:rsid w:val="001C7FEA"/>
    <w:rsid w:val="001D0499"/>
    <w:rsid w:val="001D0BBE"/>
    <w:rsid w:val="001D0ED4"/>
    <w:rsid w:val="001D212F"/>
    <w:rsid w:val="001D259C"/>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1F7DB9"/>
    <w:rsid w:val="00200183"/>
    <w:rsid w:val="00200333"/>
    <w:rsid w:val="0020107D"/>
    <w:rsid w:val="00202AA4"/>
    <w:rsid w:val="002031F7"/>
    <w:rsid w:val="002040E6"/>
    <w:rsid w:val="0020527B"/>
    <w:rsid w:val="00205F2C"/>
    <w:rsid w:val="002107CF"/>
    <w:rsid w:val="00210B15"/>
    <w:rsid w:val="002142EA"/>
    <w:rsid w:val="002204BB"/>
    <w:rsid w:val="00221B79"/>
    <w:rsid w:val="00221C6B"/>
    <w:rsid w:val="002244B8"/>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8F7"/>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5BE"/>
    <w:rsid w:val="002E6326"/>
    <w:rsid w:val="002F30E0"/>
    <w:rsid w:val="002F35E4"/>
    <w:rsid w:val="002F3730"/>
    <w:rsid w:val="002F38E1"/>
    <w:rsid w:val="002F7AF6"/>
    <w:rsid w:val="00300E63"/>
    <w:rsid w:val="00301541"/>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389"/>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838"/>
    <w:rsid w:val="003B09AD"/>
    <w:rsid w:val="003B1F18"/>
    <w:rsid w:val="003B43B5"/>
    <w:rsid w:val="003B5BF0"/>
    <w:rsid w:val="003B60BF"/>
    <w:rsid w:val="003B6BE3"/>
    <w:rsid w:val="003C010C"/>
    <w:rsid w:val="003C0A6C"/>
    <w:rsid w:val="003C14F8"/>
    <w:rsid w:val="003C5A43"/>
    <w:rsid w:val="003D0519"/>
    <w:rsid w:val="003D0FF6"/>
    <w:rsid w:val="003D262C"/>
    <w:rsid w:val="003D6D61"/>
    <w:rsid w:val="003D723F"/>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0D"/>
    <w:rsid w:val="00407D39"/>
    <w:rsid w:val="0041477A"/>
    <w:rsid w:val="004167A3"/>
    <w:rsid w:val="00430AD9"/>
    <w:rsid w:val="00432DAA"/>
    <w:rsid w:val="00434305"/>
    <w:rsid w:val="004348A7"/>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81A"/>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5F9"/>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7D79"/>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D53"/>
    <w:rsid w:val="006D3E96"/>
    <w:rsid w:val="006D4515"/>
    <w:rsid w:val="006D4BB1"/>
    <w:rsid w:val="006D6593"/>
    <w:rsid w:val="006E23EA"/>
    <w:rsid w:val="006F03A8"/>
    <w:rsid w:val="006F2ACA"/>
    <w:rsid w:val="006F2ADC"/>
    <w:rsid w:val="006F2BFE"/>
    <w:rsid w:val="006F31E9"/>
    <w:rsid w:val="006F6284"/>
    <w:rsid w:val="007001F3"/>
    <w:rsid w:val="007002C5"/>
    <w:rsid w:val="00704387"/>
    <w:rsid w:val="00707669"/>
    <w:rsid w:val="00711CBA"/>
    <w:rsid w:val="00711FB5"/>
    <w:rsid w:val="00712A01"/>
    <w:rsid w:val="00714F58"/>
    <w:rsid w:val="007201CB"/>
    <w:rsid w:val="00722FBF"/>
    <w:rsid w:val="00722FC2"/>
    <w:rsid w:val="00723C2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545"/>
    <w:rsid w:val="007A2E12"/>
    <w:rsid w:val="007A3475"/>
    <w:rsid w:val="007A41C8"/>
    <w:rsid w:val="007A54CE"/>
    <w:rsid w:val="007A6FD9"/>
    <w:rsid w:val="007A75BD"/>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933"/>
    <w:rsid w:val="008373D3"/>
    <w:rsid w:val="00840617"/>
    <w:rsid w:val="00840F84"/>
    <w:rsid w:val="00842A47"/>
    <w:rsid w:val="00843C13"/>
    <w:rsid w:val="008454F8"/>
    <w:rsid w:val="0085173A"/>
    <w:rsid w:val="00856316"/>
    <w:rsid w:val="008603CE"/>
    <w:rsid w:val="00861A4B"/>
    <w:rsid w:val="008620FC"/>
    <w:rsid w:val="008627A5"/>
    <w:rsid w:val="00863E05"/>
    <w:rsid w:val="00865ACA"/>
    <w:rsid w:val="00865D28"/>
    <w:rsid w:val="00865F85"/>
    <w:rsid w:val="00867C10"/>
    <w:rsid w:val="00870439"/>
    <w:rsid w:val="00870DA1"/>
    <w:rsid w:val="00872F2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0C7"/>
    <w:rsid w:val="00910B33"/>
    <w:rsid w:val="00911BE5"/>
    <w:rsid w:val="00913CA9"/>
    <w:rsid w:val="009145AE"/>
    <w:rsid w:val="009146CE"/>
    <w:rsid w:val="00914CA7"/>
    <w:rsid w:val="00915A21"/>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6A16"/>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63A"/>
    <w:rsid w:val="009D112C"/>
    <w:rsid w:val="009D47FA"/>
    <w:rsid w:val="009D4C5B"/>
    <w:rsid w:val="009D50D2"/>
    <w:rsid w:val="009D6BCA"/>
    <w:rsid w:val="009E0F62"/>
    <w:rsid w:val="009E4A58"/>
    <w:rsid w:val="009E5A2D"/>
    <w:rsid w:val="009E5AB2"/>
    <w:rsid w:val="009E6219"/>
    <w:rsid w:val="009F03B3"/>
    <w:rsid w:val="009F4529"/>
    <w:rsid w:val="00A006F6"/>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5DF1"/>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10F"/>
    <w:rsid w:val="00AE070A"/>
    <w:rsid w:val="00AE101C"/>
    <w:rsid w:val="00AE37E5"/>
    <w:rsid w:val="00AE3BA3"/>
    <w:rsid w:val="00AE5EB4"/>
    <w:rsid w:val="00AF0C18"/>
    <w:rsid w:val="00AF47C5"/>
    <w:rsid w:val="00AF5398"/>
    <w:rsid w:val="00AF5829"/>
    <w:rsid w:val="00B049AF"/>
    <w:rsid w:val="00B07242"/>
    <w:rsid w:val="00B10534"/>
    <w:rsid w:val="00B113DB"/>
    <w:rsid w:val="00B11D8A"/>
    <w:rsid w:val="00B12981"/>
    <w:rsid w:val="00B147DD"/>
    <w:rsid w:val="00B156FD"/>
    <w:rsid w:val="00B21F61"/>
    <w:rsid w:val="00B261F1"/>
    <w:rsid w:val="00B265BC"/>
    <w:rsid w:val="00B26B3A"/>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28C7"/>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717"/>
    <w:rsid w:val="00C521D6"/>
    <w:rsid w:val="00C55232"/>
    <w:rsid w:val="00C553A4"/>
    <w:rsid w:val="00C55A06"/>
    <w:rsid w:val="00C55D03"/>
    <w:rsid w:val="00C601BC"/>
    <w:rsid w:val="00C6329F"/>
    <w:rsid w:val="00C63340"/>
    <w:rsid w:val="00C643F9"/>
    <w:rsid w:val="00C64E95"/>
    <w:rsid w:val="00C71372"/>
    <w:rsid w:val="00C72410"/>
    <w:rsid w:val="00C7287F"/>
    <w:rsid w:val="00C803BE"/>
    <w:rsid w:val="00C80982"/>
    <w:rsid w:val="00C80CB8"/>
    <w:rsid w:val="00C819F8"/>
    <w:rsid w:val="00C8248C"/>
    <w:rsid w:val="00C8400A"/>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416"/>
    <w:rsid w:val="00CD4A20"/>
    <w:rsid w:val="00CD50A1"/>
    <w:rsid w:val="00CD519E"/>
    <w:rsid w:val="00CD561D"/>
    <w:rsid w:val="00CE0C4F"/>
    <w:rsid w:val="00CE30EA"/>
    <w:rsid w:val="00CE5874"/>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597E"/>
    <w:rsid w:val="00D3660F"/>
    <w:rsid w:val="00D4162B"/>
    <w:rsid w:val="00D4514F"/>
    <w:rsid w:val="00D451E2"/>
    <w:rsid w:val="00D45E89"/>
    <w:rsid w:val="00D45E8D"/>
    <w:rsid w:val="00D466AE"/>
    <w:rsid w:val="00D4734F"/>
    <w:rsid w:val="00D51BF3"/>
    <w:rsid w:val="00D66846"/>
    <w:rsid w:val="00D675FB"/>
    <w:rsid w:val="00D71F25"/>
    <w:rsid w:val="00D72A9C"/>
    <w:rsid w:val="00D75414"/>
    <w:rsid w:val="00D77031"/>
    <w:rsid w:val="00D81B7F"/>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A7CB2"/>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0E9F"/>
    <w:rsid w:val="00E210B5"/>
    <w:rsid w:val="00E23D99"/>
    <w:rsid w:val="00E2552F"/>
    <w:rsid w:val="00E3137A"/>
    <w:rsid w:val="00E32CCF"/>
    <w:rsid w:val="00E34A98"/>
    <w:rsid w:val="00E35D1E"/>
    <w:rsid w:val="00E364F9"/>
    <w:rsid w:val="00E365FA"/>
    <w:rsid w:val="00E36789"/>
    <w:rsid w:val="00E44A83"/>
    <w:rsid w:val="00E4708B"/>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5F37"/>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5307"/>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094"/>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4CD"/>
    <w:rsid w:val="00F71E22"/>
    <w:rsid w:val="00F72142"/>
    <w:rsid w:val="00F72AE7"/>
    <w:rsid w:val="00F77464"/>
    <w:rsid w:val="00F81141"/>
    <w:rsid w:val="00F833BA"/>
    <w:rsid w:val="00F84FD0"/>
    <w:rsid w:val="00F859A8"/>
    <w:rsid w:val="00F86D87"/>
    <w:rsid w:val="00F87988"/>
    <w:rsid w:val="00F9108B"/>
    <w:rsid w:val="00F91349"/>
    <w:rsid w:val="00F93A8A"/>
    <w:rsid w:val="00F95248"/>
    <w:rsid w:val="00F956A9"/>
    <w:rsid w:val="00F963ED"/>
    <w:rsid w:val="00F966CF"/>
    <w:rsid w:val="00F96CAE"/>
    <w:rsid w:val="00F97C99"/>
    <w:rsid w:val="00FA4DAC"/>
    <w:rsid w:val="00FA662D"/>
    <w:rsid w:val="00FA682A"/>
    <w:rsid w:val="00FA73B1"/>
    <w:rsid w:val="00FB0CB9"/>
    <w:rsid w:val="00FB231D"/>
    <w:rsid w:val="00FB45F1"/>
    <w:rsid w:val="00FB4A72"/>
    <w:rsid w:val="00FB54E8"/>
    <w:rsid w:val="00FB7054"/>
    <w:rsid w:val="00FC17B7"/>
    <w:rsid w:val="00FC2CB7"/>
    <w:rsid w:val="00FC4090"/>
    <w:rsid w:val="00FC55B4"/>
    <w:rsid w:val="00FD00E6"/>
    <w:rsid w:val="00FD035C"/>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A73D87"/>
    <w:rsid w:val="02DB4577"/>
    <w:rsid w:val="041D4CE5"/>
    <w:rsid w:val="08717F97"/>
    <w:rsid w:val="08990A3B"/>
    <w:rsid w:val="0B7E730E"/>
    <w:rsid w:val="0F3A0931"/>
    <w:rsid w:val="12950177"/>
    <w:rsid w:val="145D2400"/>
    <w:rsid w:val="1855407B"/>
    <w:rsid w:val="19465FAD"/>
    <w:rsid w:val="1A923DFF"/>
    <w:rsid w:val="1E6A01BF"/>
    <w:rsid w:val="1FD53D5E"/>
    <w:rsid w:val="23333275"/>
    <w:rsid w:val="282C2068"/>
    <w:rsid w:val="328A09D8"/>
    <w:rsid w:val="33C35089"/>
    <w:rsid w:val="37772098"/>
    <w:rsid w:val="39812B34"/>
    <w:rsid w:val="3A8B353F"/>
    <w:rsid w:val="3AAA6814"/>
    <w:rsid w:val="3AE327E8"/>
    <w:rsid w:val="3D000214"/>
    <w:rsid w:val="446A2417"/>
    <w:rsid w:val="457572C5"/>
    <w:rsid w:val="46816B54"/>
    <w:rsid w:val="49B85C6C"/>
    <w:rsid w:val="4D4E0B28"/>
    <w:rsid w:val="4D550108"/>
    <w:rsid w:val="4FE60546"/>
    <w:rsid w:val="55B548B0"/>
    <w:rsid w:val="567659A1"/>
    <w:rsid w:val="58E467E4"/>
    <w:rsid w:val="597A4E5A"/>
    <w:rsid w:val="59F3057B"/>
    <w:rsid w:val="5AE20B01"/>
    <w:rsid w:val="5F211A7C"/>
    <w:rsid w:val="640F6E0B"/>
    <w:rsid w:val="644545DB"/>
    <w:rsid w:val="68262975"/>
    <w:rsid w:val="68D3083D"/>
    <w:rsid w:val="6B2F38EF"/>
    <w:rsid w:val="6CA20D33"/>
    <w:rsid w:val="6D162FB8"/>
    <w:rsid w:val="6DC20A4A"/>
    <w:rsid w:val="703379DD"/>
    <w:rsid w:val="724539F8"/>
    <w:rsid w:val="73133AF6"/>
    <w:rsid w:val="7499627D"/>
    <w:rsid w:val="78D141F4"/>
    <w:rsid w:val="7A515749"/>
    <w:rsid w:val="7A8E67CA"/>
    <w:rsid w:val="7B735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6"/>
    <w:qFormat/>
    <w:uiPriority w:val="0"/>
    <w:pPr>
      <w:keepNext/>
      <w:keepLines/>
      <w:spacing w:before="260" w:after="260" w:line="416" w:lineRule="auto"/>
      <w:outlineLvl w:val="2"/>
    </w:pPr>
    <w:rPr>
      <w:b/>
      <w:bCs/>
      <w:sz w:val="32"/>
      <w:szCs w:val="32"/>
    </w:rPr>
  </w:style>
  <w:style w:type="paragraph" w:styleId="6">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6"/>
    <w:qFormat/>
    <w:uiPriority w:val="0"/>
    <w:pPr>
      <w:spacing w:after="120"/>
    </w:p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3"/>
    <w:qFormat/>
    <w:uiPriority w:val="0"/>
    <w:rPr>
      <w:b/>
      <w:bCs/>
      <w:kern w:val="44"/>
      <w:sz w:val="44"/>
      <w:szCs w:val="44"/>
    </w:rPr>
  </w:style>
  <w:style w:type="character" w:customStyle="1" w:styleId="35">
    <w:name w:val="标题 2 字符"/>
    <w:link w:val="4"/>
    <w:qFormat/>
    <w:uiPriority w:val="0"/>
    <w:rPr>
      <w:rFonts w:ascii="Arial" w:hAnsi="Arial" w:eastAsia="黑体"/>
      <w:b/>
      <w:bCs/>
      <w:kern w:val="2"/>
      <w:sz w:val="32"/>
      <w:szCs w:val="32"/>
    </w:rPr>
  </w:style>
  <w:style w:type="character" w:customStyle="1" w:styleId="36">
    <w:name w:val="标题 3 字符"/>
    <w:link w:val="5"/>
    <w:qFormat/>
    <w:uiPriority w:val="0"/>
    <w:rPr>
      <w:b/>
      <w:bCs/>
      <w:kern w:val="2"/>
      <w:sz w:val="32"/>
      <w:szCs w:val="32"/>
    </w:rPr>
  </w:style>
  <w:style w:type="character" w:customStyle="1" w:styleId="37">
    <w:name w:val="标题 4 字符"/>
    <w:link w:val="6"/>
    <w:qFormat/>
    <w:uiPriority w:val="0"/>
    <w:rPr>
      <w:rFonts w:ascii="Arial" w:hAnsi="Arial" w:eastAsia="黑体"/>
      <w:b/>
      <w:bCs/>
      <w:kern w:val="2"/>
      <w:sz w:val="28"/>
      <w:szCs w:val="28"/>
    </w:rPr>
  </w:style>
  <w:style w:type="character" w:customStyle="1" w:styleId="38">
    <w:name w:val="标题 5 字符"/>
    <w:link w:val="7"/>
    <w:qFormat/>
    <w:uiPriority w:val="0"/>
    <w:rPr>
      <w:b/>
      <w:bCs/>
      <w:kern w:val="2"/>
      <w:sz w:val="28"/>
      <w:szCs w:val="28"/>
    </w:rPr>
  </w:style>
  <w:style w:type="character" w:customStyle="1" w:styleId="39">
    <w:name w:val="标题 6 字符"/>
    <w:link w:val="8"/>
    <w:qFormat/>
    <w:uiPriority w:val="0"/>
    <w:rPr>
      <w:rFonts w:ascii="Arial" w:hAnsi="Arial" w:eastAsia="黑体"/>
      <w:b/>
      <w:bCs/>
      <w:kern w:val="2"/>
      <w:sz w:val="24"/>
      <w:szCs w:val="24"/>
    </w:rPr>
  </w:style>
  <w:style w:type="character" w:customStyle="1" w:styleId="40">
    <w:name w:val="标题 7 字符"/>
    <w:link w:val="9"/>
    <w:qFormat/>
    <w:uiPriority w:val="0"/>
    <w:rPr>
      <w:b/>
      <w:bCs/>
      <w:kern w:val="2"/>
      <w:sz w:val="24"/>
      <w:szCs w:val="24"/>
    </w:rPr>
  </w:style>
  <w:style w:type="character" w:customStyle="1" w:styleId="41">
    <w:name w:val="标题 8 字符"/>
    <w:link w:val="10"/>
    <w:qFormat/>
    <w:uiPriority w:val="0"/>
    <w:rPr>
      <w:rFonts w:ascii="Arial" w:hAnsi="Arial" w:eastAsia="黑体"/>
      <w:kern w:val="2"/>
      <w:sz w:val="24"/>
      <w:szCs w:val="24"/>
    </w:rPr>
  </w:style>
  <w:style w:type="character" w:customStyle="1" w:styleId="42">
    <w:name w:val="标题 9 字符"/>
    <w:link w:val="11"/>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link w:val="232"/>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link w:val="23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2"/>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2"/>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en-code1"/>
    <w:basedOn w:val="28"/>
    <w:qFormat/>
    <w:uiPriority w:val="0"/>
    <w:rPr>
      <w:b/>
      <w:bCs/>
      <w:color w:val="0A5CA8"/>
      <w:sz w:val="26"/>
      <w:szCs w:val="26"/>
    </w:rPr>
  </w:style>
  <w:style w:type="character" w:customStyle="1" w:styleId="231">
    <w:name w:val="标准文件_ICS Char"/>
    <w:link w:val="54"/>
    <w:qFormat/>
    <w:uiPriority w:val="0"/>
    <w:rPr>
      <w:rFonts w:ascii="黑体" w:hAnsi="宋体" w:eastAsia="黑体"/>
    </w:rPr>
  </w:style>
  <w:style w:type="character" w:customStyle="1" w:styleId="232">
    <w:name w:val="标准书眉一 Char"/>
    <w:link w:val="53"/>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129BC59F7C24C0CAC62BA9B19A16CAE"/>
        <w:style w:val=""/>
        <w:category>
          <w:name w:val="常规"/>
          <w:gallery w:val="placeholder"/>
        </w:category>
        <w:types>
          <w:type w:val="bbPlcHdr"/>
        </w:types>
        <w:behaviors>
          <w:behavior w:val="content"/>
        </w:behaviors>
        <w:description w:val=""/>
        <w:guid w:val="{046F3A52-BA17-4BF8-B5E9-45A38D2EE14C}"/>
      </w:docPartPr>
      <w:docPartBody>
        <w:p w14:paraId="2A90E64D">
          <w:pPr>
            <w:pStyle w:val="5"/>
          </w:pPr>
          <w:r>
            <w:rPr>
              <w:rStyle w:val="4"/>
              <w:rFonts w:hint="eastAsia"/>
            </w:rPr>
            <w:t>单击或点击此处输入文字。</w:t>
          </w:r>
        </w:p>
      </w:docPartBody>
    </w:docPart>
    <w:docPart>
      <w:docPartPr>
        <w:name w:val="9229544B4E114899B5AFF6BD5FD4F64E"/>
        <w:style w:val=""/>
        <w:category>
          <w:name w:val="常规"/>
          <w:gallery w:val="placeholder"/>
        </w:category>
        <w:types>
          <w:type w:val="bbPlcHdr"/>
        </w:types>
        <w:behaviors>
          <w:behavior w:val="content"/>
        </w:behaviors>
        <w:description w:val=""/>
        <w:guid w:val="{A4F8B22C-C972-4444-BBCD-F46E319AA4B1}"/>
      </w:docPartPr>
      <w:docPartBody>
        <w:p w14:paraId="5695D02C">
          <w:pPr>
            <w:pStyle w:val="6"/>
          </w:pPr>
          <w:r>
            <w:rPr>
              <w:rStyle w:val="4"/>
              <w:rFonts w:hint="eastAsia"/>
            </w:rPr>
            <w:t>选择一项。</w:t>
          </w:r>
        </w:p>
      </w:docPartBody>
    </w:docPart>
    <w:docPart>
      <w:docPartPr>
        <w:name w:val="{6b83e6ff-c08a-4e02-8cc8-31d33c268a8f}"/>
        <w:style w:val=""/>
        <w:category>
          <w:name w:val="常规"/>
          <w:gallery w:val="placeholder"/>
        </w:category>
        <w:types>
          <w:type w:val="bbPlcHdr"/>
        </w:types>
        <w:behaviors>
          <w:behavior w:val="content"/>
        </w:behaviors>
        <w:description w:val=""/>
        <w:guid w:val="{6B83E6FF-C08A-4E02-8CC8-31D33C268A8F}"/>
      </w:docPartPr>
      <w:docPartBody>
        <w:p w14:paraId="18B35774">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CF4"/>
    <w:rsid w:val="000C0CC9"/>
    <w:rsid w:val="00200CF4"/>
    <w:rsid w:val="005F7D79"/>
    <w:rsid w:val="006A2B19"/>
    <w:rsid w:val="007A2545"/>
    <w:rsid w:val="008376C0"/>
    <w:rsid w:val="00950502"/>
    <w:rsid w:val="00981C8F"/>
    <w:rsid w:val="00986A16"/>
    <w:rsid w:val="00A006F6"/>
    <w:rsid w:val="00A40B2F"/>
    <w:rsid w:val="00AD610F"/>
    <w:rsid w:val="00C35155"/>
    <w:rsid w:val="00D3597E"/>
    <w:rsid w:val="00E00175"/>
    <w:rsid w:val="00E61C5F"/>
    <w:rsid w:val="00FE3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129BC59F7C24C0CAC62BA9B19A16CA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229544B4E114899B5AFF6BD5FD4F64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83BF79C74045420A9717E289E24C695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3171</Words>
  <Characters>4068</Characters>
  <Lines>39</Lines>
  <Paragraphs>11</Paragraphs>
  <TotalTime>25</TotalTime>
  <ScaleCrop>false</ScaleCrop>
  <LinksUpToDate>false</LinksUpToDate>
  <CharactersWithSpaces>4296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2024-06-14T08:04:00Z</dcterms:created>
  <dc:creator>CRC</dc:creator>
  <dc:description>&lt;config cover="true" show_menu="true" version="1.0.0" doctype="SDKXY"&gt;_x000d_
&lt;/config&gt;</dc:description>
  <cp:lastModifiedBy>buffoon</cp:lastModifiedBy>
  <cp:lastPrinted>2024-06-15T00:12:00Z</cp:lastPrinted>
  <dcterms:modified xsi:type="dcterms:W3CDTF">2024-08-30T01:46:28Z</dcterms:modified>
  <dc:title>地方标准</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2052-12.1.0.17857</vt:lpwstr>
  </property>
  <property fmtid="{D5CDD505-2E9C-101B-9397-08002B2CF9AE}" pid="15" name="ICV">
    <vt:lpwstr>15473F31727541D8B3407A44349170B9_12</vt:lpwstr>
  </property>
</Properties>
</file>