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sz w:val="36"/>
          <w:szCs w:val="36"/>
        </w:rPr>
        <w:t>富硒谷子种植技术规程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》</w:t>
      </w:r>
    </w:p>
    <w:p>
      <w:pPr>
        <w:pStyle w:val="1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编制说明</w:t>
      </w:r>
    </w:p>
    <w:p>
      <w:pPr>
        <w:pStyle w:val="11"/>
        <w:ind w:firstLine="480" w:firstLineChars="200"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工作简况</w:t>
      </w:r>
    </w:p>
    <w:p>
      <w:pPr>
        <w:pStyle w:val="11"/>
        <w:spacing w:line="360" w:lineRule="auto"/>
        <w:ind w:left="284" w:firstLine="280" w:firstLineChars="1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1、任务来源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根据</w:t>
      </w:r>
      <w:r>
        <w:rPr>
          <w:rFonts w:ascii="宋体" w:hAnsi="宋体"/>
          <w:bCs/>
          <w:color w:val="000000"/>
          <w:sz w:val="28"/>
          <w:szCs w:val="28"/>
        </w:rPr>
        <w:t>赤峰市市场监督管理局</w:t>
      </w:r>
      <w:r>
        <w:rPr>
          <w:rFonts w:hint="eastAsia" w:ascii="宋体" w:hAnsi="宋体"/>
          <w:bCs/>
          <w:color w:val="000000"/>
          <w:sz w:val="28"/>
          <w:szCs w:val="28"/>
        </w:rPr>
        <w:t>印发的《关于公开征集2023年</w:t>
      </w:r>
      <w:r>
        <w:rPr>
          <w:rFonts w:ascii="宋体" w:hAnsi="宋体"/>
          <w:bCs/>
          <w:color w:val="000000"/>
          <w:sz w:val="28"/>
          <w:szCs w:val="28"/>
        </w:rPr>
        <w:t>度赤峰市地方标准制修订</w:t>
      </w:r>
      <w:r>
        <w:rPr>
          <w:rFonts w:hint="eastAsia" w:ascii="宋体" w:hAnsi="宋体"/>
          <w:bCs/>
          <w:color w:val="000000"/>
          <w:sz w:val="28"/>
          <w:szCs w:val="28"/>
        </w:rPr>
        <w:t>项目的通知》（赤市监函字﹝2023﹞1号），赤峰市农牧业综合检验检测中心提出并经赤峰市农牧局同意，由赤峰市农牧局向赤峰市市场监督管理局提出地方标准立项申请。</w:t>
      </w:r>
    </w:p>
    <w:p>
      <w:pPr>
        <w:autoSpaceDE w:val="0"/>
        <w:autoSpaceDN w:val="0"/>
        <w:adjustRightInd w:val="0"/>
        <w:spacing w:line="360" w:lineRule="auto"/>
        <w:ind w:firstLine="700" w:firstLineChars="25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/>
          <w:bCs/>
          <w:color w:val="000000"/>
          <w:sz w:val="28"/>
          <w:szCs w:val="28"/>
        </w:rPr>
        <w:t>2023年</w:t>
      </w:r>
      <w:r>
        <w:rPr>
          <w:rFonts w:hint="eastAsia" w:ascii="宋体" w:hAnsi="宋体"/>
          <w:bCs/>
          <w:color w:val="000000"/>
          <w:sz w:val="28"/>
          <w:szCs w:val="28"/>
        </w:rPr>
        <w:t>12月4日，赤峰市市场监督管理局印发了《关于下达2023年第二批赤峰市地方标准制修订项目计划的通知》（赤市监标字﹝2023﹞139号）</w:t>
      </w:r>
      <w:r>
        <w:rPr>
          <w:rFonts w:ascii="宋体" w:hAnsi="宋体"/>
          <w:bCs/>
          <w:color w:val="000000"/>
          <w:sz w:val="28"/>
          <w:szCs w:val="28"/>
        </w:rPr>
        <w:t>，</w:t>
      </w:r>
      <w:r>
        <w:rPr>
          <w:rFonts w:hint="eastAsia" w:ascii="宋体" w:hAnsi="宋体"/>
          <w:bCs/>
          <w:color w:val="000000"/>
          <w:sz w:val="28"/>
          <w:szCs w:val="28"/>
        </w:rPr>
        <w:t>批复同意将该标准作为</w:t>
      </w:r>
      <w:r>
        <w:rPr>
          <w:rFonts w:ascii="宋体" w:hAnsi="宋体"/>
          <w:bCs/>
          <w:color w:val="000000"/>
          <w:sz w:val="28"/>
          <w:szCs w:val="28"/>
        </w:rPr>
        <w:t>2023</w:t>
      </w:r>
      <w:r>
        <w:rPr>
          <w:rFonts w:hint="eastAsia" w:ascii="宋体" w:hAnsi="宋体"/>
          <w:bCs/>
          <w:color w:val="000000"/>
          <w:sz w:val="28"/>
          <w:szCs w:val="28"/>
        </w:rPr>
        <w:t>年</w:t>
      </w:r>
      <w:r>
        <w:rPr>
          <w:rFonts w:ascii="宋体" w:hAnsi="宋体"/>
          <w:bCs/>
          <w:color w:val="000000"/>
          <w:sz w:val="28"/>
          <w:szCs w:val="28"/>
        </w:rPr>
        <w:t>度</w:t>
      </w:r>
      <w:r>
        <w:rPr>
          <w:rFonts w:hint="eastAsia" w:ascii="宋体" w:hAnsi="宋体"/>
          <w:bCs/>
          <w:color w:val="000000"/>
          <w:sz w:val="28"/>
          <w:szCs w:val="28"/>
        </w:rPr>
        <w:t>赤峰市地方标准制修订项目，</w:t>
      </w:r>
      <w:r>
        <w:rPr>
          <w:rFonts w:ascii="宋体" w:hAnsi="宋体"/>
          <w:bCs/>
          <w:color w:val="000000"/>
          <w:sz w:val="28"/>
          <w:szCs w:val="28"/>
        </w:rPr>
        <w:t>起草制定本</w:t>
      </w:r>
      <w:r>
        <w:rPr>
          <w:rFonts w:hint="eastAsia" w:ascii="宋体" w:hAnsi="宋体"/>
          <w:bCs/>
          <w:color w:val="000000"/>
          <w:sz w:val="28"/>
          <w:szCs w:val="28"/>
        </w:rPr>
        <w:t>文件。</w:t>
      </w:r>
    </w:p>
    <w:p>
      <w:pPr>
        <w:spacing w:line="360" w:lineRule="auto"/>
        <w:ind w:firstLine="562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2</w:t>
      </w:r>
      <w:r>
        <w:rPr>
          <w:rFonts w:hint="eastAsia" w:ascii="宋体" w:hAnsi="宋体" w:cs="仿宋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起草单位、协作单位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起草单位：赤峰市农牧业综合检验检测中心。</w:t>
      </w:r>
    </w:p>
    <w:p>
      <w:pPr>
        <w:pStyle w:val="17"/>
        <w:spacing w:line="360" w:lineRule="auto"/>
        <w:ind w:firstLine="560"/>
        <w:rPr>
          <w:rFonts w:hAnsi="宋体"/>
          <w:bCs/>
          <w:color w:val="000000"/>
          <w:kern w:val="2"/>
          <w:sz w:val="28"/>
          <w:szCs w:val="28"/>
        </w:rPr>
      </w:pPr>
      <w:r>
        <w:rPr>
          <w:rFonts w:hint="eastAsia" w:hAnsi="宋体"/>
          <w:bCs/>
          <w:color w:val="000000"/>
          <w:kern w:val="2"/>
          <w:sz w:val="28"/>
          <w:szCs w:val="28"/>
        </w:rPr>
        <w:t>协作单位：赤峰市农牧科学研究所、松山区农牧局、赤峰市农牧技术推广中心、巴林右旗农牧技术推广中心、赤峰祥锋种养殖专业合作社。</w:t>
      </w: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起草人：：王向红、毕忠泽、杨艳梅、张立媛、孙宏业、郇志荣、秦蕊、李宁、李艳丽、邵海、曹立娜、刘晓雪、王卫红、呼吉亚、李洵、李振阁、徐振兴、王雪洁、邰丽、王翠艳、侯长江、潘磊、张滋慧、胡舒凯、霍瑞明</w:t>
      </w:r>
      <w:r>
        <w:rPr>
          <w:rFonts w:hint="eastAsia" w:hAnsi="宋体" w:cs="宋体"/>
          <w:sz w:val="24"/>
          <w:szCs w:val="24"/>
        </w:rPr>
        <w:t>。</w:t>
      </w:r>
      <w:bookmarkStart w:id="0" w:name="_GoBack"/>
      <w:bookmarkEnd w:id="0"/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二、制定标准的必要性和意义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硒是人体无法合成但必需的微量元素之一，现代医学证明:硒在促进机体免疫系统功能、防止机体老化、抗癌、抗辐射等方面有着显著的作用，被称为“抗癌之王”。同时还具有预防近视、白内障，保护肝脏的特殊功效。我国居民日常生活中的水果、蔬菜、粮食和食物中的硒含量都很低。因此，往往造成硒摄入不足。根据中科院调查，我国有72%的地区缺硒，缺硒省份达 22个，我市也属于缺硒地区。这也是我国居民肝脏病、糖尿病、心脏病、克山病、大骨节病、癌症等疾病的发生率大大超过世界水平的主要原因之一。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食用富硒产品可以解决硒摄入不足的问题，种植富硒谷子对农民增产增收和谷子产业发展具有重要的现实意义。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赤峰地区主要种植的农作物有谷子、玉米、高粱、荞麦、莜麦、糜黍等，其中谷子是种植面积最大的杂粮作物之一，目前，我市的谷子种植面积稳定在300万亩左右，赤峰市是我区谷子的主要种植区，种植面积占全区的70%以上，占全国播种面积的15%左右，干旱年份可达到500万亩。因此，赤峰市委、市政府把谷子产业作为本地区主导产业之一，给予极大支持。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赤峰地区降雨较少，旱薄丘陵地较多，需种植抗旱作物，赤峰市地区对于谷子的育种、种植积累了丰富的理论基础与实践经验。推广富硒谷子生产技术，可使谷子平均产量增加10%以上。在谷子生产过程中喷施硒肥，从而提高产品中硒的含量，以增加农产品的附加值，让我市特色优质的农产品走向更大的市场。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富硒谷子种植技术规程对赤峰市种植富硒谷子，促进谷子种植多元化发展有一定指导作用，是赤峰市特色粮食安全的需要，因此本标准的制定，具有积极重要的意义。该规程为赤峰市富硒谷子标准化种植提供技术支撑，将对富硒谷子高产、稳产起到极大促进作用。，编制《富硒谷子种植技术规程》十分必要。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三、主要起草过程</w:t>
      </w:r>
    </w:p>
    <w:p>
      <w:pPr>
        <w:pStyle w:val="2"/>
        <w:spacing w:line="360" w:lineRule="auto"/>
        <w:ind w:firstLine="560" w:firstLineChars="200"/>
        <w:rPr>
          <w:rFonts w:hAnsi="宋体"/>
          <w:bCs/>
          <w:color w:val="000000"/>
          <w:kern w:val="2"/>
          <w:sz w:val="28"/>
          <w:szCs w:val="28"/>
        </w:rPr>
      </w:pPr>
      <w:r>
        <w:rPr>
          <w:rFonts w:hint="eastAsia" w:hAnsi="宋体"/>
          <w:bCs/>
          <w:color w:val="000000"/>
          <w:kern w:val="2"/>
          <w:sz w:val="28"/>
          <w:szCs w:val="28"/>
        </w:rPr>
        <w:t>本标准立项后，起草小组即着手进行“富硒谷子种植技术规程”标准的调研及国家标准、行业标准查新工作，并大量收集、查阅和分析有关技术资料，按制定标准的要求进行分类整理，在总结查阅整理资料，参考国内相关标准，结合敖汉旗、松山区、喀喇沁旗、林西县、翁牛特旗、巴林左旗、巴林右旗、阿鲁科尔沁旗等种植集中地区的生产实际，并征求意见的基础上形成本标准。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四、制定文件的原则和依据，与现行法律、法规、标准的关系</w:t>
      </w:r>
    </w:p>
    <w:p>
      <w:pPr>
        <w:pStyle w:val="2"/>
        <w:spacing w:line="360" w:lineRule="auto"/>
        <w:ind w:firstLine="560" w:firstLineChars="200"/>
        <w:rPr>
          <w:rFonts w:hAnsi="宋体"/>
          <w:bCs/>
          <w:color w:val="000000"/>
          <w:kern w:val="2"/>
          <w:sz w:val="28"/>
          <w:szCs w:val="28"/>
        </w:rPr>
      </w:pPr>
      <w:r>
        <w:rPr>
          <w:rFonts w:hint="eastAsia" w:hAnsi="宋体"/>
          <w:bCs/>
          <w:color w:val="000000"/>
          <w:kern w:val="2"/>
          <w:sz w:val="28"/>
          <w:szCs w:val="28"/>
        </w:rPr>
        <w:t>本标准按照</w:t>
      </w:r>
      <w:r>
        <w:rPr>
          <w:rFonts w:hAnsi="宋体"/>
          <w:bCs/>
          <w:color w:val="000000"/>
          <w:kern w:val="2"/>
          <w:sz w:val="28"/>
          <w:szCs w:val="28"/>
        </w:rPr>
        <w:t>GB/T 1.1</w:t>
      </w:r>
      <w:r>
        <w:rPr>
          <w:rFonts w:hint="eastAsia" w:hAnsi="宋体"/>
          <w:bCs/>
          <w:color w:val="000000"/>
          <w:kern w:val="2"/>
          <w:sz w:val="28"/>
          <w:szCs w:val="28"/>
        </w:rPr>
        <w:t>-2020 《标准化工作导则</w:t>
      </w:r>
      <w:r>
        <w:rPr>
          <w:rFonts w:hAnsi="宋体"/>
          <w:bCs/>
          <w:color w:val="000000"/>
          <w:kern w:val="2"/>
          <w:sz w:val="28"/>
          <w:szCs w:val="28"/>
        </w:rPr>
        <w:t xml:space="preserve"> </w:t>
      </w:r>
      <w:r>
        <w:rPr>
          <w:rFonts w:hint="eastAsia" w:hAnsi="宋体"/>
          <w:bCs/>
          <w:color w:val="000000"/>
          <w:kern w:val="2"/>
          <w:sz w:val="28"/>
          <w:szCs w:val="28"/>
        </w:rPr>
        <w:t>第</w:t>
      </w:r>
      <w:r>
        <w:rPr>
          <w:rFonts w:hAnsi="宋体"/>
          <w:bCs/>
          <w:color w:val="000000"/>
          <w:kern w:val="2"/>
          <w:sz w:val="28"/>
          <w:szCs w:val="28"/>
        </w:rPr>
        <w:t>1</w:t>
      </w:r>
      <w:r>
        <w:rPr>
          <w:rFonts w:hint="eastAsia" w:hAnsi="宋体"/>
          <w:bCs/>
          <w:color w:val="000000"/>
          <w:kern w:val="2"/>
          <w:sz w:val="28"/>
          <w:szCs w:val="28"/>
        </w:rPr>
        <w:t>部分：标准化文件的结构和起草规则》要求进行编写；严格执行国家现行相关政策、法规；与有关技术标准、规程相协调，并充分考虑了富硒谷子的实际和特点。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bCs/>
          <w:color w:val="000000"/>
          <w:kern w:val="2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kern w:val="2"/>
          <w:sz w:val="28"/>
          <w:szCs w:val="28"/>
        </w:rPr>
        <w:t>五、主要技术指标、参数、试验验证的论述</w:t>
      </w:r>
    </w:p>
    <w:p>
      <w:pPr>
        <w:pStyle w:val="2"/>
        <w:spacing w:line="360" w:lineRule="auto"/>
        <w:ind w:firstLine="560" w:firstLineChars="200"/>
        <w:rPr>
          <w:rFonts w:hAnsi="宋体"/>
          <w:bCs/>
          <w:color w:val="000000"/>
          <w:kern w:val="2"/>
          <w:sz w:val="28"/>
          <w:szCs w:val="28"/>
        </w:rPr>
      </w:pPr>
      <w:r>
        <w:rPr>
          <w:rFonts w:hint="eastAsia" w:hAnsi="宋体"/>
          <w:bCs/>
          <w:color w:val="000000"/>
          <w:kern w:val="2"/>
          <w:sz w:val="28"/>
          <w:szCs w:val="28"/>
        </w:rPr>
        <w:t>通过对敖汉旗、松山区、喀喇沁旗</w:t>
      </w:r>
      <w:r>
        <w:rPr>
          <w:rFonts w:hAnsi="宋体"/>
          <w:bCs/>
          <w:color w:val="000000"/>
          <w:kern w:val="2"/>
          <w:sz w:val="28"/>
          <w:szCs w:val="28"/>
        </w:rPr>
        <w:t>、</w:t>
      </w:r>
      <w:r>
        <w:rPr>
          <w:rFonts w:hint="eastAsia" w:hAnsi="宋体"/>
          <w:bCs/>
          <w:color w:val="000000"/>
          <w:kern w:val="2"/>
          <w:sz w:val="28"/>
          <w:szCs w:val="28"/>
        </w:rPr>
        <w:t>林西县</w:t>
      </w:r>
      <w:r>
        <w:rPr>
          <w:rFonts w:hAnsi="宋体"/>
          <w:bCs/>
          <w:color w:val="000000"/>
          <w:kern w:val="2"/>
          <w:sz w:val="28"/>
          <w:szCs w:val="28"/>
        </w:rPr>
        <w:t>、翁牛特旗、巴林左旗、</w:t>
      </w:r>
      <w:r>
        <w:rPr>
          <w:rFonts w:hint="eastAsia" w:hAnsi="宋体"/>
          <w:bCs/>
          <w:color w:val="000000"/>
          <w:kern w:val="2"/>
          <w:sz w:val="28"/>
          <w:szCs w:val="28"/>
        </w:rPr>
        <w:t>巴林右旗、阿鲁科尔沁旗等种植集中地区的生产实际实际情况的调研，结合赤峰市小米产业发展前景，规定了富硒谷子种植技术。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bCs/>
          <w:color w:val="000000"/>
          <w:kern w:val="2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kern w:val="2"/>
          <w:sz w:val="28"/>
          <w:szCs w:val="28"/>
        </w:rPr>
        <w:t>六、重大意见分歧的处理依据和结果</w:t>
      </w:r>
    </w:p>
    <w:p>
      <w:pPr>
        <w:pStyle w:val="2"/>
        <w:spacing w:line="360" w:lineRule="auto"/>
        <w:ind w:firstLine="560" w:firstLineChars="200"/>
        <w:rPr>
          <w:rFonts w:hAnsi="宋体"/>
          <w:bCs/>
          <w:color w:val="000000"/>
          <w:kern w:val="2"/>
          <w:sz w:val="28"/>
          <w:szCs w:val="28"/>
        </w:rPr>
      </w:pPr>
      <w:r>
        <w:rPr>
          <w:rFonts w:hint="eastAsia" w:hAnsi="宋体"/>
          <w:bCs/>
          <w:color w:val="000000"/>
          <w:kern w:val="2"/>
          <w:sz w:val="28"/>
          <w:szCs w:val="28"/>
        </w:rPr>
        <w:t>无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bCs/>
          <w:color w:val="000000"/>
          <w:kern w:val="2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kern w:val="2"/>
          <w:sz w:val="28"/>
          <w:szCs w:val="28"/>
        </w:rPr>
        <w:t>七、采用国际标准或国外先进标准的，说明采标程度，以及国内外同类标准水平的对比情况</w:t>
      </w:r>
    </w:p>
    <w:p>
      <w:pPr>
        <w:spacing w:line="360" w:lineRule="auto"/>
        <w:ind w:firstLine="560" w:firstLineChars="200"/>
        <w:rPr>
          <w:rFonts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本标准充分参考了GB 4404.1《粮食作物种子》第1部分:禾谷类、GB5009 《食品安全国家标准食品中硒的测定》、GB5084 《农田灌溉水质标准》GB 5491《粮食、油料检验扦样、分样法》、GB  13735《聚乙烯吹塑农用地面覆盖薄膜》、GB 15618《土壤环境质量农用地土壤污染风险管控标准》(试行)、GB/T 17109《粮食销售包装要求》、GB/T  35795  《全生物降解农用地面覆盖薄膜》、NY/T496《肥料合理使用准则通则》、NY/T650《喷雾机(器)作业质量》、NY/T1104《土壤中全硒的测定》、NY/T 1276《农药安全使用规范 总则》。</w:t>
      </w:r>
    </w:p>
    <w:p>
      <w:pPr>
        <w:pStyle w:val="2"/>
        <w:spacing w:line="360" w:lineRule="auto"/>
        <w:ind w:firstLine="560" w:firstLineChars="200"/>
        <w:rPr>
          <w:rFonts w:ascii="黑体" w:hAnsi="黑体" w:eastAsia="黑体"/>
          <w:bCs/>
          <w:color w:val="000000"/>
          <w:kern w:val="2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kern w:val="2"/>
          <w:sz w:val="28"/>
          <w:szCs w:val="28"/>
        </w:rPr>
        <w:t>八、其他应说明的事项</w:t>
      </w:r>
    </w:p>
    <w:p>
      <w:pPr>
        <w:pStyle w:val="2"/>
        <w:spacing w:line="360" w:lineRule="auto"/>
        <w:ind w:firstLine="480" w:firstLineChars="200"/>
        <w:rPr>
          <w:rFonts w:hAnsi="宋体"/>
          <w:sz w:val="24"/>
          <w:szCs w:val="32"/>
        </w:rPr>
      </w:pPr>
      <w:r>
        <w:rPr>
          <w:rFonts w:hint="eastAsia" w:hAnsi="宋体"/>
          <w:sz w:val="24"/>
          <w:szCs w:val="32"/>
        </w:rPr>
        <w:t>无</w:t>
      </w:r>
    </w:p>
    <w:p>
      <w:pPr>
        <w:pStyle w:val="2"/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黑体" w:hAnsi="黑体" w:eastAsia="黑体" w:cs="仿宋"/>
          <w:sz w:val="28"/>
          <w:szCs w:val="28"/>
        </w:rPr>
        <w:t xml:space="preserve"> </w:t>
      </w:r>
    </w:p>
    <w:p>
      <w:pPr>
        <w:pStyle w:val="2"/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JjMGM1ZmMwYTViNGNkYTY0MzVkNTU4OTZiMTBmMWYifQ=="/>
  </w:docVars>
  <w:rsids>
    <w:rsidRoot w:val="002E17DF"/>
    <w:rsid w:val="0006773F"/>
    <w:rsid w:val="00070202"/>
    <w:rsid w:val="000800E3"/>
    <w:rsid w:val="00084A4E"/>
    <w:rsid w:val="000C43AF"/>
    <w:rsid w:val="000D6E41"/>
    <w:rsid w:val="000D7DB6"/>
    <w:rsid w:val="000E28D7"/>
    <w:rsid w:val="00121ADE"/>
    <w:rsid w:val="00130644"/>
    <w:rsid w:val="00135FE1"/>
    <w:rsid w:val="00140AF8"/>
    <w:rsid w:val="00161357"/>
    <w:rsid w:val="00192B94"/>
    <w:rsid w:val="001B0027"/>
    <w:rsid w:val="001D474E"/>
    <w:rsid w:val="002072EE"/>
    <w:rsid w:val="00216CA6"/>
    <w:rsid w:val="0025292D"/>
    <w:rsid w:val="00253F26"/>
    <w:rsid w:val="00265ABF"/>
    <w:rsid w:val="00270FFA"/>
    <w:rsid w:val="002749DD"/>
    <w:rsid w:val="00290D26"/>
    <w:rsid w:val="002977CD"/>
    <w:rsid w:val="002B0376"/>
    <w:rsid w:val="002C4FF4"/>
    <w:rsid w:val="002C5C29"/>
    <w:rsid w:val="002E17DF"/>
    <w:rsid w:val="002F37C5"/>
    <w:rsid w:val="00302FAB"/>
    <w:rsid w:val="003256B9"/>
    <w:rsid w:val="003274CF"/>
    <w:rsid w:val="00334F25"/>
    <w:rsid w:val="00344F57"/>
    <w:rsid w:val="003B29DD"/>
    <w:rsid w:val="003D2677"/>
    <w:rsid w:val="003D638B"/>
    <w:rsid w:val="003E7627"/>
    <w:rsid w:val="00404EEF"/>
    <w:rsid w:val="00426E60"/>
    <w:rsid w:val="00431D0F"/>
    <w:rsid w:val="00457B84"/>
    <w:rsid w:val="0046290D"/>
    <w:rsid w:val="004705E5"/>
    <w:rsid w:val="00487A11"/>
    <w:rsid w:val="00490B4F"/>
    <w:rsid w:val="00492116"/>
    <w:rsid w:val="004C1564"/>
    <w:rsid w:val="004F3848"/>
    <w:rsid w:val="0051023C"/>
    <w:rsid w:val="00511E36"/>
    <w:rsid w:val="00512001"/>
    <w:rsid w:val="00525DA1"/>
    <w:rsid w:val="00527D2C"/>
    <w:rsid w:val="00532B0F"/>
    <w:rsid w:val="00554807"/>
    <w:rsid w:val="00572504"/>
    <w:rsid w:val="00573CC0"/>
    <w:rsid w:val="00580DEB"/>
    <w:rsid w:val="005A2F41"/>
    <w:rsid w:val="005A5F25"/>
    <w:rsid w:val="005C58EE"/>
    <w:rsid w:val="005D68A5"/>
    <w:rsid w:val="005D710E"/>
    <w:rsid w:val="005F61AF"/>
    <w:rsid w:val="00617BF3"/>
    <w:rsid w:val="00647B9F"/>
    <w:rsid w:val="006602DE"/>
    <w:rsid w:val="0066545C"/>
    <w:rsid w:val="006800AC"/>
    <w:rsid w:val="00687EA8"/>
    <w:rsid w:val="006A744F"/>
    <w:rsid w:val="006C38AD"/>
    <w:rsid w:val="00703FB6"/>
    <w:rsid w:val="0070700A"/>
    <w:rsid w:val="00716CEE"/>
    <w:rsid w:val="00754E4C"/>
    <w:rsid w:val="00767D90"/>
    <w:rsid w:val="007F1D3F"/>
    <w:rsid w:val="00800065"/>
    <w:rsid w:val="0083452B"/>
    <w:rsid w:val="00835742"/>
    <w:rsid w:val="00842750"/>
    <w:rsid w:val="00856AF6"/>
    <w:rsid w:val="008634FC"/>
    <w:rsid w:val="008D27B1"/>
    <w:rsid w:val="008D283B"/>
    <w:rsid w:val="008F0024"/>
    <w:rsid w:val="00910D6F"/>
    <w:rsid w:val="00923EFD"/>
    <w:rsid w:val="0093348C"/>
    <w:rsid w:val="00933829"/>
    <w:rsid w:val="00957F90"/>
    <w:rsid w:val="00963B5C"/>
    <w:rsid w:val="00983BB0"/>
    <w:rsid w:val="009A1F1C"/>
    <w:rsid w:val="009B31DB"/>
    <w:rsid w:val="009D11A7"/>
    <w:rsid w:val="009D3E48"/>
    <w:rsid w:val="009F7DC6"/>
    <w:rsid w:val="00A03265"/>
    <w:rsid w:val="00A21E0A"/>
    <w:rsid w:val="00A2357A"/>
    <w:rsid w:val="00A33F68"/>
    <w:rsid w:val="00A7684C"/>
    <w:rsid w:val="00A815F2"/>
    <w:rsid w:val="00A83B3D"/>
    <w:rsid w:val="00AA1623"/>
    <w:rsid w:val="00AA4B14"/>
    <w:rsid w:val="00AC69E8"/>
    <w:rsid w:val="00AD06F4"/>
    <w:rsid w:val="00AD6782"/>
    <w:rsid w:val="00B01CCC"/>
    <w:rsid w:val="00B163FE"/>
    <w:rsid w:val="00B36679"/>
    <w:rsid w:val="00B36920"/>
    <w:rsid w:val="00B37EF5"/>
    <w:rsid w:val="00B52F67"/>
    <w:rsid w:val="00B63905"/>
    <w:rsid w:val="00B63C33"/>
    <w:rsid w:val="00B82703"/>
    <w:rsid w:val="00B91F2C"/>
    <w:rsid w:val="00BA09F4"/>
    <w:rsid w:val="00BA6DF8"/>
    <w:rsid w:val="00BC6D30"/>
    <w:rsid w:val="00C0408E"/>
    <w:rsid w:val="00C16AA8"/>
    <w:rsid w:val="00C33CA4"/>
    <w:rsid w:val="00C36C65"/>
    <w:rsid w:val="00C77926"/>
    <w:rsid w:val="00C82114"/>
    <w:rsid w:val="00C82DF3"/>
    <w:rsid w:val="00C86542"/>
    <w:rsid w:val="00CC0866"/>
    <w:rsid w:val="00CC22DA"/>
    <w:rsid w:val="00CC469C"/>
    <w:rsid w:val="00D01A0A"/>
    <w:rsid w:val="00D115AE"/>
    <w:rsid w:val="00D254B5"/>
    <w:rsid w:val="00D26234"/>
    <w:rsid w:val="00D47895"/>
    <w:rsid w:val="00D51DD3"/>
    <w:rsid w:val="00D80194"/>
    <w:rsid w:val="00D82555"/>
    <w:rsid w:val="00DC2873"/>
    <w:rsid w:val="00DC348D"/>
    <w:rsid w:val="00DC4F75"/>
    <w:rsid w:val="00DF1861"/>
    <w:rsid w:val="00E057F3"/>
    <w:rsid w:val="00E11293"/>
    <w:rsid w:val="00E37421"/>
    <w:rsid w:val="00E46003"/>
    <w:rsid w:val="00E74B62"/>
    <w:rsid w:val="00E837BC"/>
    <w:rsid w:val="00E869B9"/>
    <w:rsid w:val="00E93E72"/>
    <w:rsid w:val="00E97DD7"/>
    <w:rsid w:val="00F075F7"/>
    <w:rsid w:val="00F22374"/>
    <w:rsid w:val="00F6012A"/>
    <w:rsid w:val="00F83643"/>
    <w:rsid w:val="00F9480F"/>
    <w:rsid w:val="00FC28E6"/>
    <w:rsid w:val="00FD268E"/>
    <w:rsid w:val="00FD2B1C"/>
    <w:rsid w:val="00FD3D24"/>
    <w:rsid w:val="00FD656A"/>
    <w:rsid w:val="077727E0"/>
    <w:rsid w:val="0843392F"/>
    <w:rsid w:val="0C420FFA"/>
    <w:rsid w:val="0CC52274"/>
    <w:rsid w:val="0FE95C54"/>
    <w:rsid w:val="15664479"/>
    <w:rsid w:val="1A402615"/>
    <w:rsid w:val="1D8E39C4"/>
    <w:rsid w:val="1F8176C8"/>
    <w:rsid w:val="2F396590"/>
    <w:rsid w:val="310A4F34"/>
    <w:rsid w:val="3AE624B5"/>
    <w:rsid w:val="3D8C0559"/>
    <w:rsid w:val="3FB7060E"/>
    <w:rsid w:val="40130A94"/>
    <w:rsid w:val="45CD59C1"/>
    <w:rsid w:val="4B20711B"/>
    <w:rsid w:val="4E781B8F"/>
    <w:rsid w:val="4F4E3BE0"/>
    <w:rsid w:val="53025DB8"/>
    <w:rsid w:val="531359C1"/>
    <w:rsid w:val="577B5577"/>
    <w:rsid w:val="5C7540E3"/>
    <w:rsid w:val="60C26232"/>
    <w:rsid w:val="62C60172"/>
    <w:rsid w:val="64AC6D56"/>
    <w:rsid w:val="668F7640"/>
    <w:rsid w:val="66C71170"/>
    <w:rsid w:val="67365218"/>
    <w:rsid w:val="69CC4166"/>
    <w:rsid w:val="6BBB299B"/>
    <w:rsid w:val="77EB7C8B"/>
    <w:rsid w:val="7AA31F3E"/>
    <w:rsid w:val="7AB3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rPr>
      <w:rFonts w:ascii="宋体" w:hAnsi="Courier New"/>
      <w:kern w:val="0"/>
    </w:rPr>
  </w:style>
  <w:style w:type="paragraph" w:styleId="3">
    <w:name w:val="Balloon Text"/>
    <w:basedOn w:val="1"/>
    <w:link w:val="16"/>
    <w:semiHidden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locked/>
    <w:uiPriority w:val="99"/>
    <w:rPr>
      <w:rFonts w:cs="Times New Roman"/>
      <w:b/>
    </w:rPr>
  </w:style>
  <w:style w:type="character" w:styleId="10">
    <w:name w:val="page number"/>
    <w:qFormat/>
    <w:uiPriority w:val="99"/>
    <w:rPr>
      <w:rFonts w:cs="Times New Roman"/>
    </w:rPr>
  </w:style>
  <w:style w:type="paragraph" w:customStyle="1" w:styleId="11">
    <w:name w:val="正文1"/>
    <w:qFormat/>
    <w:uiPriority w:val="99"/>
    <w:pPr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纯文本 Char"/>
    <w:link w:val="2"/>
    <w:qFormat/>
    <w:locked/>
    <w:uiPriority w:val="99"/>
    <w:rPr>
      <w:rFonts w:ascii="宋体" w:hAnsi="Courier New" w:eastAsia="宋体" w:cs="Times New Roman"/>
      <w:sz w:val="21"/>
      <w:szCs w:val="21"/>
    </w:rPr>
  </w:style>
  <w:style w:type="character" w:customStyle="1" w:styleId="14">
    <w:name w:val="页眉 Char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7">
    <w:name w:val="段"/>
    <w:link w:val="1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8">
    <w:name w:val="段 Char"/>
    <w:link w:val="17"/>
    <w:qFormat/>
    <w:uiPriority w:val="0"/>
    <w:rPr>
      <w:rFonts w:ascii="宋体"/>
      <w:sz w:val="21"/>
      <w:lang w:bidi="ar-SA"/>
    </w:rPr>
  </w:style>
  <w:style w:type="paragraph" w:customStyle="1" w:styleId="19">
    <w:name w:val="目次、标准名称标题"/>
    <w:basedOn w:val="1"/>
    <w:next w:val="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Calibri" w:eastAsia="黑体"/>
      <w:kern w:val="0"/>
      <w:sz w:val="32"/>
      <w:szCs w:val="20"/>
    </w:rPr>
  </w:style>
  <w:style w:type="paragraph" w:customStyle="1" w:styleId="20">
    <w:name w:val="封面标准英文名称"/>
    <w:basedOn w:val="21"/>
    <w:qFormat/>
    <w:uiPriority w:val="99"/>
    <w:pPr>
      <w:spacing w:line="400" w:lineRule="exact"/>
    </w:pPr>
    <w:rPr>
      <w:rFonts w:ascii="Times New Roman"/>
      <w:sz w:val="28"/>
      <w:szCs w:val="28"/>
    </w:rPr>
  </w:style>
  <w:style w:type="paragraph" w:customStyle="1" w:styleId="2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1895</Words>
  <Characters>2011</Characters>
  <Lines>14</Lines>
  <Paragraphs>4</Paragraphs>
  <TotalTime>1</TotalTime>
  <ScaleCrop>false</ScaleCrop>
  <LinksUpToDate>false</LinksUpToDate>
  <CharactersWithSpaces>2034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2019-09-25T12:51:00Z</dcterms:created>
  <dc:creator>Administrator</dc:creator>
  <cp:lastModifiedBy>默默</cp:lastModifiedBy>
  <cp:lastPrinted>2019-09-26T13:54:00Z</cp:lastPrinted>
  <dcterms:modified xsi:type="dcterms:W3CDTF">2024-06-05T02:25:23Z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4EA7A54103514196B8CD268D76B10994_12</vt:lpwstr>
  </property>
</Properties>
</file>