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c>
          <w:tcPr>
            <w:tcW w:w="6407" w:type="dxa"/>
          </w:tcPr>
          <w:p>
            <w:pPr>
              <w:pStyle w:val="50"/>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1504</w:t>
            </w:r>
            <w:r>
              <w:fldChar w:fldCharType="end"/>
            </w:r>
            <w:bookmarkEnd w:id="3"/>
          </w:p>
        </w:tc>
      </w:tr>
    </w:tbl>
    <w:p>
      <w:pPr>
        <w:pStyle w:val="51"/>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 xml:space="preserve"> 赤峰市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6"/>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15</w:t>
      </w:r>
      <w:r>
        <w:rPr>
          <w:rFonts w:hint="eastAsia"/>
        </w:rPr>
        <w:t>04</w:t>
      </w:r>
      <w:r>
        <w:rPr>
          <w:lang w:val="fr-FR"/>
        </w:rPr>
        <w:t>/T</w:t>
      </w:r>
      <w:r>
        <w:rPr>
          <w:rFonts w:hint="eastAsia"/>
          <w:lang w:val="en-US" w:eastAsia="zh-CN"/>
        </w:rPr>
        <w:t xml:space="preserve"> </w:t>
      </w:r>
      <w:r>
        <w:fldChar w:fldCharType="end"/>
      </w:r>
      <w:bookmarkEnd w:id="5"/>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lang w:val="en-US" w:eastAsia="zh-CN"/>
        </w:rPr>
        <w:t>XXXX</w:t>
      </w:r>
      <w:r>
        <w:fldChar w:fldCharType="end"/>
      </w:r>
      <w:bookmarkEnd w:id="7"/>
    </w:p>
    <w:p>
      <w:pPr>
        <w:pStyle w:val="197"/>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lang w:bidi="mn-Mong-CN"/>
        </w:rPr>
        <w:pict>
          <v:line id="_x0000_s1026" o:spid="_x0000_s1026" o:spt="20" style="position:absolute;left:0pt;margin-left:70.9pt;margin-top:212.65pt;height:0pt;width:481.9pt;mso-position-horizontal-relative:page;mso-position-vertical-relative:page;z-index:251659264;mso-width-relative:page;mso-height-relative:page;"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path arrowok="t"/>
            <v:fill focussize="0,0"/>
            <v:stroke/>
            <v:imagedata o:title=""/>
            <o:lock v:ext="edit"/>
          </v:line>
        </w:pict>
      </w:r>
    </w:p>
    <w:p>
      <w:pPr>
        <w:pStyle w:val="51"/>
        <w:framePr w:w="9639" w:h="6976" w:hRule="exact" w:hSpace="0" w:vSpace="0" w:wrap="around" w:hAnchor="page" w:y="6408"/>
        <w:jc w:val="center"/>
        <w:rPr>
          <w:rFonts w:ascii="黑体" w:hAnsi="黑体" w:eastAsia="黑体"/>
          <w:b w:val="0"/>
          <w:bCs w:val="0"/>
          <w:w w:val="100"/>
        </w:rPr>
      </w:pPr>
    </w:p>
    <w:p>
      <w:pPr>
        <w:pStyle w:val="198"/>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lang w:eastAsia="zh-CN"/>
        </w:rPr>
        <w:t>富硒谷子种植技术规程</w:t>
      </w:r>
      <w:r>
        <w:fldChar w:fldCharType="end"/>
      </w:r>
      <w:bookmarkEnd w:id="9"/>
    </w:p>
    <w:p>
      <w:pPr>
        <w:framePr w:w="9639" w:h="6974" w:hRule="exact" w:wrap="around" w:vAnchor="page" w:hAnchor="page" w:x="1419" w:y="6408" w:anchorLock="1"/>
        <w:ind w:left="-1418"/>
      </w:pPr>
    </w:p>
    <w:p>
      <w:pPr>
        <w:pStyle w:val="126"/>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bookmarkStart w:id="33" w:name="_GoBack"/>
      <w:bookmarkEnd w:id="33"/>
      <w:r>
        <w:rPr>
          <w:rFonts w:hint="eastAsia" w:eastAsia="黑体"/>
          <w:szCs w:val="28"/>
        </w:rPr>
        <w:t>Technical regulation for cultivation of millet upland</w:t>
      </w:r>
      <w:r>
        <w:rPr>
          <w:rFonts w:eastAsia="黑体"/>
          <w:szCs w:val="28"/>
        </w:rPr>
        <w:t>     </w:t>
      </w:r>
      <w:r>
        <w:rPr>
          <w:rFonts w:eastAsia="黑体"/>
          <w:szCs w:val="28"/>
        </w:rPr>
        <w:fldChar w:fldCharType="end"/>
      </w:r>
      <w:bookmarkEnd w:id="10"/>
    </w:p>
    <w:p>
      <w:pPr>
        <w:framePr w:w="9639" w:h="6974" w:hRule="exact" w:wrap="around" w:vAnchor="page" w:hAnchor="page" w:x="1419" w:y="6408" w:anchorLock="1"/>
        <w:spacing w:line="760" w:lineRule="exact"/>
        <w:ind w:left="-1418"/>
      </w:pPr>
    </w:p>
    <w:p>
      <w:pPr>
        <w:pStyle w:val="126"/>
        <w:framePr w:w="9639" w:h="6974" w:hRule="exact" w:wrap="around" w:vAnchor="page" w:hAnchor="page" w:x="1419" w:y="6408" w:anchorLock="1"/>
        <w:textAlignment w:val="bottom"/>
        <w:rPr>
          <w:rFonts w:eastAsia="黑体"/>
          <w:szCs w:val="28"/>
        </w:rPr>
      </w:pPr>
    </w:p>
    <w:p>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6"/>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4"/>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hint="eastAsia" w:ascii="黑体"/>
          <w:lang w:val="en-US" w:eastAsia="zh-CN"/>
        </w:rPr>
        <w:t>XXXX</w:t>
      </w:r>
      <w:r>
        <w:rPr>
          <w:rFonts w:ascii="黑体"/>
        </w:rPr>
        <w:fldChar w:fldCharType="end"/>
      </w:r>
      <w:bookmarkEnd w:id="14"/>
      <w:r>
        <w:rPr>
          <w:rFonts w:ascii="黑体"/>
        </w:rPr>
        <w:t>-</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ascii="黑体"/>
        </w:rPr>
        <w:t>-</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5"/>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hint="eastAsia" w:ascii="黑体"/>
          <w:lang w:val="en-US" w:eastAsia="zh-CN"/>
        </w:rPr>
        <w:t>XXXX</w:t>
      </w:r>
      <w:r>
        <w:rPr>
          <w:rFonts w:ascii="黑体"/>
        </w:rPr>
        <w:fldChar w:fldCharType="end"/>
      </w:r>
      <w:bookmarkEnd w:id="17"/>
      <w:r>
        <w:rPr>
          <w:rFonts w:ascii="黑体"/>
        </w:rPr>
        <w:t>-</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ascii="黑体"/>
        </w:rPr>
        <w:t>-</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赤峰市市场监督管理局</w:t>
      </w:r>
      <w:r>
        <w:rPr>
          <w:rFonts w:hAnsi="黑体"/>
          <w:w w:val="100"/>
          <w:sz w:val="28"/>
        </w:rPr>
        <w:fldChar w:fldCharType="end"/>
      </w:r>
      <w:bookmarkEnd w:id="20"/>
      <w:r>
        <w:rPr>
          <w:rFonts w:ascii="Times New Roman"/>
          <w:w w:val="100"/>
          <w:sz w:val="28"/>
        </w:rPr>
        <w:t>  </w:t>
      </w:r>
      <w:r>
        <w:rPr>
          <w:rStyle w:val="230"/>
          <w:rFonts w:hint="eastAsia" w:hAnsi="黑体"/>
          <w:position w:val="0"/>
        </w:rPr>
        <w:t>发</w:t>
      </w:r>
      <w:r>
        <w:rPr>
          <w:rStyle w:val="230"/>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ascii="宋体" w:hAnsi="宋体"/>
          <w:sz w:val="28"/>
          <w:szCs w:val="28"/>
          <w:lang w:bidi="mn-Mong-CN"/>
        </w:rPr>
        <w:pict>
          <v:line id="_x0000_s1027" o:spid="_x0000_s1027" o:spt="20" style="position:absolute;left:0pt;margin-left:70.85pt;margin-top:728.6pt;height:0pt;width:481.9pt;mso-position-horizontal-relative:page;mso-position-vertical-relative:page;z-index:251660288;mso-width-relative:page;mso-height-relative:page;"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path arrowok="t"/>
            <v:fill focussize="0,0"/>
            <v:stroke/>
            <v:imagedata o:title=""/>
            <o:lock v:ext="edit"/>
            <w10:anchorlock/>
          </v:line>
        </w:pict>
      </w:r>
    </w:p>
    <w:p>
      <w:pPr>
        <w:spacing w:line="20" w:lineRule="exact"/>
        <w:jc w:val="center"/>
        <w:rPr>
          <w:rFonts w:ascii="黑体" w:hAnsi="黑体" w:eastAsia="黑体"/>
          <w:sz w:val="32"/>
          <w:szCs w:val="32"/>
        </w:rPr>
      </w:pPr>
      <w:bookmarkStart w:id="21" w:name="BookMark4"/>
    </w:p>
    <w:p>
      <w:pPr>
        <w:spacing w:line="20" w:lineRule="exact"/>
        <w:jc w:val="center"/>
        <w:rPr>
          <w:rFonts w:ascii="黑体" w:hAnsi="黑体" w:eastAsia="黑体"/>
          <w:sz w:val="32"/>
          <w:szCs w:val="32"/>
        </w:rPr>
      </w:pPr>
    </w:p>
    <w:sdt>
      <w:sdtPr>
        <w:tag w:val="NEW_STAND_NAME"/>
        <w:id w:val="595910757"/>
        <w:lock w:val="sdtLocked"/>
        <w:placeholder>
          <w:docPart w:val="07DBFB969B734393A2128F887F63D3E3"/>
        </w:placeholder>
      </w:sdtPr>
      <w:sdtContent>
        <w:p>
          <w:pPr>
            <w:pStyle w:val="2"/>
            <w:keepNext w:val="0"/>
            <w:keepLines w:val="0"/>
            <w:numPr>
              <w:ilvl w:val="0"/>
              <w:numId w:val="0"/>
            </w:numPr>
            <w:spacing w:before="312" w:after="312" w:line="360" w:lineRule="auto"/>
            <w:jc w:val="center"/>
            <w:rPr>
              <w:rFonts w:ascii="Times New Roman" w:hAnsi="Times New Roman" w:cs="Times New Roman"/>
              <w:sz w:val="32"/>
              <w:szCs w:val="32"/>
            </w:rPr>
          </w:pPr>
          <w:bookmarkStart w:id="22" w:name="_Toc145488721"/>
          <w:bookmarkStart w:id="23" w:name="_Toc90371857"/>
          <w:bookmarkStart w:id="24" w:name="_Toc87358141"/>
          <w:bookmarkStart w:id="25" w:name="_Toc81757554"/>
          <w:bookmarkStart w:id="26" w:name="NEW_STAND_NAME"/>
          <w:r>
            <w:rPr>
              <w:rFonts w:ascii="Times New Roman" w:hAnsi="Times New Roman" w:cs="Times New Roman"/>
              <w:sz w:val="32"/>
              <w:szCs w:val="32"/>
            </w:rPr>
            <w:t>前    言</w:t>
          </w:r>
          <w:bookmarkEnd w:id="22"/>
          <w:bookmarkEnd w:id="23"/>
          <w:bookmarkEnd w:id="24"/>
        </w:p>
        <w:p>
          <w:pPr>
            <w:pStyle w:val="245"/>
            <w:spacing w:before="680" w:line="360" w:lineRule="auto"/>
            <w:rPr>
              <w:rFonts w:ascii="Times New Roman" w:hAnsi="Times New Roman" w:eastAsia="宋体" w:cs="Times New Roman"/>
            </w:rPr>
          </w:pPr>
          <w:r>
            <w:rPr>
              <w:rFonts w:ascii="Times New Roman" w:hAnsi="Times New Roman" w:eastAsia="宋体" w:cs="Times New Roman"/>
            </w:rPr>
            <w:t>本文件</w:t>
          </w:r>
          <w:r>
            <w:rPr>
              <w:rFonts w:hint="eastAsia" w:ascii="Times New Roman" w:hAnsi="Times New Roman" w:eastAsia="宋体" w:cs="Times New Roman"/>
            </w:rPr>
            <w:t>按</w:t>
          </w:r>
          <w:r>
            <w:rPr>
              <w:rFonts w:hint="eastAsia" w:ascii="宋体" w:hAnsi="宋体" w:eastAsia="宋体" w:cs="Times New Roman"/>
            </w:rPr>
            <w:t>照G</w:t>
          </w:r>
          <w:r>
            <w:rPr>
              <w:rFonts w:ascii="宋体" w:hAnsi="宋体" w:eastAsia="宋体" w:cs="Times New Roman"/>
            </w:rPr>
            <w:t>B/T 1.1</w:t>
          </w:r>
          <w:r>
            <w:rPr>
              <w:rFonts w:hint="eastAsia" w:ascii="宋体" w:hAnsi="宋体" w:eastAsia="宋体" w:cs="Times New Roman"/>
            </w:rPr>
            <w:t>—2</w:t>
          </w:r>
          <w:r>
            <w:rPr>
              <w:rFonts w:ascii="宋体" w:hAnsi="宋体" w:eastAsia="宋体" w:cs="Times New Roman"/>
            </w:rPr>
            <w:t>020</w:t>
          </w:r>
          <w:r>
            <w:rPr>
              <w:rFonts w:hint="eastAsia" w:ascii="宋体" w:hAnsi="宋体" w:eastAsia="宋体" w:cs="Times New Roman"/>
            </w:rPr>
            <w:t>《标准工作导则 第1部分：标准化文件的结构和起草规则》的</w:t>
          </w:r>
          <w:r>
            <w:rPr>
              <w:rFonts w:hint="eastAsia" w:ascii="Times New Roman" w:hAnsi="Times New Roman" w:eastAsia="宋体" w:cs="Times New Roman"/>
            </w:rPr>
            <w:t>规定起草</w:t>
          </w:r>
          <w:r>
            <w:rPr>
              <w:rFonts w:ascii="Times New Roman" w:hAnsi="Times New Roman" w:eastAsia="宋体" w:cs="Times New Roman"/>
            </w:rPr>
            <w:t>。</w:t>
          </w:r>
        </w:p>
        <w:p>
          <w:pPr>
            <w:pStyle w:val="57"/>
            <w:ind w:firstLine="420"/>
          </w:pPr>
          <w:r>
            <w:rPr>
              <w:rFonts w:hint="eastAsia"/>
            </w:rPr>
            <w:t>本文件由赤峰市农牧局提出并归口。</w:t>
          </w:r>
        </w:p>
        <w:p>
          <w:pPr>
            <w:pStyle w:val="57"/>
            <w:ind w:firstLine="420"/>
            <w:rPr>
              <w:szCs w:val="21"/>
            </w:rPr>
          </w:pPr>
          <w:r>
            <w:rPr>
              <w:rFonts w:hint="eastAsia"/>
            </w:rPr>
            <w:t>本文件起草单位：赤峰市农牧业综合检验检测中心、</w:t>
          </w:r>
          <w:r>
            <w:rPr>
              <w:rFonts w:hint="eastAsia"/>
              <w:szCs w:val="21"/>
            </w:rPr>
            <w:t>赤峰市农牧科学研究所、松山区农牧局、赤峰市</w:t>
          </w:r>
          <w:r>
            <w:rPr>
              <w:szCs w:val="21"/>
            </w:rPr>
            <w:t>农</w:t>
          </w:r>
          <w:r>
            <w:rPr>
              <w:rFonts w:hint="eastAsia"/>
              <w:szCs w:val="21"/>
            </w:rPr>
            <w:t>牧</w:t>
          </w:r>
          <w:r>
            <w:rPr>
              <w:szCs w:val="21"/>
            </w:rPr>
            <w:t>技术推广中心</w:t>
          </w:r>
          <w:r>
            <w:rPr>
              <w:rFonts w:hint="eastAsia"/>
              <w:szCs w:val="21"/>
            </w:rPr>
            <w:t>、巴林右旗农牧技术推广中心、赤峰祥锋种养殖专业合作社。</w:t>
          </w:r>
        </w:p>
        <w:p>
          <w:pPr>
            <w:pStyle w:val="57"/>
            <w:ind w:firstLine="420"/>
            <w:sectPr>
              <w:headerReference r:id="rId11" w:type="default"/>
              <w:footerReference r:id="rId13" w:type="default"/>
              <w:headerReference r:id="rId12" w:type="even"/>
              <w:footerReference r:id="rId14" w:type="even"/>
              <w:pgSz w:w="11906" w:h="16838"/>
              <w:pgMar w:top="1418" w:right="1134" w:bottom="1134" w:left="1418" w:header="851" w:footer="992" w:gutter="0"/>
              <w:pgNumType w:fmt="upperRoman" w:start="1"/>
              <w:cols w:space="425" w:num="1"/>
              <w:docGrid w:type="linesAndChars" w:linePitch="312" w:charSpace="0"/>
            </w:sectPr>
          </w:pPr>
          <w:r>
            <w:rPr>
              <w:rFonts w:hint="eastAsia"/>
            </w:rPr>
            <w:t>本文件主要起草人：</w:t>
          </w:r>
          <w:bookmarkStart w:id="27" w:name="_Hlk131146930"/>
          <w:r>
            <w:rPr>
              <w:rFonts w:hint="eastAsia"/>
            </w:rPr>
            <w:t>王向红、</w:t>
          </w:r>
          <w:bookmarkEnd w:id="27"/>
          <w:r>
            <w:rPr>
              <w:rFonts w:hint="eastAsia"/>
            </w:rPr>
            <w:t>毕忠泽、杨艳梅、张立媛、孙宏</w:t>
          </w:r>
          <w:r>
            <w:t>业、</w:t>
          </w:r>
          <w:r>
            <w:rPr>
              <w:rFonts w:hint="eastAsia"/>
            </w:rPr>
            <w:t>郇志荣、秦蕊、李宁、李艳丽、邵海、曹立娜、刘晓雪、王卫红、</w:t>
          </w:r>
          <w:r>
            <w:rPr>
              <w:rFonts w:hint="eastAsia"/>
              <w:szCs w:val="21"/>
            </w:rPr>
            <w:t>呼吉亚、李洵</w:t>
          </w:r>
          <w:r>
            <w:rPr>
              <w:szCs w:val="21"/>
            </w:rPr>
            <w:t>、</w:t>
          </w:r>
          <w:r>
            <w:rPr>
              <w:rFonts w:hint="eastAsia"/>
              <w:szCs w:val="21"/>
            </w:rPr>
            <w:t>李振阁、</w:t>
          </w:r>
          <w:r>
            <w:rPr>
              <w:rFonts w:hint="eastAsia"/>
            </w:rPr>
            <w:t>徐振兴、王雪洁、邰丽、王翠艳、侯长江、潘磊、张滋慧、胡舒凯、霍瑞明</w:t>
          </w:r>
        </w:p>
        <w:bookmarkEnd w:id="25"/>
        <w:p>
          <w:pPr>
            <w:pStyle w:val="25"/>
            <w:shd w:val="clear" w:color="auto" w:fill="FFFFFF"/>
            <w:spacing w:before="78" w:beforeAutospacing="0" w:after="78" w:afterAutospacing="0"/>
            <w:jc w:val="center"/>
            <w:rPr>
              <w:rFonts w:hint="eastAsia" w:ascii="黑体" w:hAnsi="黑体" w:eastAsia="黑体" w:cs="Times New Roman"/>
              <w:kern w:val="2"/>
              <w:sz w:val="32"/>
              <w:szCs w:val="32"/>
              <w:lang w:val="en-US" w:eastAsia="zh-CN" w:bidi="ar-SA"/>
            </w:rPr>
          </w:pPr>
          <w:bookmarkStart w:id="28" w:name="_Toc531183357"/>
          <w:bookmarkStart w:id="29" w:name="_Toc531183280"/>
          <w:bookmarkStart w:id="30" w:name="_Toc531183239"/>
          <w:bookmarkStart w:id="31" w:name="_Toc531183319"/>
          <w:r>
            <w:rPr>
              <w:rFonts w:hint="eastAsia" w:ascii="黑体" w:hAnsi="黑体" w:eastAsia="黑体" w:cs="Times New Roman"/>
              <w:kern w:val="2"/>
              <w:sz w:val="32"/>
              <w:szCs w:val="32"/>
              <w:lang w:val="en-US" w:eastAsia="zh-CN" w:bidi="ar-SA"/>
            </w:rPr>
            <w:t>富硒谷子种植技术规程</w:t>
          </w:r>
        </w:p>
        <w:p>
          <w:pPr>
            <w:pStyle w:val="25"/>
            <w:shd w:val="clear" w:color="auto" w:fill="FFFFFF"/>
            <w:spacing w:before="78" w:beforeAutospacing="0" w:after="78" w:afterAutospacing="0"/>
            <w:jc w:val="center"/>
            <w:rPr>
              <w:rFonts w:hint="eastAsia" w:ascii="黑体" w:hAnsi="黑体" w:eastAsia="黑体" w:cs="Times New Roman"/>
              <w:kern w:val="2"/>
              <w:sz w:val="32"/>
              <w:szCs w:val="32"/>
              <w:lang w:val="en-US" w:eastAsia="zh-CN" w:bidi="ar-SA"/>
            </w:rPr>
          </w:pPr>
        </w:p>
        <w:bookmarkEnd w:id="21"/>
        <w:bookmarkEnd w:id="26"/>
        <w:bookmarkEnd w:id="28"/>
        <w:bookmarkEnd w:id="29"/>
        <w:bookmarkEnd w:id="30"/>
        <w:bookmarkEnd w:id="31"/>
        <w:p>
          <w:pPr>
            <w:pStyle w:val="235"/>
            <w:numPr>
              <w:ilvl w:val="0"/>
              <w:numId w:val="0"/>
            </w:numPr>
            <w:adjustRightInd w:val="0"/>
            <w:snapToGrid w:val="0"/>
            <w:spacing w:before="312" w:beforeLines="100" w:after="312" w:afterLines="100" w:line="360" w:lineRule="auto"/>
            <w:ind w:leftChars="0"/>
            <w:rPr>
              <w:sz w:val="21"/>
              <w:szCs w:val="21"/>
            </w:rPr>
          </w:pPr>
          <w:r>
            <w:rPr>
              <w:rFonts w:hint="eastAsia"/>
              <w:sz w:val="21"/>
              <w:szCs w:val="21"/>
            </w:rPr>
            <w:t>1 范围</w:t>
          </w:r>
        </w:p>
        <w:p>
          <w:pPr>
            <w:pStyle w:val="236"/>
            <w:adjustRightInd w:val="0"/>
            <w:snapToGrid w:val="0"/>
            <w:spacing w:line="360" w:lineRule="auto"/>
            <w:ind w:firstLine="420"/>
            <w:rPr>
              <w:rStyle w:val="240"/>
              <w:rFonts w:hAnsi="宋体"/>
              <w:sz w:val="21"/>
              <w:szCs w:val="21"/>
            </w:rPr>
          </w:pPr>
          <w:r>
            <w:rPr>
              <w:rStyle w:val="240"/>
              <w:rFonts w:hint="eastAsia" w:hAnsi="宋体"/>
              <w:sz w:val="21"/>
              <w:szCs w:val="21"/>
            </w:rPr>
            <w:t>本标准规定了赤峰地区富硒谷子术语和定义</w:t>
          </w:r>
          <w:r>
            <w:rPr>
              <w:rStyle w:val="240"/>
              <w:rFonts w:hAnsi="宋体"/>
              <w:sz w:val="21"/>
              <w:szCs w:val="21"/>
            </w:rPr>
            <w:t>、</w:t>
          </w:r>
          <w:r>
            <w:rPr>
              <w:rStyle w:val="240"/>
              <w:rFonts w:hint="eastAsia" w:hAnsi="宋体"/>
              <w:sz w:val="21"/>
              <w:szCs w:val="21"/>
            </w:rPr>
            <w:t>基本要求、品种选择、播前准备、播种、田间管理、硒肥使用、病虫草害防治、采收、取样检测、生产废弃物处理、</w:t>
          </w:r>
          <w:r>
            <w:rPr>
              <w:rStyle w:val="240"/>
              <w:rFonts w:hAnsi="宋体"/>
              <w:sz w:val="21"/>
              <w:szCs w:val="21"/>
            </w:rPr>
            <w:t>包装</w:t>
          </w:r>
          <w:r>
            <w:rPr>
              <w:rStyle w:val="240"/>
              <w:rFonts w:hint="eastAsia" w:hAnsi="宋体"/>
              <w:sz w:val="21"/>
              <w:szCs w:val="21"/>
            </w:rPr>
            <w:t>和记录档案等技术内容。</w:t>
          </w:r>
        </w:p>
        <w:p>
          <w:pPr>
            <w:pStyle w:val="236"/>
            <w:adjustRightInd w:val="0"/>
            <w:snapToGrid w:val="0"/>
            <w:spacing w:line="360" w:lineRule="auto"/>
            <w:ind w:firstLine="420"/>
            <w:rPr>
              <w:sz w:val="21"/>
              <w:szCs w:val="21"/>
            </w:rPr>
          </w:pPr>
          <w:r>
            <w:rPr>
              <w:rStyle w:val="240"/>
              <w:rFonts w:hint="eastAsia" w:hAnsi="宋体"/>
              <w:sz w:val="21"/>
              <w:szCs w:val="21"/>
            </w:rPr>
            <w:t>本标准适用于赤峰市富硒谷子种植。</w:t>
          </w:r>
        </w:p>
        <w:p>
          <w:pPr>
            <w:pStyle w:val="235"/>
            <w:numPr>
              <w:ilvl w:val="0"/>
              <w:numId w:val="0"/>
            </w:numPr>
            <w:adjustRightInd w:val="0"/>
            <w:snapToGrid w:val="0"/>
            <w:spacing w:before="312" w:beforeLines="100" w:after="312" w:afterLines="100" w:line="360" w:lineRule="auto"/>
            <w:ind w:leftChars="0"/>
            <w:rPr>
              <w:sz w:val="21"/>
              <w:szCs w:val="21"/>
            </w:rPr>
          </w:pPr>
          <w:r>
            <w:rPr>
              <w:rFonts w:hint="eastAsia"/>
              <w:sz w:val="21"/>
              <w:szCs w:val="21"/>
            </w:rPr>
            <w:t>2 规范性引用文件</w:t>
          </w:r>
        </w:p>
        <w:p>
          <w:pPr>
            <w:pStyle w:val="236"/>
            <w:adjustRightInd w:val="0"/>
            <w:snapToGrid w:val="0"/>
            <w:spacing w:line="360" w:lineRule="auto"/>
            <w:ind w:firstLine="420"/>
            <w:rPr>
              <w:rStyle w:val="240"/>
              <w:rFonts w:hAnsi="宋体"/>
              <w:sz w:val="21"/>
              <w:szCs w:val="21"/>
            </w:rPr>
          </w:pPr>
          <w:r>
            <w:rPr>
              <w:rStyle w:val="240"/>
              <w:rFonts w:hint="eastAsia" w:hAnsi="宋体"/>
              <w:sz w:val="21"/>
              <w:szCs w:val="21"/>
            </w:rPr>
            <w:t>下列文件对于本文件的应用是必不可少的。凡是注日期的引用文件，仅注日期的版本适用于本文件。凡是不注日期的引用文件，其最新版本（包括所有的修改单）适用于本文件。</w:t>
          </w:r>
        </w:p>
        <w:p>
          <w:pPr>
            <w:pStyle w:val="236"/>
            <w:adjustRightInd w:val="0"/>
            <w:snapToGrid w:val="0"/>
            <w:spacing w:line="360" w:lineRule="auto"/>
            <w:ind w:firstLine="420"/>
            <w:rPr>
              <w:rStyle w:val="240"/>
              <w:rFonts w:hAnsi="宋体"/>
              <w:sz w:val="21"/>
              <w:szCs w:val="21"/>
            </w:rPr>
          </w:pPr>
          <w:r>
            <w:rPr>
              <w:rStyle w:val="240"/>
              <w:rFonts w:hAnsi="宋体"/>
              <w:sz w:val="21"/>
              <w:szCs w:val="21"/>
            </w:rPr>
            <w:t>GB 4404.1粮食作物种子第1部分:禾谷类</w:t>
          </w:r>
        </w:p>
        <w:p>
          <w:pPr>
            <w:pStyle w:val="236"/>
            <w:adjustRightInd w:val="0"/>
            <w:snapToGrid w:val="0"/>
            <w:spacing w:line="360" w:lineRule="auto"/>
            <w:ind w:firstLine="420"/>
            <w:rPr>
              <w:rStyle w:val="240"/>
              <w:rFonts w:hAnsi="宋体"/>
              <w:sz w:val="21"/>
              <w:szCs w:val="21"/>
            </w:rPr>
          </w:pPr>
          <w:r>
            <w:rPr>
              <w:rStyle w:val="240"/>
              <w:rFonts w:hAnsi="宋体"/>
              <w:sz w:val="21"/>
              <w:szCs w:val="21"/>
            </w:rPr>
            <w:t xml:space="preserve">GB5009 食品安全国家标准食品中硒的测定 </w:t>
          </w:r>
        </w:p>
        <w:p>
          <w:pPr>
            <w:pStyle w:val="236"/>
            <w:adjustRightInd w:val="0"/>
            <w:snapToGrid w:val="0"/>
            <w:spacing w:line="360" w:lineRule="auto"/>
            <w:ind w:firstLine="420"/>
            <w:rPr>
              <w:rStyle w:val="240"/>
              <w:rFonts w:hAnsi="宋体"/>
              <w:sz w:val="21"/>
              <w:szCs w:val="21"/>
            </w:rPr>
          </w:pPr>
          <w:r>
            <w:rPr>
              <w:rStyle w:val="240"/>
              <w:rFonts w:hAnsi="宋体"/>
              <w:sz w:val="21"/>
              <w:szCs w:val="21"/>
            </w:rPr>
            <w:t>GB5084 农田灌溉水质标准</w:t>
          </w:r>
        </w:p>
        <w:p>
          <w:pPr>
            <w:pStyle w:val="236"/>
            <w:adjustRightInd w:val="0"/>
            <w:snapToGrid w:val="0"/>
            <w:spacing w:line="360" w:lineRule="auto"/>
            <w:ind w:firstLine="420"/>
            <w:rPr>
              <w:rStyle w:val="240"/>
              <w:rFonts w:hAnsi="宋体"/>
              <w:sz w:val="21"/>
              <w:szCs w:val="21"/>
            </w:rPr>
          </w:pPr>
          <w:r>
            <w:rPr>
              <w:rStyle w:val="240"/>
              <w:rFonts w:hAnsi="宋体"/>
              <w:sz w:val="21"/>
              <w:szCs w:val="21"/>
            </w:rPr>
            <w:t>GB 5491 粮食、油料检验扦样、分样法</w:t>
          </w:r>
        </w:p>
        <w:p>
          <w:pPr>
            <w:pStyle w:val="236"/>
            <w:adjustRightInd w:val="0"/>
            <w:snapToGrid w:val="0"/>
            <w:spacing w:line="360" w:lineRule="auto"/>
            <w:ind w:firstLine="420"/>
            <w:rPr>
              <w:rStyle w:val="240"/>
              <w:rFonts w:hAnsi="宋体"/>
              <w:sz w:val="21"/>
              <w:szCs w:val="21"/>
            </w:rPr>
          </w:pPr>
          <w:r>
            <w:rPr>
              <w:rStyle w:val="240"/>
              <w:rFonts w:hAnsi="宋体"/>
              <w:sz w:val="21"/>
              <w:szCs w:val="21"/>
            </w:rPr>
            <w:t>GB  13735 聚乙烯吹塑农用地面覆盖薄膜</w:t>
          </w:r>
        </w:p>
        <w:p>
          <w:pPr>
            <w:pStyle w:val="236"/>
            <w:adjustRightInd w:val="0"/>
            <w:snapToGrid w:val="0"/>
            <w:spacing w:line="360" w:lineRule="auto"/>
            <w:ind w:firstLine="420"/>
            <w:rPr>
              <w:rStyle w:val="240"/>
              <w:rFonts w:hAnsi="宋体"/>
              <w:sz w:val="21"/>
              <w:szCs w:val="21"/>
            </w:rPr>
          </w:pPr>
          <w:r>
            <w:rPr>
              <w:rStyle w:val="240"/>
              <w:rFonts w:hAnsi="宋体"/>
              <w:sz w:val="21"/>
              <w:szCs w:val="21"/>
            </w:rPr>
            <w:t>GB 15618  土壤环境质量农用地土壤污染风险管控标准(试行)</w:t>
          </w:r>
        </w:p>
        <w:p>
          <w:pPr>
            <w:pStyle w:val="236"/>
            <w:adjustRightInd w:val="0"/>
            <w:snapToGrid w:val="0"/>
            <w:spacing w:line="360" w:lineRule="auto"/>
            <w:ind w:firstLine="409" w:firstLineChars="195"/>
            <w:rPr>
              <w:rStyle w:val="240"/>
              <w:rFonts w:hAnsi="宋体"/>
              <w:sz w:val="21"/>
              <w:szCs w:val="21"/>
            </w:rPr>
          </w:pPr>
          <w:r>
            <w:rPr>
              <w:rStyle w:val="240"/>
              <w:rFonts w:hAnsi="宋体"/>
              <w:sz w:val="21"/>
              <w:szCs w:val="21"/>
            </w:rPr>
            <w:t>GB/T 17109 粮食销售包装要求</w:t>
          </w:r>
        </w:p>
        <w:p>
          <w:pPr>
            <w:pStyle w:val="236"/>
            <w:adjustRightInd w:val="0"/>
            <w:snapToGrid w:val="0"/>
            <w:spacing w:line="360" w:lineRule="auto"/>
            <w:ind w:firstLine="304" w:firstLineChars="145"/>
            <w:rPr>
              <w:rStyle w:val="240"/>
              <w:rFonts w:hAnsi="宋体"/>
              <w:sz w:val="21"/>
              <w:szCs w:val="21"/>
            </w:rPr>
          </w:pPr>
          <w:r>
            <w:rPr>
              <w:sz w:val="21"/>
              <w:szCs w:val="21"/>
            </w:rPr>
            <w:t xml:space="preserve"> </w:t>
          </w:r>
          <w:r>
            <w:rPr>
              <w:rStyle w:val="240"/>
              <w:rFonts w:hAnsi="宋体"/>
              <w:sz w:val="21"/>
              <w:szCs w:val="21"/>
            </w:rPr>
            <w:t>GB/T  35795  全生物降解农用地面覆盖薄膜</w:t>
          </w:r>
        </w:p>
        <w:p>
          <w:pPr>
            <w:pStyle w:val="236"/>
            <w:adjustRightInd w:val="0"/>
            <w:snapToGrid w:val="0"/>
            <w:spacing w:line="360" w:lineRule="auto"/>
            <w:ind w:firstLine="420"/>
            <w:rPr>
              <w:rStyle w:val="240"/>
              <w:rFonts w:hAnsi="宋体"/>
              <w:sz w:val="21"/>
              <w:szCs w:val="21"/>
            </w:rPr>
          </w:pPr>
          <w:r>
            <w:rPr>
              <w:rStyle w:val="240"/>
              <w:rFonts w:hAnsi="宋体"/>
              <w:sz w:val="21"/>
              <w:szCs w:val="21"/>
            </w:rPr>
            <w:t>NY/T496  肥料合理使用准则通则</w:t>
          </w:r>
        </w:p>
        <w:p>
          <w:pPr>
            <w:pStyle w:val="236"/>
            <w:adjustRightInd w:val="0"/>
            <w:snapToGrid w:val="0"/>
            <w:spacing w:line="360" w:lineRule="auto"/>
            <w:ind w:firstLine="420"/>
            <w:rPr>
              <w:rStyle w:val="240"/>
              <w:rFonts w:hAnsi="宋体"/>
              <w:sz w:val="21"/>
              <w:szCs w:val="21"/>
            </w:rPr>
          </w:pPr>
          <w:r>
            <w:rPr>
              <w:rStyle w:val="240"/>
              <w:rFonts w:hAnsi="宋体"/>
              <w:sz w:val="21"/>
              <w:szCs w:val="21"/>
            </w:rPr>
            <w:t>NY/T650 喷雾机(器)作业质量</w:t>
          </w:r>
        </w:p>
        <w:p>
          <w:pPr>
            <w:pStyle w:val="236"/>
            <w:adjustRightInd w:val="0"/>
            <w:snapToGrid w:val="0"/>
            <w:spacing w:line="360" w:lineRule="auto"/>
            <w:ind w:firstLine="420"/>
            <w:rPr>
              <w:rStyle w:val="240"/>
              <w:rFonts w:hAnsi="宋体"/>
              <w:sz w:val="21"/>
              <w:szCs w:val="21"/>
            </w:rPr>
          </w:pPr>
          <w:r>
            <w:rPr>
              <w:rStyle w:val="240"/>
              <w:rFonts w:hAnsi="宋体"/>
              <w:sz w:val="21"/>
              <w:szCs w:val="21"/>
            </w:rPr>
            <w:t>NY/T1104  土壤中全硒的测定</w:t>
          </w:r>
        </w:p>
        <w:p>
          <w:pPr>
            <w:pStyle w:val="236"/>
            <w:adjustRightInd w:val="0"/>
            <w:snapToGrid w:val="0"/>
            <w:spacing w:line="360" w:lineRule="auto"/>
            <w:ind w:firstLine="420"/>
            <w:rPr>
              <w:rStyle w:val="240"/>
              <w:rFonts w:hAnsi="宋体"/>
              <w:sz w:val="21"/>
              <w:szCs w:val="21"/>
            </w:rPr>
          </w:pPr>
          <w:r>
            <w:rPr>
              <w:rStyle w:val="240"/>
              <w:rFonts w:hAnsi="宋体"/>
              <w:sz w:val="21"/>
              <w:szCs w:val="21"/>
            </w:rPr>
            <w:t>NY/T 1276  农药安全使用规范 总则</w:t>
          </w:r>
        </w:p>
        <w:p>
          <w:pPr>
            <w:pStyle w:val="235"/>
            <w:numPr>
              <w:ilvl w:val="0"/>
              <w:numId w:val="0"/>
            </w:numPr>
            <w:adjustRightInd w:val="0"/>
            <w:snapToGrid w:val="0"/>
            <w:spacing w:before="312" w:beforeLines="100" w:after="312" w:afterLines="100" w:line="360" w:lineRule="auto"/>
            <w:ind w:leftChars="0"/>
            <w:rPr>
              <w:sz w:val="21"/>
              <w:szCs w:val="21"/>
            </w:rPr>
          </w:pPr>
          <w:r>
            <w:rPr>
              <w:rFonts w:hint="eastAsia"/>
              <w:sz w:val="21"/>
              <w:szCs w:val="21"/>
            </w:rPr>
            <w:t>3 术语和定义</w:t>
          </w:r>
        </w:p>
        <w:p>
          <w:pPr>
            <w:pStyle w:val="236"/>
            <w:ind w:firstLine="420"/>
            <w:rPr>
              <w:sz w:val="21"/>
              <w:szCs w:val="21"/>
            </w:rPr>
          </w:pPr>
          <w:r>
            <w:rPr>
              <w:rFonts w:hint="eastAsia"/>
              <w:sz w:val="21"/>
              <w:szCs w:val="21"/>
            </w:rPr>
            <w:t>下列</w:t>
          </w:r>
          <w:r>
            <w:rPr>
              <w:sz w:val="21"/>
              <w:szCs w:val="21"/>
            </w:rPr>
            <w:t>术语和定义适用于本文件</w:t>
          </w:r>
        </w:p>
        <w:p>
          <w:pPr>
            <w:pStyle w:val="236"/>
            <w:ind w:firstLine="0" w:firstLineChars="0"/>
            <w:rPr>
              <w:rFonts w:ascii="黑体" w:hAnsi="黑体" w:eastAsia="黑体"/>
              <w:bCs/>
              <w:sz w:val="21"/>
              <w:szCs w:val="21"/>
            </w:rPr>
          </w:pPr>
          <w:r>
            <w:rPr>
              <w:rFonts w:hint="eastAsia" w:ascii="黑体" w:hAnsi="黑体" w:eastAsia="黑体"/>
              <w:bCs/>
              <w:sz w:val="21"/>
              <w:szCs w:val="21"/>
            </w:rPr>
            <w:t xml:space="preserve">3.1富硒谷子 </w:t>
          </w:r>
          <w:r>
            <w:rPr>
              <w:rFonts w:ascii="黑体" w:hAnsi="黑体" w:eastAsia="黑体"/>
              <w:bCs/>
              <w:sz w:val="21"/>
              <w:szCs w:val="21"/>
            </w:rPr>
            <w:t>Selenium-rich millet</w:t>
          </w:r>
        </w:p>
        <w:p>
          <w:pPr>
            <w:pStyle w:val="236"/>
            <w:ind w:firstLine="0" w:firstLineChars="0"/>
            <w:rPr>
              <w:rFonts w:ascii="黑体" w:hAnsi="黑体" w:eastAsia="黑体"/>
              <w:bCs/>
              <w:sz w:val="21"/>
              <w:szCs w:val="21"/>
            </w:rPr>
          </w:pPr>
        </w:p>
        <w:p>
          <w:pPr>
            <w:pStyle w:val="236"/>
            <w:ind w:firstLine="420"/>
            <w:rPr>
              <w:rStyle w:val="240"/>
              <w:rFonts w:hint="eastAsia" w:ascii="宋体" w:hAnsi="宋体" w:eastAsia="宋体" w:cs="宋体"/>
              <w:sz w:val="21"/>
              <w:szCs w:val="21"/>
            </w:rPr>
          </w:pPr>
          <w:r>
            <w:rPr>
              <w:rStyle w:val="240"/>
              <w:rFonts w:hint="eastAsia" w:ascii="宋体" w:hAnsi="宋体" w:eastAsia="宋体" w:cs="宋体"/>
              <w:sz w:val="21"/>
              <w:szCs w:val="21"/>
            </w:rPr>
            <w:t>谷子加工后的小米硒含量在0.1mg/kg～0.3 mg/kg。</w:t>
          </w:r>
        </w:p>
        <w:p>
          <w:pPr>
            <w:pStyle w:val="235"/>
            <w:numPr>
              <w:ilvl w:val="0"/>
              <w:numId w:val="0"/>
            </w:numPr>
            <w:adjustRightInd w:val="0"/>
            <w:snapToGrid w:val="0"/>
            <w:spacing w:before="312" w:beforeLines="100" w:after="312" w:afterLines="100" w:line="360" w:lineRule="auto"/>
            <w:ind w:leftChars="0"/>
            <w:rPr>
              <w:sz w:val="21"/>
              <w:szCs w:val="21"/>
            </w:rPr>
          </w:pPr>
          <w:r>
            <w:rPr>
              <w:rFonts w:hint="eastAsia"/>
              <w:sz w:val="21"/>
              <w:szCs w:val="21"/>
            </w:rPr>
            <w:t>4</w:t>
          </w:r>
          <w:r>
            <w:rPr>
              <w:sz w:val="21"/>
              <w:szCs w:val="21"/>
            </w:rPr>
            <w:t xml:space="preserve"> </w:t>
          </w:r>
          <w:r>
            <w:rPr>
              <w:rFonts w:hint="eastAsia"/>
              <w:sz w:val="21"/>
              <w:szCs w:val="21"/>
            </w:rPr>
            <w:t>基本要求</w:t>
          </w:r>
        </w:p>
        <w:p>
          <w:pPr>
            <w:pStyle w:val="237"/>
            <w:numPr>
              <w:ilvl w:val="1"/>
              <w:numId w:val="0"/>
            </w:numPr>
            <w:spacing w:before="156" w:beforeLines="50" w:after="156" w:afterLines="50" w:line="360" w:lineRule="auto"/>
            <w:jc w:val="left"/>
            <w:outlineLvl w:val="2"/>
            <w:rPr>
              <w:sz w:val="21"/>
              <w:szCs w:val="21"/>
            </w:rPr>
          </w:pPr>
          <w:r>
            <w:rPr>
              <w:sz w:val="21"/>
              <w:szCs w:val="21"/>
            </w:rPr>
            <w:t>4</w:t>
          </w:r>
          <w:r>
            <w:rPr>
              <w:rFonts w:hint="eastAsia"/>
              <w:sz w:val="21"/>
              <w:szCs w:val="21"/>
            </w:rPr>
            <w:t>.1气候条件</w:t>
          </w:r>
        </w:p>
        <w:p>
          <w:pPr>
            <w:pStyle w:val="236"/>
            <w:adjustRightInd w:val="0"/>
            <w:snapToGrid w:val="0"/>
            <w:spacing w:line="360" w:lineRule="auto"/>
            <w:ind w:firstLine="420"/>
            <w:rPr>
              <w:rStyle w:val="240"/>
              <w:rFonts w:hAnsi="宋体" w:cs="宋体"/>
              <w:sz w:val="21"/>
              <w:szCs w:val="21"/>
            </w:rPr>
          </w:pPr>
          <w:r>
            <w:rPr>
              <w:rStyle w:val="240"/>
              <w:rFonts w:hint="eastAsia" w:hAnsi="宋体" w:cs="宋体"/>
              <w:sz w:val="21"/>
              <w:szCs w:val="21"/>
            </w:rPr>
            <w:t>无霜期95 d～125 d，</w:t>
          </w:r>
          <w:r>
            <w:rPr>
              <w:rStyle w:val="241"/>
              <w:rFonts w:hint="eastAsia" w:hAnsi="宋体"/>
              <w:sz w:val="21"/>
              <w:szCs w:val="21"/>
            </w:rPr>
            <w:t>≥10</w:t>
          </w:r>
          <w:r>
            <w:rPr>
              <w:rStyle w:val="240"/>
              <w:rFonts w:hint="eastAsia" w:hAnsi="宋体" w:cs="宋体"/>
              <w:sz w:val="21"/>
              <w:szCs w:val="21"/>
            </w:rPr>
            <w:t>℃年有效积温在1600-3000 ℃，年降雨量在300 mm以上。</w:t>
          </w:r>
        </w:p>
        <w:p>
          <w:pPr>
            <w:pStyle w:val="237"/>
            <w:numPr>
              <w:ilvl w:val="1"/>
              <w:numId w:val="0"/>
            </w:numPr>
            <w:spacing w:before="156" w:beforeLines="50" w:after="156" w:afterLines="50" w:line="360" w:lineRule="auto"/>
            <w:jc w:val="left"/>
            <w:outlineLvl w:val="2"/>
            <w:rPr>
              <w:rFonts w:cs="宋体"/>
              <w:sz w:val="21"/>
              <w:szCs w:val="21"/>
            </w:rPr>
          </w:pPr>
          <w:r>
            <w:rPr>
              <w:sz w:val="21"/>
              <w:szCs w:val="21"/>
            </w:rPr>
            <w:t>4</w:t>
          </w:r>
          <w:r>
            <w:rPr>
              <w:rFonts w:hint="eastAsia"/>
              <w:sz w:val="21"/>
              <w:szCs w:val="21"/>
            </w:rPr>
            <w:t>.2土壤条件</w:t>
          </w:r>
        </w:p>
        <w:p>
          <w:pPr>
            <w:pStyle w:val="236"/>
            <w:adjustRightInd w:val="0"/>
            <w:snapToGrid w:val="0"/>
            <w:spacing w:line="360" w:lineRule="auto"/>
            <w:ind w:firstLine="420"/>
            <w:rPr>
              <w:rStyle w:val="240"/>
              <w:rFonts w:hAnsi="宋体"/>
              <w:sz w:val="21"/>
              <w:szCs w:val="21"/>
            </w:rPr>
          </w:pPr>
          <w:r>
            <w:rPr>
              <w:rStyle w:val="241"/>
              <w:rFonts w:hint="eastAsia" w:hAnsi="宋体"/>
              <w:sz w:val="21"/>
              <w:szCs w:val="21"/>
            </w:rPr>
            <w:t>谷子适应各种土壤类型上种植。一般要求耕层厚度≥</w:t>
          </w:r>
          <w:r>
            <w:rPr>
              <w:rStyle w:val="241"/>
              <w:rFonts w:hAnsi="宋体"/>
              <w:sz w:val="21"/>
              <w:szCs w:val="21"/>
            </w:rPr>
            <w:t>30cm</w:t>
          </w:r>
          <w:r>
            <w:rPr>
              <w:rStyle w:val="241"/>
              <w:rFonts w:hint="eastAsia" w:hAnsi="宋体"/>
              <w:sz w:val="21"/>
              <w:szCs w:val="21"/>
            </w:rPr>
            <w:t>，有机质含量≥</w:t>
          </w:r>
          <w:r>
            <w:rPr>
              <w:rStyle w:val="241"/>
              <w:rFonts w:hAnsi="宋体"/>
              <w:sz w:val="21"/>
              <w:szCs w:val="21"/>
            </w:rPr>
            <w:t>10.0g/kg</w:t>
          </w:r>
          <w:r>
            <w:rPr>
              <w:rStyle w:val="241"/>
              <w:rFonts w:hint="eastAsia" w:hAnsi="宋体"/>
              <w:sz w:val="21"/>
              <w:szCs w:val="21"/>
            </w:rPr>
            <w:t>，坡度≤</w:t>
          </w:r>
          <w:r>
            <w:rPr>
              <w:rStyle w:val="241"/>
              <w:rFonts w:hAnsi="宋体"/>
              <w:sz w:val="21"/>
              <w:szCs w:val="21"/>
            </w:rPr>
            <w:t>15</w:t>
          </w:r>
          <w:r>
            <w:rPr>
              <w:rStyle w:val="241"/>
              <w:rFonts w:hint="eastAsia" w:hAnsi="宋体"/>
              <w:sz w:val="21"/>
              <w:szCs w:val="21"/>
            </w:rPr>
            <w:t>％，土壤环境质量应符合</w:t>
          </w:r>
          <w:r>
            <w:rPr>
              <w:rStyle w:val="240"/>
              <w:rFonts w:hAnsi="宋体" w:cs="宋体"/>
              <w:sz w:val="21"/>
              <w:szCs w:val="21"/>
            </w:rPr>
            <w:t>GB 15618-2018</w:t>
          </w:r>
          <w:r>
            <w:rPr>
              <w:rStyle w:val="240"/>
              <w:rFonts w:hint="eastAsia" w:hAnsi="宋体" w:cs="宋体"/>
              <w:sz w:val="21"/>
              <w:szCs w:val="21"/>
            </w:rPr>
            <w:t>要求。</w:t>
          </w:r>
        </w:p>
        <w:p>
          <w:pPr>
            <w:pStyle w:val="235"/>
            <w:numPr>
              <w:ilvl w:val="0"/>
              <w:numId w:val="0"/>
            </w:numPr>
            <w:adjustRightInd w:val="0"/>
            <w:snapToGrid w:val="0"/>
            <w:spacing w:before="312" w:beforeLines="100" w:after="312" w:afterLines="100" w:line="360" w:lineRule="auto"/>
            <w:ind w:leftChars="0"/>
            <w:rPr>
              <w:rFonts w:hAnsi="黑体" w:cs="宋体"/>
              <w:sz w:val="21"/>
              <w:szCs w:val="21"/>
            </w:rPr>
          </w:pPr>
          <w:r>
            <w:rPr>
              <w:rFonts w:hAnsi="黑体" w:cs="宋体"/>
              <w:sz w:val="21"/>
              <w:szCs w:val="21"/>
            </w:rPr>
            <w:t xml:space="preserve">5 </w:t>
          </w:r>
          <w:r>
            <w:rPr>
              <w:rFonts w:hint="eastAsia" w:hAnsi="黑体" w:cs="宋体"/>
              <w:sz w:val="21"/>
              <w:szCs w:val="21"/>
            </w:rPr>
            <w:t>品种选择</w:t>
          </w:r>
        </w:p>
        <w:p>
          <w:pPr>
            <w:pStyle w:val="237"/>
            <w:numPr>
              <w:ilvl w:val="1"/>
              <w:numId w:val="0"/>
            </w:numPr>
            <w:spacing w:before="156" w:beforeLines="50" w:after="156" w:afterLines="50" w:line="360" w:lineRule="auto"/>
            <w:jc w:val="left"/>
            <w:outlineLvl w:val="2"/>
            <w:rPr>
              <w:sz w:val="21"/>
              <w:szCs w:val="21"/>
            </w:rPr>
          </w:pPr>
          <w:r>
            <w:rPr>
              <w:sz w:val="21"/>
              <w:szCs w:val="21"/>
            </w:rPr>
            <w:t>5</w:t>
          </w:r>
          <w:r>
            <w:rPr>
              <w:rFonts w:hint="eastAsia"/>
              <w:sz w:val="21"/>
              <w:szCs w:val="21"/>
            </w:rPr>
            <w:t>.1 选择原则</w:t>
          </w:r>
        </w:p>
        <w:p>
          <w:pPr>
            <w:pStyle w:val="236"/>
            <w:adjustRightInd w:val="0"/>
            <w:snapToGrid w:val="0"/>
            <w:spacing w:line="360" w:lineRule="auto"/>
            <w:ind w:firstLine="0" w:firstLineChars="0"/>
            <w:rPr>
              <w:rStyle w:val="240"/>
              <w:rFonts w:cs="宋体"/>
              <w:color w:val="FF0000"/>
              <w:sz w:val="21"/>
              <w:szCs w:val="21"/>
            </w:rPr>
          </w:pPr>
          <w:r>
            <w:rPr>
              <w:rStyle w:val="240"/>
              <w:rFonts w:hint="eastAsia" w:cs="宋体"/>
              <w:sz w:val="21"/>
              <w:szCs w:val="21"/>
            </w:rPr>
            <w:t xml:space="preserve">    选用生育期适宜、优质、抗病虫害、抗逆并经登记通过的品种，种子质量应符合GB</w:t>
          </w:r>
          <w:r>
            <w:rPr>
              <w:rStyle w:val="240"/>
              <w:rFonts w:cs="宋体"/>
              <w:sz w:val="21"/>
              <w:szCs w:val="21"/>
            </w:rPr>
            <w:t xml:space="preserve"> 4404.1</w:t>
          </w:r>
          <w:r>
            <w:rPr>
              <w:rStyle w:val="240"/>
              <w:rFonts w:hint="eastAsia" w:cs="宋体"/>
              <w:sz w:val="21"/>
              <w:szCs w:val="21"/>
            </w:rPr>
            <w:t>要求。</w:t>
          </w:r>
        </w:p>
        <w:p>
          <w:pPr>
            <w:pStyle w:val="237"/>
            <w:numPr>
              <w:ilvl w:val="1"/>
              <w:numId w:val="0"/>
            </w:numPr>
            <w:spacing w:before="156" w:beforeLines="50" w:after="156" w:afterLines="50" w:line="360" w:lineRule="auto"/>
            <w:jc w:val="left"/>
            <w:outlineLvl w:val="2"/>
            <w:rPr>
              <w:sz w:val="21"/>
              <w:szCs w:val="21"/>
            </w:rPr>
          </w:pPr>
          <w:r>
            <w:rPr>
              <w:sz w:val="21"/>
              <w:szCs w:val="21"/>
            </w:rPr>
            <w:t>5</w:t>
          </w:r>
          <w:r>
            <w:rPr>
              <w:rFonts w:hint="eastAsia"/>
              <w:sz w:val="21"/>
              <w:szCs w:val="21"/>
            </w:rPr>
            <w:t>.2推荐品种</w:t>
          </w:r>
        </w:p>
        <w:p>
          <w:pPr>
            <w:adjustRightInd w:val="0"/>
            <w:snapToGrid w:val="0"/>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黄金苗系列：金苗K系列、蒙龙骧谷、敖谷金苗等；黄八叉、大金苗、小金苗、赤优金苗系列；</w:t>
          </w:r>
        </w:p>
        <w:p>
          <w:pPr>
            <w:adjustRightInd w:val="0"/>
            <w:snapToGrid w:val="0"/>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红谷系列：赤优红谷、红谷K系列、敖汉红谷、敖红谷等；</w:t>
          </w:r>
        </w:p>
        <w:p>
          <w:pPr>
            <w:adjustRightInd w:val="0"/>
            <w:snapToGrid w:val="0"/>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毛毛谷系列：林东毛毛谷、毛毛谷等；</w:t>
          </w:r>
        </w:p>
        <w:p>
          <w:pPr>
            <w:adjustRightInd w:val="0"/>
            <w:snapToGrid w:val="0"/>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赤谷系列：赤谷K系列、赤谷8号、赤谷10号、</w:t>
          </w:r>
        </w:p>
        <w:p>
          <w:pPr>
            <w:adjustRightInd w:val="0"/>
            <w:snapToGrid w:val="0"/>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峰谷系列、中敖谷系列、张杂系列等；</w:t>
          </w:r>
        </w:p>
        <w:p>
          <w:pPr>
            <w:pStyle w:val="235"/>
            <w:numPr>
              <w:ilvl w:val="0"/>
              <w:numId w:val="0"/>
            </w:numPr>
            <w:adjustRightInd w:val="0"/>
            <w:snapToGrid w:val="0"/>
            <w:spacing w:before="312" w:beforeLines="100" w:after="312" w:afterLines="100" w:line="360" w:lineRule="auto"/>
            <w:ind w:leftChars="0"/>
            <w:rPr>
              <w:rFonts w:hAnsi="黑体" w:cs="宋体"/>
              <w:sz w:val="21"/>
              <w:szCs w:val="21"/>
            </w:rPr>
          </w:pPr>
          <w:r>
            <w:rPr>
              <w:sz w:val="21"/>
              <w:szCs w:val="21"/>
            </w:rPr>
            <w:t>6</w:t>
          </w:r>
          <w:r>
            <w:rPr>
              <w:rFonts w:hint="eastAsia"/>
              <w:sz w:val="21"/>
              <w:szCs w:val="21"/>
            </w:rPr>
            <w:t xml:space="preserve"> 播前准备</w:t>
          </w:r>
        </w:p>
        <w:p>
          <w:pPr>
            <w:pStyle w:val="237"/>
            <w:numPr>
              <w:ilvl w:val="1"/>
              <w:numId w:val="0"/>
            </w:numPr>
            <w:spacing w:before="156" w:beforeLines="50" w:after="156" w:afterLines="50" w:line="360" w:lineRule="auto"/>
            <w:jc w:val="left"/>
            <w:outlineLvl w:val="2"/>
            <w:rPr>
              <w:sz w:val="21"/>
              <w:szCs w:val="21"/>
            </w:rPr>
          </w:pPr>
          <w:r>
            <w:rPr>
              <w:sz w:val="21"/>
              <w:szCs w:val="21"/>
            </w:rPr>
            <w:t>6</w:t>
          </w:r>
          <w:r>
            <w:rPr>
              <w:rFonts w:hint="eastAsia"/>
              <w:sz w:val="21"/>
              <w:szCs w:val="21"/>
            </w:rPr>
            <w:t>.1选地</w:t>
          </w:r>
        </w:p>
        <w:p>
          <w:pPr>
            <w:pStyle w:val="236"/>
            <w:adjustRightInd w:val="0"/>
            <w:snapToGrid w:val="0"/>
            <w:spacing w:line="360" w:lineRule="auto"/>
            <w:ind w:firstLine="420"/>
            <w:rPr>
              <w:rStyle w:val="240"/>
              <w:rFonts w:hAnsi="宋体" w:cs="宋体"/>
              <w:sz w:val="21"/>
              <w:szCs w:val="21"/>
            </w:rPr>
          </w:pPr>
          <w:r>
            <w:rPr>
              <w:rStyle w:val="240"/>
              <w:rFonts w:hint="eastAsia" w:hAnsi="宋体" w:cs="宋体"/>
              <w:sz w:val="21"/>
              <w:szCs w:val="21"/>
            </w:rPr>
            <w:t>选择前茬为豆类、马铃薯、玉米、高粱等地块，避免重茬、迎茬。</w:t>
          </w:r>
        </w:p>
        <w:p>
          <w:pPr>
            <w:pStyle w:val="237"/>
            <w:numPr>
              <w:ilvl w:val="1"/>
              <w:numId w:val="0"/>
            </w:numPr>
            <w:spacing w:before="156" w:beforeLines="50" w:after="156" w:afterLines="50" w:line="360" w:lineRule="auto"/>
            <w:jc w:val="left"/>
            <w:outlineLvl w:val="2"/>
            <w:rPr>
              <w:sz w:val="21"/>
              <w:szCs w:val="21"/>
            </w:rPr>
          </w:pPr>
          <w:r>
            <w:rPr>
              <w:sz w:val="21"/>
              <w:szCs w:val="21"/>
            </w:rPr>
            <w:t>6</w:t>
          </w:r>
          <w:r>
            <w:rPr>
              <w:rFonts w:hint="eastAsia"/>
              <w:sz w:val="21"/>
              <w:szCs w:val="21"/>
            </w:rPr>
            <w:t>.2整地</w:t>
          </w:r>
        </w:p>
        <w:p>
          <w:pPr>
            <w:pStyle w:val="236"/>
            <w:adjustRightInd w:val="0"/>
            <w:snapToGrid w:val="0"/>
            <w:spacing w:line="360" w:lineRule="auto"/>
            <w:ind w:firstLine="420"/>
            <w:rPr>
              <w:rStyle w:val="240"/>
              <w:rFonts w:hAnsi="宋体" w:cs="宋体"/>
              <w:sz w:val="21"/>
              <w:szCs w:val="21"/>
            </w:rPr>
          </w:pPr>
          <w:r>
            <w:rPr>
              <w:rStyle w:val="240"/>
              <w:rFonts w:hint="eastAsia" w:hAnsi="宋体" w:cs="宋体"/>
              <w:sz w:val="21"/>
              <w:szCs w:val="21"/>
            </w:rPr>
            <w:t>上茬作物收获后至土壤封冻前或谷子播种前10 d～15 d，灭茬并深耕 25 cm 以上，耕后耙、耢、镇压，疏松土壤，达到上平下碎。结合整地每亩施腐熟农家肥 1000 kg 以上。</w:t>
          </w:r>
        </w:p>
        <w:p>
          <w:pPr>
            <w:pStyle w:val="237"/>
            <w:numPr>
              <w:ilvl w:val="1"/>
              <w:numId w:val="0"/>
            </w:numPr>
            <w:spacing w:before="156" w:beforeLines="50" w:after="156" w:afterLines="50" w:line="360" w:lineRule="auto"/>
            <w:jc w:val="left"/>
            <w:outlineLvl w:val="2"/>
            <w:rPr>
              <w:rFonts w:cs="宋体"/>
              <w:sz w:val="21"/>
              <w:szCs w:val="21"/>
            </w:rPr>
          </w:pPr>
          <w:r>
            <w:rPr>
              <w:sz w:val="21"/>
              <w:szCs w:val="21"/>
            </w:rPr>
            <w:t>6</w:t>
          </w:r>
          <w:r>
            <w:rPr>
              <w:rFonts w:hint="eastAsia"/>
              <w:sz w:val="21"/>
              <w:szCs w:val="21"/>
            </w:rPr>
            <w:t>.3地膜选择</w:t>
          </w:r>
        </w:p>
        <w:p>
          <w:pPr>
            <w:pStyle w:val="236"/>
            <w:adjustRightInd w:val="0"/>
            <w:snapToGrid w:val="0"/>
            <w:spacing w:line="360" w:lineRule="auto"/>
            <w:ind w:firstLine="420"/>
            <w:rPr>
              <w:rStyle w:val="240"/>
              <w:rFonts w:hAnsi="宋体" w:cs="宋体"/>
              <w:sz w:val="21"/>
              <w:szCs w:val="21"/>
            </w:rPr>
          </w:pPr>
          <w:r>
            <w:rPr>
              <w:rStyle w:val="240"/>
              <w:rFonts w:hint="eastAsia" w:hAnsi="宋体" w:cs="宋体"/>
              <w:sz w:val="21"/>
              <w:szCs w:val="21"/>
            </w:rPr>
            <w:t>选择厚度≥0.010 mm的地膜或者降解膜，幅宽80 cm～90 cm、120 cm～130 cm，并符合 GB 13735、GB/T 35795要求。</w:t>
          </w:r>
        </w:p>
        <w:p>
          <w:pPr>
            <w:pStyle w:val="237"/>
            <w:numPr>
              <w:ilvl w:val="1"/>
              <w:numId w:val="0"/>
            </w:numPr>
            <w:spacing w:before="156" w:beforeLines="50" w:after="156" w:afterLines="50" w:line="360" w:lineRule="auto"/>
            <w:jc w:val="left"/>
            <w:outlineLvl w:val="2"/>
            <w:rPr>
              <w:rFonts w:cs="宋体"/>
              <w:sz w:val="21"/>
              <w:szCs w:val="21"/>
            </w:rPr>
          </w:pPr>
          <w:r>
            <w:rPr>
              <w:sz w:val="21"/>
              <w:szCs w:val="21"/>
            </w:rPr>
            <w:t>6</w:t>
          </w:r>
          <w:r>
            <w:rPr>
              <w:rFonts w:hint="eastAsia"/>
              <w:sz w:val="21"/>
              <w:szCs w:val="21"/>
            </w:rPr>
            <w:t>.4种子处理</w:t>
          </w:r>
        </w:p>
        <w:p>
          <w:pPr>
            <w:pStyle w:val="242"/>
            <w:numPr>
              <w:ilvl w:val="1"/>
              <w:numId w:val="0"/>
            </w:numPr>
            <w:spacing w:before="156" w:after="156" w:line="360" w:lineRule="auto"/>
            <w:ind w:leftChars="200"/>
            <w:rPr>
              <w:rFonts w:ascii="宋体" w:hAnsi="宋体" w:eastAsia="宋体" w:cs="宋体"/>
              <w:sz w:val="21"/>
              <w:szCs w:val="21"/>
            </w:rPr>
          </w:pPr>
          <w:r>
            <w:rPr>
              <w:rFonts w:hint="eastAsia" w:ascii="宋体" w:hAnsi="宋体" w:eastAsia="宋体" w:cs="宋体"/>
              <w:sz w:val="21"/>
              <w:szCs w:val="21"/>
            </w:rPr>
            <w:t>在播种前1周用浓度</w:t>
          </w:r>
          <w:r>
            <w:rPr>
              <w:rFonts w:ascii="宋体" w:hAnsi="宋体" w:eastAsia="宋体" w:cs="宋体"/>
              <w:sz w:val="21"/>
              <w:szCs w:val="21"/>
            </w:rPr>
            <w:t>为</w:t>
          </w:r>
          <w:r>
            <w:rPr>
              <w:rFonts w:hint="eastAsia" w:ascii="宋体" w:hAnsi="宋体" w:eastAsia="宋体" w:cs="宋体"/>
              <w:sz w:val="21"/>
              <w:szCs w:val="21"/>
            </w:rPr>
            <w:t>10</w:t>
          </w:r>
          <w:r>
            <w:rPr>
              <w:rFonts w:ascii="宋体" w:hAnsi="宋体" w:eastAsia="宋体" w:cs="宋体"/>
              <w:sz w:val="21"/>
              <w:szCs w:val="21"/>
            </w:rPr>
            <w:t>%的盐水漂去谷种中的秕谷和杂质，盐选后后的谷种用清水洗</w:t>
          </w:r>
          <w:r>
            <w:rPr>
              <w:rFonts w:hint="eastAsia" w:ascii="宋体" w:hAnsi="宋体" w:eastAsia="宋体" w:cs="宋体"/>
              <w:sz w:val="21"/>
              <w:szCs w:val="21"/>
            </w:rPr>
            <w:t>2遍～3遍</w:t>
          </w:r>
          <w:r>
            <w:rPr>
              <w:rFonts w:ascii="宋体" w:hAnsi="宋体" w:eastAsia="宋体" w:cs="宋体"/>
              <w:sz w:val="21"/>
              <w:szCs w:val="21"/>
            </w:rPr>
            <w:t>，通风处晾干。</w:t>
          </w:r>
          <w:r>
            <w:rPr>
              <w:rFonts w:hint="eastAsia" w:ascii="宋体" w:hAnsi="宋体" w:eastAsia="宋体" w:cs="宋体"/>
              <w:sz w:val="21"/>
              <w:szCs w:val="21"/>
            </w:rPr>
            <w:t>播种前，</w:t>
          </w:r>
          <w:r>
            <w:rPr>
              <w:rFonts w:ascii="宋体" w:hAnsi="宋体" w:eastAsia="宋体" w:cs="宋体"/>
              <w:sz w:val="21"/>
              <w:szCs w:val="21"/>
            </w:rPr>
            <w:t>阳光下翻晒</w:t>
          </w:r>
          <w:r>
            <w:rPr>
              <w:rFonts w:hint="eastAsia" w:ascii="宋体" w:hAnsi="宋体" w:eastAsia="宋体" w:cs="宋体"/>
              <w:sz w:val="21"/>
              <w:szCs w:val="21"/>
            </w:rPr>
            <w:t>2d，以杀死</w:t>
          </w:r>
          <w:r>
            <w:rPr>
              <w:rFonts w:ascii="宋体" w:hAnsi="宋体" w:eastAsia="宋体" w:cs="宋体"/>
              <w:sz w:val="21"/>
              <w:szCs w:val="21"/>
            </w:rPr>
            <w:t>种子表面</w:t>
          </w:r>
          <w:r>
            <w:rPr>
              <w:rFonts w:hint="eastAsia" w:ascii="宋体" w:hAnsi="宋体" w:eastAsia="宋体" w:cs="宋体"/>
              <w:sz w:val="21"/>
              <w:szCs w:val="21"/>
            </w:rPr>
            <w:t>虫卵和</w:t>
          </w:r>
          <w:r>
            <w:rPr>
              <w:rFonts w:ascii="宋体" w:hAnsi="宋体" w:eastAsia="宋体" w:cs="宋体"/>
              <w:sz w:val="21"/>
              <w:szCs w:val="21"/>
            </w:rPr>
            <w:t>病原菌</w:t>
          </w:r>
          <w:r>
            <w:rPr>
              <w:rFonts w:hint="eastAsia" w:ascii="宋体" w:hAnsi="宋体" w:eastAsia="宋体" w:cs="宋体"/>
              <w:sz w:val="21"/>
              <w:szCs w:val="21"/>
            </w:rPr>
            <w:t>提高</w:t>
          </w:r>
          <w:r>
            <w:rPr>
              <w:rFonts w:ascii="宋体" w:hAnsi="宋体" w:eastAsia="宋体" w:cs="宋体"/>
              <w:sz w:val="21"/>
              <w:szCs w:val="21"/>
            </w:rPr>
            <w:t>种子芽率</w:t>
          </w:r>
          <w:r>
            <w:rPr>
              <w:rFonts w:hint="eastAsia" w:ascii="宋体" w:hAnsi="宋体" w:eastAsia="宋体" w:cs="宋体"/>
              <w:sz w:val="21"/>
              <w:szCs w:val="21"/>
            </w:rPr>
            <w:t>。</w:t>
          </w:r>
        </w:p>
        <w:p>
          <w:pPr>
            <w:pStyle w:val="235"/>
            <w:numPr>
              <w:ilvl w:val="0"/>
              <w:numId w:val="0"/>
            </w:numPr>
            <w:adjustRightInd w:val="0"/>
            <w:snapToGrid w:val="0"/>
            <w:spacing w:before="312" w:beforeLines="100" w:after="312" w:afterLines="100" w:line="360" w:lineRule="auto"/>
            <w:ind w:leftChars="0"/>
            <w:rPr>
              <w:rFonts w:hAnsi="黑体" w:cs="宋体"/>
              <w:sz w:val="21"/>
              <w:szCs w:val="21"/>
            </w:rPr>
          </w:pPr>
          <w:r>
            <w:rPr>
              <w:sz w:val="21"/>
              <w:szCs w:val="21"/>
            </w:rPr>
            <w:t>7</w:t>
          </w:r>
          <w:r>
            <w:rPr>
              <w:rFonts w:hint="eastAsia"/>
              <w:sz w:val="21"/>
              <w:szCs w:val="21"/>
            </w:rPr>
            <w:t xml:space="preserve"> 播种</w:t>
          </w:r>
        </w:p>
        <w:p>
          <w:pPr>
            <w:pStyle w:val="237"/>
            <w:numPr>
              <w:ilvl w:val="1"/>
              <w:numId w:val="0"/>
            </w:numPr>
            <w:spacing w:before="156" w:beforeLines="50" w:after="156" w:afterLines="50" w:line="360" w:lineRule="auto"/>
            <w:jc w:val="left"/>
            <w:outlineLvl w:val="2"/>
            <w:rPr>
              <w:sz w:val="21"/>
              <w:szCs w:val="21"/>
            </w:rPr>
          </w:pPr>
          <w:r>
            <w:rPr>
              <w:sz w:val="21"/>
              <w:szCs w:val="21"/>
            </w:rPr>
            <w:t>7</w:t>
          </w:r>
          <w:r>
            <w:rPr>
              <w:rFonts w:hint="eastAsia"/>
              <w:sz w:val="21"/>
              <w:szCs w:val="21"/>
            </w:rPr>
            <w:t>.1播期</w:t>
          </w:r>
        </w:p>
        <w:p>
          <w:pPr>
            <w:pStyle w:val="236"/>
            <w:adjustRightInd w:val="0"/>
            <w:snapToGrid w:val="0"/>
            <w:spacing w:line="360" w:lineRule="auto"/>
            <w:ind w:firstLine="420"/>
            <w:rPr>
              <w:rStyle w:val="240"/>
              <w:rFonts w:hAnsi="宋体" w:cs="宋体"/>
              <w:sz w:val="21"/>
              <w:szCs w:val="21"/>
            </w:rPr>
          </w:pPr>
          <w:r>
            <w:rPr>
              <w:rStyle w:val="240"/>
              <w:rFonts w:hint="eastAsia" w:hAnsi="宋体" w:cs="宋体"/>
              <w:sz w:val="21"/>
              <w:szCs w:val="21"/>
            </w:rPr>
            <w:t>耕层5 cm土壤温度达到5℃稳定7d以上开始播种。</w:t>
          </w:r>
        </w:p>
        <w:p>
          <w:pPr>
            <w:pStyle w:val="237"/>
            <w:numPr>
              <w:ilvl w:val="1"/>
              <w:numId w:val="0"/>
            </w:numPr>
            <w:spacing w:before="156" w:beforeLines="50" w:after="156" w:afterLines="50" w:line="360" w:lineRule="auto"/>
            <w:jc w:val="left"/>
            <w:outlineLvl w:val="2"/>
            <w:rPr>
              <w:rStyle w:val="240"/>
              <w:rFonts w:ascii="宋体" w:hAnsi="宋体" w:eastAsia="宋体" w:cs="宋体"/>
              <w:sz w:val="21"/>
              <w:szCs w:val="21"/>
            </w:rPr>
          </w:pPr>
          <w:r>
            <w:rPr>
              <w:sz w:val="21"/>
              <w:szCs w:val="21"/>
            </w:rPr>
            <w:t>7</w:t>
          </w:r>
          <w:r>
            <w:rPr>
              <w:rFonts w:hint="eastAsia"/>
              <w:sz w:val="21"/>
              <w:szCs w:val="21"/>
            </w:rPr>
            <w:t>.2播量</w:t>
          </w:r>
        </w:p>
        <w:p>
          <w:pPr>
            <w:pStyle w:val="237"/>
            <w:numPr>
              <w:ilvl w:val="1"/>
              <w:numId w:val="0"/>
            </w:numPr>
            <w:spacing w:before="156" w:after="156" w:line="360" w:lineRule="auto"/>
            <w:ind w:leftChars="200"/>
            <w:rPr>
              <w:rStyle w:val="240"/>
              <w:rFonts w:ascii="宋体" w:hAnsi="宋体" w:eastAsia="宋体" w:cs="宋体"/>
              <w:sz w:val="21"/>
              <w:szCs w:val="21"/>
            </w:rPr>
          </w:pPr>
          <w:r>
            <w:rPr>
              <w:rFonts w:hint="eastAsia" w:ascii="宋体" w:hAnsi="宋体" w:eastAsia="宋体" w:cs="宋体"/>
              <w:sz w:val="21"/>
              <w:szCs w:val="21"/>
            </w:rPr>
            <w:t>根据不同模式确定播种量，露地种植</w:t>
          </w:r>
          <w:r>
            <w:rPr>
              <w:rStyle w:val="240"/>
              <w:rFonts w:hint="eastAsia" w:ascii="宋体" w:hAnsi="宋体" w:eastAsia="宋体" w:cs="宋体"/>
              <w:sz w:val="21"/>
              <w:szCs w:val="21"/>
            </w:rPr>
            <w:t>每亩播量0.2 kg～0.3 kg；</w:t>
          </w:r>
          <w:r>
            <w:rPr>
              <w:rFonts w:hint="eastAsia" w:ascii="宋体" w:hAnsi="宋体" w:eastAsia="宋体" w:cs="宋体"/>
              <w:sz w:val="21"/>
              <w:szCs w:val="21"/>
            </w:rPr>
            <w:t>半膜膜下滴灌种植和全膜覆盖种植</w:t>
          </w:r>
          <w:r>
            <w:rPr>
              <w:rStyle w:val="240"/>
              <w:rFonts w:hint="eastAsia" w:ascii="宋体" w:hAnsi="宋体" w:eastAsia="宋体" w:cs="宋体"/>
              <w:sz w:val="21"/>
              <w:szCs w:val="21"/>
            </w:rPr>
            <w:t>每亩播量0.15kg～0.2kg。</w:t>
          </w:r>
        </w:p>
        <w:p>
          <w:pPr>
            <w:pStyle w:val="237"/>
            <w:numPr>
              <w:ilvl w:val="1"/>
              <w:numId w:val="0"/>
            </w:numPr>
            <w:spacing w:before="156" w:beforeLines="50" w:after="156" w:afterLines="50" w:line="360" w:lineRule="auto"/>
            <w:jc w:val="left"/>
            <w:outlineLvl w:val="2"/>
            <w:rPr>
              <w:sz w:val="21"/>
              <w:szCs w:val="21"/>
            </w:rPr>
          </w:pPr>
          <w:r>
            <w:rPr>
              <w:sz w:val="21"/>
              <w:szCs w:val="21"/>
            </w:rPr>
            <w:t>7</w:t>
          </w:r>
          <w:r>
            <w:rPr>
              <w:rFonts w:hint="eastAsia"/>
              <w:sz w:val="21"/>
              <w:szCs w:val="21"/>
            </w:rPr>
            <w:t>.3种肥</w:t>
          </w:r>
        </w:p>
        <w:p>
          <w:pPr>
            <w:pStyle w:val="236"/>
            <w:adjustRightInd w:val="0"/>
            <w:snapToGrid w:val="0"/>
            <w:spacing w:line="360" w:lineRule="auto"/>
            <w:ind w:firstLine="0" w:firstLineChars="0"/>
            <w:rPr>
              <w:rFonts w:ascii="黑体" w:eastAsia="黑体"/>
              <w:sz w:val="21"/>
              <w:szCs w:val="21"/>
            </w:rPr>
          </w:pPr>
          <w:r>
            <w:rPr>
              <w:rFonts w:ascii="黑体" w:eastAsia="黑体"/>
              <w:sz w:val="21"/>
              <w:szCs w:val="21"/>
            </w:rPr>
            <w:t>7</w:t>
          </w:r>
          <w:r>
            <w:rPr>
              <w:rFonts w:hint="eastAsia" w:ascii="黑体" w:eastAsia="黑体"/>
              <w:sz w:val="21"/>
              <w:szCs w:val="21"/>
            </w:rPr>
            <w:t>.3.1施肥原则</w:t>
          </w:r>
        </w:p>
        <w:p>
          <w:pPr>
            <w:pStyle w:val="242"/>
            <w:numPr>
              <w:ilvl w:val="2"/>
              <w:numId w:val="0"/>
            </w:numPr>
            <w:spacing w:before="156" w:beforeLines="50" w:after="156" w:afterLines="50" w:line="360" w:lineRule="auto"/>
            <w:ind w:firstLine="435"/>
            <w:jc w:val="left"/>
            <w:rPr>
              <w:rStyle w:val="240"/>
              <w:rFonts w:hAnsi="宋体" w:eastAsia="宋体" w:cs="宋体"/>
              <w:bCs w:val="0"/>
              <w:sz w:val="21"/>
              <w:szCs w:val="21"/>
            </w:rPr>
          </w:pPr>
          <w:r>
            <w:rPr>
              <w:rStyle w:val="240"/>
              <w:rFonts w:hint="eastAsia" w:hAnsi="宋体" w:eastAsia="宋体" w:cs="宋体"/>
              <w:bCs w:val="0"/>
              <w:sz w:val="21"/>
              <w:szCs w:val="21"/>
            </w:rPr>
            <w:t>肥料使用应符合</w:t>
          </w:r>
          <w:r>
            <w:rPr>
              <w:rStyle w:val="240"/>
              <w:rFonts w:hAnsi="宋体" w:eastAsia="宋体" w:cs="宋体"/>
              <w:bCs w:val="0"/>
              <w:sz w:val="21"/>
              <w:szCs w:val="21"/>
            </w:rPr>
            <w:t>NY/T 496</w:t>
          </w:r>
          <w:r>
            <w:rPr>
              <w:rStyle w:val="240"/>
              <w:rFonts w:hint="eastAsia" w:hAnsi="宋体" w:eastAsia="宋体" w:cs="宋体"/>
              <w:bCs w:val="0"/>
              <w:sz w:val="21"/>
              <w:szCs w:val="21"/>
            </w:rPr>
            <w:t>的规定。</w:t>
          </w:r>
        </w:p>
        <w:p>
          <w:pPr>
            <w:pStyle w:val="242"/>
            <w:numPr>
              <w:ilvl w:val="2"/>
              <w:numId w:val="0"/>
            </w:numPr>
            <w:spacing w:before="156" w:beforeLines="50" w:after="156" w:afterLines="50" w:line="360" w:lineRule="auto"/>
            <w:jc w:val="left"/>
            <w:rPr>
              <w:rFonts w:cs="宋体"/>
              <w:sz w:val="21"/>
              <w:szCs w:val="21"/>
            </w:rPr>
          </w:pPr>
          <w:r>
            <w:rPr>
              <w:sz w:val="21"/>
              <w:szCs w:val="21"/>
            </w:rPr>
            <w:t>7</w:t>
          </w:r>
          <w:r>
            <w:rPr>
              <w:rFonts w:hint="eastAsia"/>
              <w:sz w:val="21"/>
              <w:szCs w:val="21"/>
            </w:rPr>
            <w:t>.3.2施肥品种和施肥量</w:t>
          </w:r>
        </w:p>
        <w:p>
          <w:pPr>
            <w:pStyle w:val="236"/>
            <w:adjustRightInd w:val="0"/>
            <w:snapToGrid w:val="0"/>
            <w:spacing w:line="360" w:lineRule="auto"/>
            <w:ind w:firstLine="420"/>
            <w:rPr>
              <w:rFonts w:ascii="Times New Roman" w:hAnsi="宋体"/>
              <w:sz w:val="21"/>
              <w:szCs w:val="21"/>
            </w:rPr>
          </w:pPr>
          <w:r>
            <w:rPr>
              <w:rFonts w:hint="eastAsia"/>
              <w:sz w:val="21"/>
              <w:szCs w:val="21"/>
            </w:rPr>
            <w:t>结合</w:t>
          </w:r>
          <w:r>
            <w:rPr>
              <w:rStyle w:val="240"/>
              <w:rFonts w:hint="eastAsia" w:hAnsi="宋体"/>
              <w:sz w:val="21"/>
              <w:szCs w:val="21"/>
            </w:rPr>
            <w:t>播种，每亩施磷酸二铵（46</w:t>
          </w:r>
          <w:r>
            <w:rPr>
              <w:rStyle w:val="240"/>
              <w:rFonts w:hAnsi="宋体"/>
              <w:sz w:val="21"/>
              <w:szCs w:val="21"/>
            </w:rPr>
            <w:t>%</w:t>
          </w:r>
          <w:r>
            <w:rPr>
              <w:rStyle w:val="240"/>
              <w:rFonts w:hint="eastAsia" w:hAnsi="宋体"/>
              <w:sz w:val="21"/>
              <w:szCs w:val="21"/>
            </w:rPr>
            <w:t>P</w:t>
          </w:r>
          <w:r>
            <w:rPr>
              <w:rStyle w:val="240"/>
              <w:rFonts w:hint="eastAsia" w:hAnsi="宋体"/>
              <w:sz w:val="21"/>
              <w:szCs w:val="21"/>
              <w:vertAlign w:val="subscript"/>
            </w:rPr>
            <w:t>2</w:t>
          </w:r>
          <w:r>
            <w:rPr>
              <w:rStyle w:val="240"/>
              <w:rFonts w:hint="eastAsia" w:hAnsi="宋体"/>
              <w:sz w:val="21"/>
              <w:szCs w:val="21"/>
            </w:rPr>
            <w:t>O</w:t>
          </w:r>
          <w:r>
            <w:rPr>
              <w:rStyle w:val="240"/>
              <w:rFonts w:hint="eastAsia" w:hAnsi="宋体"/>
              <w:sz w:val="21"/>
              <w:szCs w:val="21"/>
              <w:vertAlign w:val="subscript"/>
            </w:rPr>
            <w:t>5</w:t>
          </w:r>
          <w:r>
            <w:rPr>
              <w:rStyle w:val="240"/>
              <w:rFonts w:hint="eastAsia" w:hAnsi="宋体"/>
              <w:sz w:val="21"/>
              <w:szCs w:val="21"/>
            </w:rPr>
            <w:t>）</w:t>
          </w:r>
          <w:r>
            <w:rPr>
              <w:rStyle w:val="240"/>
              <w:rFonts w:hAnsi="宋体"/>
              <w:sz w:val="21"/>
              <w:szCs w:val="21"/>
            </w:rPr>
            <w:t>5</w:t>
          </w:r>
          <w:r>
            <w:rPr>
              <w:rStyle w:val="240"/>
              <w:rFonts w:hint="eastAsia" w:hAnsi="宋体"/>
              <w:sz w:val="21"/>
              <w:szCs w:val="21"/>
            </w:rPr>
            <w:t xml:space="preserve"> </w:t>
          </w:r>
          <w:r>
            <w:rPr>
              <w:rStyle w:val="240"/>
              <w:rFonts w:hAnsi="宋体"/>
              <w:sz w:val="21"/>
              <w:szCs w:val="21"/>
            </w:rPr>
            <w:t>kg</w:t>
          </w:r>
          <w:r>
            <w:rPr>
              <w:rStyle w:val="240"/>
              <w:rFonts w:hint="eastAsia" w:hAnsi="宋体"/>
              <w:sz w:val="21"/>
              <w:szCs w:val="21"/>
            </w:rPr>
            <w:t>～</w:t>
          </w:r>
          <w:r>
            <w:rPr>
              <w:rStyle w:val="240"/>
              <w:rFonts w:hAnsi="宋体"/>
              <w:sz w:val="21"/>
              <w:szCs w:val="21"/>
            </w:rPr>
            <w:t>7.5</w:t>
          </w:r>
          <w:r>
            <w:rPr>
              <w:rStyle w:val="240"/>
              <w:rFonts w:hint="eastAsia" w:hAnsi="宋体"/>
              <w:sz w:val="21"/>
              <w:szCs w:val="21"/>
            </w:rPr>
            <w:t xml:space="preserve"> </w:t>
          </w:r>
          <w:r>
            <w:rPr>
              <w:rStyle w:val="240"/>
              <w:rFonts w:hAnsi="宋体"/>
              <w:sz w:val="21"/>
              <w:szCs w:val="21"/>
            </w:rPr>
            <w:t>kg</w:t>
          </w:r>
          <w:r>
            <w:rPr>
              <w:rStyle w:val="240"/>
              <w:rFonts w:hint="eastAsia" w:hAnsi="宋体"/>
              <w:sz w:val="21"/>
              <w:szCs w:val="21"/>
            </w:rPr>
            <w:t>，尿素（</w:t>
          </w:r>
          <w:r>
            <w:rPr>
              <w:rStyle w:val="240"/>
              <w:rFonts w:hAnsi="宋体"/>
              <w:sz w:val="21"/>
              <w:szCs w:val="21"/>
            </w:rPr>
            <w:t>46%</w:t>
          </w:r>
          <w:r>
            <w:rPr>
              <w:rStyle w:val="240"/>
              <w:rFonts w:hint="eastAsia" w:hAnsi="宋体"/>
              <w:sz w:val="21"/>
              <w:szCs w:val="21"/>
            </w:rPr>
            <w:t>N）</w:t>
          </w:r>
          <w:r>
            <w:rPr>
              <w:rStyle w:val="240"/>
              <w:rFonts w:hAnsi="宋体"/>
              <w:sz w:val="21"/>
              <w:szCs w:val="21"/>
            </w:rPr>
            <w:t>1</w:t>
          </w:r>
          <w:r>
            <w:rPr>
              <w:rStyle w:val="240"/>
              <w:rFonts w:hint="eastAsia" w:hAnsi="宋体"/>
              <w:sz w:val="21"/>
              <w:szCs w:val="21"/>
            </w:rPr>
            <w:t xml:space="preserve"> </w:t>
          </w:r>
          <w:r>
            <w:rPr>
              <w:rStyle w:val="240"/>
              <w:rFonts w:hAnsi="宋体"/>
              <w:sz w:val="21"/>
              <w:szCs w:val="21"/>
            </w:rPr>
            <w:t>kg</w:t>
          </w:r>
          <w:r>
            <w:rPr>
              <w:rStyle w:val="240"/>
              <w:rFonts w:hint="eastAsia" w:hAnsi="宋体"/>
              <w:sz w:val="21"/>
              <w:szCs w:val="21"/>
            </w:rPr>
            <w:t>～</w:t>
          </w:r>
          <w:r>
            <w:rPr>
              <w:rStyle w:val="240"/>
              <w:rFonts w:hAnsi="宋体"/>
              <w:sz w:val="21"/>
              <w:szCs w:val="21"/>
            </w:rPr>
            <w:t>1.5</w:t>
          </w:r>
          <w:r>
            <w:rPr>
              <w:rStyle w:val="240"/>
              <w:rFonts w:hint="eastAsia" w:hAnsi="宋体"/>
              <w:sz w:val="21"/>
              <w:szCs w:val="21"/>
            </w:rPr>
            <w:t xml:space="preserve"> </w:t>
          </w:r>
          <w:r>
            <w:rPr>
              <w:rStyle w:val="240"/>
              <w:rFonts w:hAnsi="宋体"/>
              <w:sz w:val="21"/>
              <w:szCs w:val="21"/>
            </w:rPr>
            <w:t>kg</w:t>
          </w:r>
          <w:r>
            <w:rPr>
              <w:rStyle w:val="240"/>
              <w:rFonts w:hint="eastAsia" w:hAnsi="宋体"/>
              <w:sz w:val="21"/>
              <w:szCs w:val="21"/>
            </w:rPr>
            <w:t>，</w:t>
          </w:r>
          <w:r>
            <w:rPr>
              <w:rStyle w:val="240"/>
              <w:rFonts w:hAnsi="宋体"/>
              <w:sz w:val="21"/>
              <w:szCs w:val="21"/>
            </w:rPr>
            <w:t>50</w:t>
          </w:r>
          <w:r>
            <w:rPr>
              <w:rStyle w:val="240"/>
              <w:rFonts w:hint="eastAsia" w:hAnsi="宋体"/>
              <w:sz w:val="21"/>
              <w:szCs w:val="21"/>
            </w:rPr>
            <w:t xml:space="preserve"> </w:t>
          </w:r>
          <w:r>
            <w:rPr>
              <w:rStyle w:val="240"/>
              <w:rFonts w:hAnsi="宋体"/>
              <w:sz w:val="21"/>
              <w:szCs w:val="21"/>
            </w:rPr>
            <w:t>%</w:t>
          </w:r>
          <w:r>
            <w:rPr>
              <w:rStyle w:val="240"/>
              <w:rFonts w:hint="eastAsia" w:hAnsi="宋体"/>
              <w:sz w:val="21"/>
              <w:szCs w:val="21"/>
            </w:rPr>
            <w:t>硫酸钾(</w:t>
          </w:r>
          <w:r>
            <w:rPr>
              <w:rStyle w:val="240"/>
              <w:rFonts w:hAnsi="宋体"/>
              <w:sz w:val="21"/>
              <w:szCs w:val="21"/>
            </w:rPr>
            <w:t>50%</w:t>
          </w:r>
          <w:r>
            <w:rPr>
              <w:rStyle w:val="240"/>
              <w:rFonts w:hint="eastAsia" w:hAnsi="宋体"/>
              <w:sz w:val="21"/>
              <w:szCs w:val="21"/>
            </w:rPr>
            <w:t>K</w:t>
          </w:r>
          <w:r>
            <w:rPr>
              <w:rStyle w:val="240"/>
              <w:rFonts w:hint="eastAsia" w:hAnsi="宋体"/>
              <w:sz w:val="21"/>
              <w:szCs w:val="21"/>
              <w:vertAlign w:val="subscript"/>
            </w:rPr>
            <w:t>2</w:t>
          </w:r>
          <w:r>
            <w:rPr>
              <w:rStyle w:val="240"/>
              <w:rFonts w:hint="eastAsia" w:hAnsi="宋体"/>
              <w:sz w:val="21"/>
              <w:szCs w:val="21"/>
            </w:rPr>
            <w:t>O)</w:t>
          </w:r>
          <w:r>
            <w:rPr>
              <w:rStyle w:val="240"/>
              <w:rFonts w:hAnsi="宋体"/>
              <w:sz w:val="21"/>
              <w:szCs w:val="21"/>
            </w:rPr>
            <w:t>4</w:t>
          </w:r>
          <w:r>
            <w:rPr>
              <w:rStyle w:val="240"/>
              <w:rFonts w:hint="eastAsia" w:hAnsi="宋体"/>
              <w:sz w:val="21"/>
              <w:szCs w:val="21"/>
            </w:rPr>
            <w:t xml:space="preserve"> </w:t>
          </w:r>
          <w:r>
            <w:rPr>
              <w:rStyle w:val="240"/>
              <w:rFonts w:hAnsi="宋体"/>
              <w:sz w:val="21"/>
              <w:szCs w:val="21"/>
            </w:rPr>
            <w:t>kg</w:t>
          </w:r>
          <w:r>
            <w:rPr>
              <w:rStyle w:val="240"/>
              <w:rFonts w:hint="eastAsia" w:hAnsi="宋体"/>
              <w:sz w:val="21"/>
              <w:szCs w:val="21"/>
            </w:rPr>
            <w:t>～</w:t>
          </w:r>
          <w:r>
            <w:rPr>
              <w:rStyle w:val="240"/>
              <w:rFonts w:hAnsi="宋体"/>
              <w:sz w:val="21"/>
              <w:szCs w:val="21"/>
            </w:rPr>
            <w:t>5</w:t>
          </w:r>
          <w:r>
            <w:rPr>
              <w:rStyle w:val="240"/>
              <w:rFonts w:hint="eastAsia" w:hAnsi="宋体"/>
              <w:sz w:val="21"/>
              <w:szCs w:val="21"/>
            </w:rPr>
            <w:t xml:space="preserve"> </w:t>
          </w:r>
          <w:r>
            <w:rPr>
              <w:rStyle w:val="240"/>
              <w:rFonts w:hAnsi="宋体"/>
              <w:sz w:val="21"/>
              <w:szCs w:val="21"/>
            </w:rPr>
            <w:t>kg</w:t>
          </w:r>
          <w:r>
            <w:rPr>
              <w:rStyle w:val="240"/>
              <w:rFonts w:hint="eastAsia" w:hAnsi="宋体"/>
              <w:sz w:val="21"/>
              <w:szCs w:val="21"/>
            </w:rPr>
            <w:t>做种肥</w:t>
          </w:r>
          <w:r>
            <w:rPr>
              <w:rStyle w:val="240"/>
              <w:rFonts w:hAnsi="宋体"/>
              <w:sz w:val="21"/>
              <w:szCs w:val="21"/>
            </w:rPr>
            <w:t xml:space="preserve">, </w:t>
          </w:r>
          <w:r>
            <w:rPr>
              <w:rStyle w:val="240"/>
              <w:rFonts w:hint="eastAsia" w:hAnsi="宋体"/>
              <w:sz w:val="21"/>
              <w:szCs w:val="21"/>
            </w:rPr>
            <w:t>施肥深度</w:t>
          </w:r>
          <w:r>
            <w:rPr>
              <w:rStyle w:val="240"/>
              <w:rFonts w:hAnsi="宋体"/>
              <w:sz w:val="21"/>
              <w:szCs w:val="21"/>
            </w:rPr>
            <w:t>8</w:t>
          </w:r>
          <w:r>
            <w:rPr>
              <w:rStyle w:val="240"/>
              <w:rFonts w:hint="eastAsia" w:hAnsi="宋体"/>
              <w:sz w:val="21"/>
              <w:szCs w:val="21"/>
            </w:rPr>
            <w:t xml:space="preserve"> ㎝～</w:t>
          </w:r>
          <w:r>
            <w:rPr>
              <w:rStyle w:val="240"/>
              <w:rFonts w:hAnsi="宋体"/>
              <w:sz w:val="21"/>
              <w:szCs w:val="21"/>
            </w:rPr>
            <w:t>10</w:t>
          </w:r>
          <w:r>
            <w:rPr>
              <w:rStyle w:val="240"/>
              <w:rFonts w:hint="eastAsia" w:hAnsi="宋体"/>
              <w:sz w:val="21"/>
              <w:szCs w:val="21"/>
            </w:rPr>
            <w:t xml:space="preserve"> ㎝。</w:t>
          </w:r>
          <w:r>
            <w:rPr>
              <w:rStyle w:val="240"/>
              <w:rFonts w:hAnsi="宋体"/>
              <w:sz w:val="21"/>
              <w:szCs w:val="21"/>
            </w:rPr>
            <w:t xml:space="preserve"> </w:t>
          </w:r>
        </w:p>
        <w:p>
          <w:pPr>
            <w:pStyle w:val="237"/>
            <w:numPr>
              <w:ilvl w:val="1"/>
              <w:numId w:val="0"/>
            </w:numPr>
            <w:spacing w:before="156" w:beforeLines="50" w:after="156" w:afterLines="50" w:line="360" w:lineRule="auto"/>
            <w:jc w:val="left"/>
            <w:outlineLvl w:val="2"/>
            <w:rPr>
              <w:rFonts w:cs="宋体"/>
              <w:sz w:val="21"/>
              <w:szCs w:val="21"/>
            </w:rPr>
          </w:pPr>
          <w:r>
            <w:rPr>
              <w:rFonts w:cs="宋体"/>
              <w:sz w:val="21"/>
              <w:szCs w:val="21"/>
            </w:rPr>
            <w:t>7</w:t>
          </w:r>
          <w:r>
            <w:rPr>
              <w:rFonts w:hint="eastAsia" w:cs="宋体"/>
              <w:sz w:val="21"/>
              <w:szCs w:val="21"/>
            </w:rPr>
            <w:t>.4播种方法</w:t>
          </w:r>
        </w:p>
        <w:p>
          <w:pPr>
            <w:pStyle w:val="242"/>
            <w:numPr>
              <w:ilvl w:val="2"/>
              <w:numId w:val="0"/>
            </w:numPr>
            <w:spacing w:before="156" w:beforeLines="50" w:after="156" w:afterLines="50" w:line="360" w:lineRule="auto"/>
            <w:jc w:val="left"/>
            <w:rPr>
              <w:sz w:val="21"/>
              <w:szCs w:val="21"/>
            </w:rPr>
          </w:pPr>
          <w:r>
            <w:rPr>
              <w:sz w:val="21"/>
              <w:szCs w:val="21"/>
            </w:rPr>
            <w:t>7</w:t>
          </w:r>
          <w:r>
            <w:rPr>
              <w:rFonts w:hint="eastAsia"/>
              <w:sz w:val="21"/>
              <w:szCs w:val="21"/>
            </w:rPr>
            <w:t>.4.1露地种植</w:t>
          </w:r>
        </w:p>
        <w:p>
          <w:pPr>
            <w:pStyle w:val="236"/>
            <w:adjustRightInd w:val="0"/>
            <w:snapToGrid w:val="0"/>
            <w:spacing w:line="360" w:lineRule="auto"/>
            <w:ind w:firstLine="420"/>
            <w:rPr>
              <w:rStyle w:val="240"/>
              <w:rFonts w:hAnsi="宋体" w:cs="宋体"/>
              <w:sz w:val="21"/>
              <w:szCs w:val="21"/>
            </w:rPr>
          </w:pPr>
          <w:r>
            <w:rPr>
              <w:rStyle w:val="240"/>
              <w:rFonts w:hint="eastAsia" w:hAnsi="宋体" w:cs="宋体"/>
              <w:sz w:val="21"/>
              <w:szCs w:val="21"/>
            </w:rPr>
            <w:t>匀垄开沟种植，行距40 cm～45 cm，用谷子精量播种机一次性完成开沟、施肥、播种、镇压等作业，播种深度4 cm～5 cm。</w:t>
          </w:r>
        </w:p>
        <w:p>
          <w:pPr>
            <w:pStyle w:val="242"/>
            <w:numPr>
              <w:ilvl w:val="2"/>
              <w:numId w:val="0"/>
            </w:numPr>
            <w:spacing w:before="156" w:beforeLines="50" w:after="156" w:afterLines="50" w:line="360" w:lineRule="auto"/>
            <w:jc w:val="left"/>
            <w:rPr>
              <w:sz w:val="21"/>
              <w:szCs w:val="21"/>
            </w:rPr>
          </w:pPr>
          <w:r>
            <w:rPr>
              <w:sz w:val="21"/>
              <w:szCs w:val="21"/>
            </w:rPr>
            <w:t>7</w:t>
          </w:r>
          <w:r>
            <w:rPr>
              <w:rFonts w:hint="eastAsia"/>
              <w:sz w:val="21"/>
              <w:szCs w:val="21"/>
            </w:rPr>
            <w:t>.4.2半膜膜下滴灌种植</w:t>
          </w:r>
        </w:p>
        <w:p>
          <w:pPr>
            <w:pStyle w:val="243"/>
            <w:numPr>
              <w:ilvl w:val="0"/>
              <w:numId w:val="0"/>
            </w:numPr>
            <w:adjustRightInd w:val="0"/>
            <w:snapToGrid w:val="0"/>
            <w:spacing w:line="360" w:lineRule="auto"/>
            <w:ind w:firstLine="420" w:firstLineChars="200"/>
            <w:rPr>
              <w:rStyle w:val="240"/>
              <w:rFonts w:hAnsi="宋体" w:cs="宋体"/>
              <w:sz w:val="21"/>
              <w:szCs w:val="21"/>
            </w:rPr>
          </w:pPr>
          <w:r>
            <w:rPr>
              <w:rStyle w:val="240"/>
              <w:rFonts w:hint="eastAsia" w:hAnsi="宋体" w:cs="宋体"/>
              <w:sz w:val="21"/>
              <w:szCs w:val="21"/>
            </w:rPr>
            <w:t>大小垄种植，大垄宽60 cm～70 cm，小垄宽40 cm，穴距16.5 cm，每亩播种0.75 ～0.8 万穴，每穴2 ～ 3株。</w:t>
          </w:r>
        </w:p>
        <w:p>
          <w:pPr>
            <w:pStyle w:val="243"/>
            <w:numPr>
              <w:ilvl w:val="0"/>
              <w:numId w:val="0"/>
            </w:numPr>
            <w:adjustRightInd w:val="0"/>
            <w:snapToGrid w:val="0"/>
            <w:spacing w:line="360" w:lineRule="auto"/>
            <w:ind w:firstLine="420" w:firstLineChars="200"/>
            <w:rPr>
              <w:sz w:val="21"/>
              <w:szCs w:val="21"/>
            </w:rPr>
          </w:pPr>
          <w:r>
            <w:rPr>
              <w:rFonts w:hint="eastAsia"/>
              <w:sz w:val="21"/>
              <w:szCs w:val="21"/>
            </w:rPr>
            <w:t>半膜膜下滴灌沟播模式选用膜下滴灌精量播种机一次性完成开沟起垄、侧深施肥、铺滴灌带、覆膜、破膜穴播、覆土镇压等作业程序。</w:t>
          </w:r>
        </w:p>
        <w:p>
          <w:pPr>
            <w:pStyle w:val="243"/>
            <w:numPr>
              <w:ilvl w:val="0"/>
              <w:numId w:val="0"/>
            </w:numPr>
            <w:adjustRightInd w:val="0"/>
            <w:snapToGrid w:val="0"/>
            <w:spacing w:line="360" w:lineRule="auto"/>
            <w:ind w:firstLine="420" w:firstLineChars="200"/>
            <w:rPr>
              <w:rStyle w:val="240"/>
              <w:rFonts w:hAnsi="宋体"/>
              <w:sz w:val="21"/>
              <w:szCs w:val="21"/>
            </w:rPr>
          </w:pPr>
          <w:r>
            <w:rPr>
              <w:rFonts w:hint="eastAsia"/>
              <w:sz w:val="21"/>
              <w:szCs w:val="21"/>
            </w:rPr>
            <w:t>半</w:t>
          </w:r>
          <w:r>
            <w:rPr>
              <w:rStyle w:val="240"/>
              <w:rFonts w:hint="eastAsia" w:hAnsi="宋体"/>
              <w:sz w:val="21"/>
              <w:szCs w:val="21"/>
            </w:rPr>
            <w:t>膜膜下滴灌平播模式采用施肥点播机一次性完成开沟、侧深施肥、标准覆膜、破膜穴播、覆土镇压等作业程序。两种模式播种深度均为</w:t>
          </w:r>
          <w:r>
            <w:rPr>
              <w:rStyle w:val="240"/>
              <w:rFonts w:hAnsi="宋体"/>
              <w:sz w:val="21"/>
              <w:szCs w:val="21"/>
            </w:rPr>
            <w:t>3</w:t>
          </w:r>
          <w:r>
            <w:rPr>
              <w:rStyle w:val="240"/>
              <w:rFonts w:hint="eastAsia" w:hAnsi="宋体"/>
              <w:sz w:val="21"/>
              <w:szCs w:val="21"/>
            </w:rPr>
            <w:t xml:space="preserve"> </w:t>
          </w:r>
          <w:r>
            <w:rPr>
              <w:rStyle w:val="240"/>
              <w:rFonts w:hAnsi="宋体"/>
              <w:sz w:val="21"/>
              <w:szCs w:val="21"/>
            </w:rPr>
            <w:t>cm</w:t>
          </w:r>
          <w:r>
            <w:rPr>
              <w:rStyle w:val="240"/>
              <w:rFonts w:hint="eastAsia" w:hAnsi="宋体"/>
              <w:sz w:val="21"/>
              <w:szCs w:val="21"/>
            </w:rPr>
            <w:t>～</w:t>
          </w:r>
          <w:r>
            <w:rPr>
              <w:rStyle w:val="240"/>
              <w:rFonts w:hAnsi="宋体"/>
              <w:sz w:val="21"/>
              <w:szCs w:val="21"/>
            </w:rPr>
            <w:t>5</w:t>
          </w:r>
          <w:r>
            <w:rPr>
              <w:rStyle w:val="240"/>
              <w:rFonts w:hint="eastAsia" w:hAnsi="宋体"/>
              <w:sz w:val="21"/>
              <w:szCs w:val="21"/>
            </w:rPr>
            <w:t xml:space="preserve"> </w:t>
          </w:r>
          <w:r>
            <w:rPr>
              <w:rStyle w:val="240"/>
              <w:rFonts w:hAnsi="宋体"/>
              <w:sz w:val="21"/>
              <w:szCs w:val="21"/>
            </w:rPr>
            <w:t>cm</w:t>
          </w:r>
          <w:r>
            <w:rPr>
              <w:rStyle w:val="240"/>
              <w:rFonts w:hint="eastAsia" w:hAnsi="宋体"/>
              <w:sz w:val="21"/>
              <w:szCs w:val="21"/>
            </w:rPr>
            <w:t>。</w:t>
          </w:r>
        </w:p>
        <w:p>
          <w:pPr>
            <w:pStyle w:val="242"/>
            <w:numPr>
              <w:ilvl w:val="2"/>
              <w:numId w:val="0"/>
            </w:numPr>
            <w:spacing w:before="156" w:beforeLines="50" w:after="156" w:afterLines="50" w:line="360" w:lineRule="auto"/>
            <w:jc w:val="left"/>
            <w:rPr>
              <w:rFonts w:cs="宋体"/>
              <w:sz w:val="21"/>
              <w:szCs w:val="21"/>
            </w:rPr>
          </w:pPr>
          <w:r>
            <w:rPr>
              <w:sz w:val="21"/>
              <w:szCs w:val="21"/>
            </w:rPr>
            <w:t>7</w:t>
          </w:r>
          <w:r>
            <w:rPr>
              <w:rFonts w:hint="eastAsia"/>
              <w:sz w:val="21"/>
              <w:szCs w:val="21"/>
            </w:rPr>
            <w:t>.4.3全膜覆盖种植</w:t>
          </w:r>
        </w:p>
        <w:p>
          <w:pPr>
            <w:pStyle w:val="236"/>
            <w:adjustRightInd w:val="0"/>
            <w:snapToGrid w:val="0"/>
            <w:spacing w:line="360" w:lineRule="auto"/>
            <w:ind w:firstLine="420"/>
            <w:rPr>
              <w:rStyle w:val="240"/>
              <w:rFonts w:hAnsi="宋体"/>
              <w:sz w:val="21"/>
              <w:szCs w:val="21"/>
            </w:rPr>
          </w:pPr>
          <w:r>
            <w:rPr>
              <w:rStyle w:val="240"/>
              <w:rFonts w:hint="eastAsia" w:hAnsi="宋体" w:cs="宋体"/>
              <w:sz w:val="21"/>
              <w:szCs w:val="21"/>
            </w:rPr>
            <w:t>大小垄种植，大垄宽60 cm～70 cm，小垄宽40 cm，穴距16.5 cm，每亩播种0.75～0.8 万穴，每穴2～3株。</w:t>
          </w:r>
          <w:r>
            <w:rPr>
              <w:rFonts w:hint="eastAsia"/>
              <w:sz w:val="21"/>
              <w:szCs w:val="21"/>
            </w:rPr>
            <w:t>用</w:t>
          </w:r>
          <w:r>
            <w:rPr>
              <w:rStyle w:val="240"/>
              <w:rFonts w:hint="eastAsia" w:hAnsi="宋体"/>
              <w:sz w:val="21"/>
              <w:szCs w:val="21"/>
            </w:rPr>
            <w:t>全膜覆盖精量播种机沟播种植，一次性完成开沟、起垄、施肥、覆膜、破膜穴播、镇压等作业程序，播种深度</w:t>
          </w:r>
          <w:r>
            <w:rPr>
              <w:rStyle w:val="240"/>
              <w:rFonts w:hAnsi="宋体"/>
              <w:sz w:val="21"/>
              <w:szCs w:val="21"/>
            </w:rPr>
            <w:t>3</w:t>
          </w:r>
          <w:r>
            <w:rPr>
              <w:rStyle w:val="240"/>
              <w:rFonts w:hint="eastAsia" w:hAnsi="宋体"/>
              <w:sz w:val="21"/>
              <w:szCs w:val="21"/>
            </w:rPr>
            <w:t xml:space="preserve"> </w:t>
          </w:r>
          <w:r>
            <w:rPr>
              <w:rStyle w:val="240"/>
              <w:rFonts w:hAnsi="宋体"/>
              <w:sz w:val="21"/>
              <w:szCs w:val="21"/>
            </w:rPr>
            <w:t>cm</w:t>
          </w:r>
          <w:r>
            <w:rPr>
              <w:rStyle w:val="240"/>
              <w:rFonts w:hint="eastAsia" w:hAnsi="宋体"/>
              <w:sz w:val="21"/>
              <w:szCs w:val="21"/>
            </w:rPr>
            <w:t>～</w:t>
          </w:r>
          <w:r>
            <w:rPr>
              <w:rStyle w:val="240"/>
              <w:rFonts w:hAnsi="宋体"/>
              <w:sz w:val="21"/>
              <w:szCs w:val="21"/>
            </w:rPr>
            <w:t>5</w:t>
          </w:r>
          <w:r>
            <w:rPr>
              <w:rStyle w:val="240"/>
              <w:rFonts w:hint="eastAsia" w:hAnsi="宋体"/>
              <w:sz w:val="21"/>
              <w:szCs w:val="21"/>
            </w:rPr>
            <w:t xml:space="preserve"> </w:t>
          </w:r>
          <w:r>
            <w:rPr>
              <w:rStyle w:val="240"/>
              <w:rFonts w:hAnsi="宋体"/>
              <w:sz w:val="21"/>
              <w:szCs w:val="21"/>
            </w:rPr>
            <w:t>cm</w:t>
          </w:r>
          <w:r>
            <w:rPr>
              <w:rStyle w:val="240"/>
              <w:rFonts w:hint="eastAsia" w:hAnsi="宋体"/>
              <w:sz w:val="21"/>
              <w:szCs w:val="21"/>
            </w:rPr>
            <w:t>。</w:t>
          </w:r>
        </w:p>
        <w:p>
          <w:pPr>
            <w:pStyle w:val="235"/>
            <w:numPr>
              <w:ilvl w:val="0"/>
              <w:numId w:val="0"/>
            </w:numPr>
            <w:adjustRightInd w:val="0"/>
            <w:snapToGrid w:val="0"/>
            <w:spacing w:before="312" w:beforeLines="100" w:after="312" w:afterLines="100" w:line="360" w:lineRule="auto"/>
            <w:ind w:leftChars="0"/>
            <w:rPr>
              <w:rFonts w:hAnsi="黑体" w:cs="宋体"/>
              <w:sz w:val="21"/>
              <w:szCs w:val="21"/>
            </w:rPr>
          </w:pPr>
          <w:r>
            <w:rPr>
              <w:sz w:val="21"/>
              <w:szCs w:val="21"/>
            </w:rPr>
            <w:t>8</w:t>
          </w:r>
          <w:r>
            <w:rPr>
              <w:rFonts w:hint="eastAsia"/>
              <w:sz w:val="21"/>
              <w:szCs w:val="21"/>
            </w:rPr>
            <w:t xml:space="preserve"> 田间管理</w:t>
          </w:r>
        </w:p>
        <w:p>
          <w:pPr>
            <w:pStyle w:val="237"/>
            <w:numPr>
              <w:ilvl w:val="1"/>
              <w:numId w:val="0"/>
            </w:numPr>
            <w:spacing w:before="156" w:beforeLines="50" w:after="156" w:afterLines="50" w:line="360" w:lineRule="auto"/>
            <w:jc w:val="left"/>
            <w:outlineLvl w:val="2"/>
            <w:rPr>
              <w:sz w:val="21"/>
              <w:szCs w:val="21"/>
            </w:rPr>
          </w:pPr>
          <w:r>
            <w:rPr>
              <w:sz w:val="21"/>
              <w:szCs w:val="21"/>
            </w:rPr>
            <w:t>8</w:t>
          </w:r>
          <w:r>
            <w:rPr>
              <w:rFonts w:hint="eastAsia"/>
              <w:sz w:val="21"/>
              <w:szCs w:val="21"/>
            </w:rPr>
            <w:t>.1查苗护膜</w:t>
          </w:r>
        </w:p>
        <w:p>
          <w:pPr>
            <w:pStyle w:val="236"/>
            <w:adjustRightInd w:val="0"/>
            <w:snapToGrid w:val="0"/>
            <w:spacing w:line="360" w:lineRule="auto"/>
            <w:ind w:firstLine="420"/>
            <w:rPr>
              <w:rStyle w:val="240"/>
              <w:rFonts w:hAnsi="宋体"/>
              <w:sz w:val="21"/>
              <w:szCs w:val="21"/>
            </w:rPr>
          </w:pPr>
          <w:r>
            <w:rPr>
              <w:rFonts w:hint="eastAsia"/>
              <w:sz w:val="21"/>
              <w:szCs w:val="21"/>
            </w:rPr>
            <w:t>播种</w:t>
          </w:r>
          <w:r>
            <w:rPr>
              <w:rStyle w:val="240"/>
              <w:rFonts w:hint="eastAsia" w:hAnsi="宋体"/>
              <w:sz w:val="21"/>
              <w:szCs w:val="21"/>
            </w:rPr>
            <w:t>后应及时检查出苗情况。地膜覆盖田如遇大风揭膜，应及时用土封严，如遇苗孔错位、覆土层板结时，应及时放苗。</w:t>
          </w:r>
        </w:p>
        <w:p>
          <w:pPr>
            <w:pStyle w:val="237"/>
            <w:numPr>
              <w:ilvl w:val="1"/>
              <w:numId w:val="0"/>
            </w:numPr>
            <w:spacing w:before="156" w:beforeLines="50" w:after="156" w:afterLines="50" w:line="360" w:lineRule="auto"/>
            <w:jc w:val="left"/>
            <w:outlineLvl w:val="2"/>
            <w:rPr>
              <w:rFonts w:cs="宋体"/>
              <w:sz w:val="21"/>
              <w:szCs w:val="21"/>
            </w:rPr>
          </w:pPr>
          <w:r>
            <w:rPr>
              <w:sz w:val="21"/>
              <w:szCs w:val="21"/>
            </w:rPr>
            <w:t>8</w:t>
          </w:r>
          <w:r>
            <w:rPr>
              <w:rFonts w:hint="eastAsia"/>
              <w:sz w:val="21"/>
              <w:szCs w:val="21"/>
            </w:rPr>
            <w:t>.2间</w:t>
          </w:r>
          <w:r>
            <w:rPr>
              <w:rFonts w:hint="eastAsia"/>
              <w:color w:val="000000"/>
              <w:sz w:val="21"/>
              <w:szCs w:val="21"/>
            </w:rPr>
            <w:t>、</w:t>
          </w:r>
          <w:r>
            <w:rPr>
              <w:rFonts w:hint="eastAsia"/>
              <w:sz w:val="21"/>
              <w:szCs w:val="21"/>
            </w:rPr>
            <w:t>定苗</w:t>
          </w:r>
        </w:p>
        <w:p>
          <w:pPr>
            <w:pStyle w:val="242"/>
            <w:numPr>
              <w:ilvl w:val="2"/>
              <w:numId w:val="0"/>
            </w:numPr>
            <w:spacing w:before="156" w:beforeLines="50" w:after="156" w:afterLines="50" w:line="360" w:lineRule="auto"/>
            <w:jc w:val="left"/>
            <w:rPr>
              <w:sz w:val="21"/>
              <w:szCs w:val="21"/>
            </w:rPr>
          </w:pPr>
          <w:r>
            <w:rPr>
              <w:sz w:val="21"/>
              <w:szCs w:val="21"/>
            </w:rPr>
            <w:t>8</w:t>
          </w:r>
          <w:r>
            <w:rPr>
              <w:rFonts w:hint="eastAsia"/>
              <w:sz w:val="21"/>
              <w:szCs w:val="21"/>
            </w:rPr>
            <w:t>.2.1露地种植</w:t>
          </w:r>
        </w:p>
        <w:p>
          <w:pPr>
            <w:pStyle w:val="236"/>
            <w:adjustRightInd w:val="0"/>
            <w:snapToGrid w:val="0"/>
            <w:spacing w:line="360" w:lineRule="auto"/>
            <w:ind w:firstLine="420"/>
            <w:rPr>
              <w:sz w:val="21"/>
              <w:szCs w:val="21"/>
            </w:rPr>
          </w:pPr>
          <w:r>
            <w:rPr>
              <w:rFonts w:hint="eastAsia"/>
              <w:sz w:val="21"/>
              <w:szCs w:val="21"/>
            </w:rPr>
            <w:t xml:space="preserve">在谷子3叶1心时开始间苗、定苗；露地种植每亩留苗2万株～3万株，株距5.0 </w:t>
          </w:r>
          <w:r>
            <w:rPr>
              <w:rFonts w:ascii="Times New Roman"/>
              <w:sz w:val="21"/>
              <w:szCs w:val="21"/>
            </w:rPr>
            <w:t>cm</w:t>
          </w:r>
          <w:r>
            <w:rPr>
              <w:rFonts w:hint="eastAsia"/>
              <w:sz w:val="21"/>
              <w:szCs w:val="21"/>
            </w:rPr>
            <w:t xml:space="preserve">～8.0 </w:t>
          </w:r>
          <w:r>
            <w:rPr>
              <w:rFonts w:ascii="Times New Roman"/>
              <w:sz w:val="21"/>
              <w:szCs w:val="21"/>
            </w:rPr>
            <w:t>cm</w:t>
          </w:r>
          <w:r>
            <w:rPr>
              <w:rFonts w:hint="eastAsia"/>
              <w:sz w:val="21"/>
              <w:szCs w:val="21"/>
            </w:rPr>
            <w:t>。半膜膜下滴灌种植及全膜覆盖种植每亩留苗1.5万株～ 2.4万</w:t>
          </w:r>
          <w:r>
            <w:rPr>
              <w:rFonts w:hint="eastAsia"/>
              <w:color w:val="000000"/>
              <w:sz w:val="21"/>
              <w:szCs w:val="21"/>
            </w:rPr>
            <w:t>株。</w:t>
          </w:r>
        </w:p>
        <w:p>
          <w:pPr>
            <w:pStyle w:val="237"/>
            <w:numPr>
              <w:ilvl w:val="1"/>
              <w:numId w:val="0"/>
            </w:numPr>
            <w:spacing w:before="156" w:beforeLines="50" w:after="156" w:afterLines="50" w:line="360" w:lineRule="auto"/>
            <w:jc w:val="left"/>
            <w:outlineLvl w:val="2"/>
            <w:rPr>
              <w:sz w:val="21"/>
              <w:szCs w:val="21"/>
            </w:rPr>
          </w:pPr>
          <w:r>
            <w:rPr>
              <w:sz w:val="21"/>
              <w:szCs w:val="21"/>
            </w:rPr>
            <w:t>8</w:t>
          </w:r>
          <w:r>
            <w:rPr>
              <w:rFonts w:hint="eastAsia"/>
              <w:sz w:val="21"/>
              <w:szCs w:val="21"/>
            </w:rPr>
            <w:t>.3中耕</w:t>
          </w:r>
        </w:p>
        <w:p>
          <w:pPr>
            <w:pStyle w:val="242"/>
            <w:numPr>
              <w:ilvl w:val="2"/>
              <w:numId w:val="0"/>
            </w:numPr>
            <w:spacing w:before="156" w:beforeLines="50" w:after="156" w:afterLines="50" w:line="360" w:lineRule="auto"/>
            <w:jc w:val="left"/>
            <w:rPr>
              <w:sz w:val="21"/>
              <w:szCs w:val="21"/>
            </w:rPr>
          </w:pPr>
          <w:r>
            <w:rPr>
              <w:sz w:val="21"/>
              <w:szCs w:val="21"/>
            </w:rPr>
            <w:t>8</w:t>
          </w:r>
          <w:r>
            <w:rPr>
              <w:rFonts w:hint="eastAsia"/>
              <w:sz w:val="21"/>
              <w:szCs w:val="21"/>
            </w:rPr>
            <w:t>.3.1露地种植</w:t>
          </w:r>
        </w:p>
        <w:p>
          <w:pPr>
            <w:pStyle w:val="236"/>
            <w:adjustRightInd w:val="0"/>
            <w:snapToGrid w:val="0"/>
            <w:spacing w:line="360" w:lineRule="auto"/>
            <w:ind w:firstLine="420"/>
            <w:rPr>
              <w:sz w:val="21"/>
              <w:szCs w:val="21"/>
            </w:rPr>
          </w:pPr>
          <w:r>
            <w:rPr>
              <w:rFonts w:hint="eastAsia"/>
              <w:sz w:val="21"/>
              <w:szCs w:val="21"/>
            </w:rPr>
            <w:t>结合间、定苗垄间浅耘；拔节期深中耕，同时拔除垄内大草。</w:t>
          </w:r>
        </w:p>
        <w:p>
          <w:pPr>
            <w:pStyle w:val="242"/>
            <w:numPr>
              <w:ilvl w:val="2"/>
              <w:numId w:val="0"/>
            </w:numPr>
            <w:spacing w:before="156" w:beforeLines="50" w:after="156" w:afterLines="50" w:line="360" w:lineRule="auto"/>
            <w:jc w:val="left"/>
            <w:rPr>
              <w:sz w:val="21"/>
              <w:szCs w:val="21"/>
            </w:rPr>
          </w:pPr>
          <w:r>
            <w:rPr>
              <w:sz w:val="21"/>
              <w:szCs w:val="21"/>
            </w:rPr>
            <w:t>8</w:t>
          </w:r>
          <w:r>
            <w:rPr>
              <w:rFonts w:hint="eastAsia"/>
              <w:sz w:val="21"/>
              <w:szCs w:val="21"/>
            </w:rPr>
            <w:t>.3.2半膜膜下滴灌种植</w:t>
          </w:r>
        </w:p>
        <w:p>
          <w:pPr>
            <w:pStyle w:val="236"/>
            <w:adjustRightInd w:val="0"/>
            <w:snapToGrid w:val="0"/>
            <w:spacing w:line="360" w:lineRule="auto"/>
            <w:ind w:firstLine="420"/>
            <w:rPr>
              <w:sz w:val="21"/>
              <w:szCs w:val="21"/>
            </w:rPr>
          </w:pPr>
          <w:r>
            <w:rPr>
              <w:rFonts w:hint="eastAsia"/>
              <w:sz w:val="21"/>
              <w:szCs w:val="21"/>
            </w:rPr>
            <w:t>在谷子拔节前利用中耕机清除杂草，将垄间杂草翻入地下，视杂草生长情况趟地1～2遍，趟地深3</w:t>
          </w:r>
          <w:r>
            <w:rPr>
              <w:rFonts w:ascii="Times New Roman"/>
              <w:sz w:val="21"/>
              <w:szCs w:val="21"/>
            </w:rPr>
            <w:t xml:space="preserve"> cm</w:t>
          </w:r>
          <w:r>
            <w:rPr>
              <w:rFonts w:hint="eastAsia"/>
              <w:sz w:val="21"/>
              <w:szCs w:val="21"/>
            </w:rPr>
            <w:t>～4</w:t>
          </w:r>
          <w:r>
            <w:rPr>
              <w:rFonts w:ascii="Times New Roman"/>
              <w:sz w:val="21"/>
              <w:szCs w:val="21"/>
            </w:rPr>
            <w:t xml:space="preserve"> cm</w:t>
          </w:r>
          <w:r>
            <w:rPr>
              <w:rFonts w:hint="eastAsia"/>
              <w:sz w:val="21"/>
              <w:szCs w:val="21"/>
            </w:rPr>
            <w:t>。</w:t>
          </w:r>
        </w:p>
        <w:p>
          <w:pPr>
            <w:pStyle w:val="237"/>
            <w:numPr>
              <w:ilvl w:val="1"/>
              <w:numId w:val="0"/>
            </w:numPr>
            <w:spacing w:before="156" w:beforeLines="50" w:after="156" w:afterLines="50" w:line="360" w:lineRule="auto"/>
            <w:jc w:val="left"/>
            <w:outlineLvl w:val="2"/>
            <w:rPr>
              <w:sz w:val="21"/>
              <w:szCs w:val="21"/>
            </w:rPr>
          </w:pPr>
          <w:r>
            <w:rPr>
              <w:sz w:val="21"/>
              <w:szCs w:val="21"/>
            </w:rPr>
            <w:t>8</w:t>
          </w:r>
          <w:r>
            <w:rPr>
              <w:rFonts w:hint="eastAsia"/>
              <w:sz w:val="21"/>
              <w:szCs w:val="21"/>
            </w:rPr>
            <w:t>.4浇水</w:t>
          </w:r>
        </w:p>
        <w:p>
          <w:pPr>
            <w:pStyle w:val="236"/>
            <w:adjustRightInd w:val="0"/>
            <w:snapToGrid w:val="0"/>
            <w:spacing w:line="360" w:lineRule="auto"/>
            <w:ind w:firstLine="420"/>
            <w:rPr>
              <w:sz w:val="21"/>
              <w:szCs w:val="21"/>
            </w:rPr>
          </w:pPr>
          <w:r>
            <w:rPr>
              <w:rFonts w:hint="eastAsia"/>
              <w:sz w:val="21"/>
              <w:szCs w:val="21"/>
            </w:rPr>
            <w:t>有灌溉条件的地区，采用膜下滴灌。播种后及时浇出苗水，每亩浇水15 m</w:t>
          </w:r>
          <w:r>
            <w:rPr>
              <w:rFonts w:hint="eastAsia"/>
              <w:sz w:val="21"/>
              <w:szCs w:val="21"/>
              <w:vertAlign w:val="superscript"/>
            </w:rPr>
            <w:t>3</w:t>
          </w:r>
          <w:r>
            <w:rPr>
              <w:rFonts w:hint="eastAsia"/>
              <w:sz w:val="21"/>
              <w:szCs w:val="21"/>
            </w:rPr>
            <w:t>～20 m</w:t>
          </w:r>
          <w:r>
            <w:rPr>
              <w:rFonts w:hint="eastAsia"/>
              <w:sz w:val="21"/>
              <w:szCs w:val="21"/>
              <w:vertAlign w:val="superscript"/>
            </w:rPr>
            <w:t>3</w:t>
          </w:r>
          <w:r>
            <w:rPr>
              <w:rFonts w:hint="eastAsia"/>
              <w:sz w:val="21"/>
              <w:szCs w:val="21"/>
            </w:rPr>
            <w:t>，在拔节期至灌浆期视土壤墒情及降雨情况浇水1～3次。</w:t>
          </w:r>
        </w:p>
        <w:p>
          <w:pPr>
            <w:pStyle w:val="237"/>
            <w:numPr>
              <w:ilvl w:val="1"/>
              <w:numId w:val="0"/>
            </w:numPr>
            <w:spacing w:before="156" w:beforeLines="50" w:after="156" w:afterLines="50" w:line="360" w:lineRule="auto"/>
            <w:jc w:val="left"/>
            <w:outlineLvl w:val="2"/>
            <w:rPr>
              <w:sz w:val="21"/>
              <w:szCs w:val="21"/>
            </w:rPr>
          </w:pPr>
          <w:r>
            <w:rPr>
              <w:sz w:val="21"/>
              <w:szCs w:val="21"/>
            </w:rPr>
            <w:t>8</w:t>
          </w:r>
          <w:r>
            <w:rPr>
              <w:rFonts w:hint="eastAsia"/>
              <w:sz w:val="21"/>
              <w:szCs w:val="21"/>
            </w:rPr>
            <w:t>.5追肥</w:t>
          </w:r>
        </w:p>
        <w:p>
          <w:pPr>
            <w:pStyle w:val="242"/>
            <w:numPr>
              <w:ilvl w:val="2"/>
              <w:numId w:val="0"/>
            </w:numPr>
            <w:spacing w:before="156" w:beforeLines="50" w:after="156" w:afterLines="50" w:line="360" w:lineRule="auto"/>
            <w:jc w:val="left"/>
            <w:rPr>
              <w:sz w:val="21"/>
              <w:szCs w:val="21"/>
            </w:rPr>
          </w:pPr>
          <w:r>
            <w:rPr>
              <w:sz w:val="21"/>
              <w:szCs w:val="21"/>
            </w:rPr>
            <w:t>8</w:t>
          </w:r>
          <w:r>
            <w:rPr>
              <w:rFonts w:hint="eastAsia"/>
              <w:sz w:val="21"/>
              <w:szCs w:val="21"/>
            </w:rPr>
            <w:t>.5.1露地种植</w:t>
          </w:r>
        </w:p>
        <w:p>
          <w:pPr>
            <w:pStyle w:val="236"/>
            <w:adjustRightInd w:val="0"/>
            <w:snapToGrid w:val="0"/>
            <w:spacing w:line="360" w:lineRule="auto"/>
            <w:ind w:firstLine="420"/>
            <w:rPr>
              <w:sz w:val="21"/>
              <w:szCs w:val="21"/>
            </w:rPr>
          </w:pPr>
          <w:r>
            <w:rPr>
              <w:rFonts w:hint="eastAsia"/>
              <w:sz w:val="21"/>
              <w:szCs w:val="21"/>
            </w:rPr>
            <w:t>拔节期每亩追施</w:t>
          </w:r>
          <w:r>
            <w:rPr>
              <w:rStyle w:val="240"/>
              <w:rFonts w:hint="eastAsia" w:hAnsi="宋体"/>
              <w:sz w:val="21"/>
              <w:szCs w:val="21"/>
            </w:rPr>
            <w:t>尿素（</w:t>
          </w:r>
          <w:r>
            <w:rPr>
              <w:rStyle w:val="240"/>
              <w:rFonts w:hAnsi="宋体"/>
              <w:sz w:val="21"/>
              <w:szCs w:val="21"/>
            </w:rPr>
            <w:t>46%</w:t>
          </w:r>
          <w:r>
            <w:rPr>
              <w:rStyle w:val="240"/>
              <w:rFonts w:hint="eastAsia" w:hAnsi="宋体"/>
              <w:sz w:val="21"/>
              <w:szCs w:val="21"/>
            </w:rPr>
            <w:t>N）</w:t>
          </w:r>
          <w:r>
            <w:rPr>
              <w:rFonts w:hint="eastAsia"/>
              <w:sz w:val="21"/>
              <w:szCs w:val="21"/>
            </w:rPr>
            <w:t xml:space="preserve">10 </w:t>
          </w:r>
          <w:r>
            <w:rPr>
              <w:rFonts w:ascii="Times New Roman"/>
              <w:sz w:val="21"/>
              <w:szCs w:val="21"/>
            </w:rPr>
            <w:t>kg</w:t>
          </w:r>
          <w:r>
            <w:rPr>
              <w:rFonts w:hint="eastAsia"/>
              <w:sz w:val="21"/>
              <w:szCs w:val="21"/>
            </w:rPr>
            <w:t xml:space="preserve">～15 </w:t>
          </w:r>
          <w:r>
            <w:rPr>
              <w:rFonts w:ascii="Times New Roman"/>
              <w:sz w:val="21"/>
              <w:szCs w:val="21"/>
            </w:rPr>
            <w:t>kg</w:t>
          </w:r>
          <w:r>
            <w:rPr>
              <w:rFonts w:hint="eastAsia"/>
              <w:sz w:val="21"/>
              <w:szCs w:val="21"/>
            </w:rPr>
            <w:t>，追肥时将</w:t>
          </w:r>
          <w:r>
            <w:rPr>
              <w:rStyle w:val="240"/>
              <w:rFonts w:hint="eastAsia" w:hAnsi="宋体"/>
              <w:sz w:val="21"/>
              <w:szCs w:val="21"/>
            </w:rPr>
            <w:t>尿素撒施于</w:t>
          </w:r>
          <w:r>
            <w:rPr>
              <w:rFonts w:hint="eastAsia"/>
              <w:sz w:val="21"/>
              <w:szCs w:val="21"/>
            </w:rPr>
            <w:t xml:space="preserve">距谷苗5 </w:t>
          </w:r>
          <w:r>
            <w:rPr>
              <w:rFonts w:ascii="Times New Roman"/>
              <w:sz w:val="21"/>
              <w:szCs w:val="21"/>
            </w:rPr>
            <w:t>cm</w:t>
          </w:r>
          <w:r>
            <w:rPr>
              <w:rFonts w:hint="eastAsia" w:hAnsi="宋体" w:cs="宋体"/>
              <w:sz w:val="21"/>
              <w:szCs w:val="21"/>
            </w:rPr>
            <w:t>～</w:t>
          </w:r>
          <w:r>
            <w:rPr>
              <w:rFonts w:hint="eastAsia"/>
              <w:sz w:val="21"/>
              <w:szCs w:val="21"/>
            </w:rPr>
            <w:t xml:space="preserve">7 </w:t>
          </w:r>
          <w:r>
            <w:rPr>
              <w:rFonts w:ascii="Times New Roman"/>
              <w:sz w:val="21"/>
              <w:szCs w:val="21"/>
            </w:rPr>
            <w:t>cm</w:t>
          </w:r>
          <w:r>
            <w:rPr>
              <w:rFonts w:hint="eastAsia" w:ascii="Times New Roman"/>
              <w:sz w:val="21"/>
              <w:szCs w:val="21"/>
            </w:rPr>
            <w:t>处</w:t>
          </w:r>
          <w:r>
            <w:rPr>
              <w:rFonts w:hint="eastAsia"/>
              <w:sz w:val="21"/>
              <w:szCs w:val="21"/>
            </w:rPr>
            <w:t>，然后及时深中耕。</w:t>
          </w:r>
        </w:p>
        <w:p>
          <w:pPr>
            <w:pStyle w:val="242"/>
            <w:numPr>
              <w:ilvl w:val="2"/>
              <w:numId w:val="0"/>
            </w:numPr>
            <w:spacing w:before="156" w:beforeLines="50" w:after="156" w:afterLines="50" w:line="360" w:lineRule="auto"/>
            <w:jc w:val="left"/>
            <w:rPr>
              <w:sz w:val="21"/>
              <w:szCs w:val="21"/>
            </w:rPr>
          </w:pPr>
          <w:r>
            <w:rPr>
              <w:sz w:val="21"/>
              <w:szCs w:val="21"/>
            </w:rPr>
            <w:t>8</w:t>
          </w:r>
          <w:r>
            <w:rPr>
              <w:rFonts w:hint="eastAsia"/>
              <w:sz w:val="21"/>
              <w:szCs w:val="21"/>
            </w:rPr>
            <w:t>.5.2半膜膜下滴灌种植</w:t>
          </w:r>
        </w:p>
        <w:p>
          <w:pPr>
            <w:adjustRightInd w:val="0"/>
            <w:snapToGrid w:val="0"/>
            <w:spacing w:line="360" w:lineRule="auto"/>
            <w:ind w:firstLine="420" w:firstLineChars="200"/>
            <w:rPr>
              <w:rFonts w:ascii="宋体" w:hAnsi="宋体"/>
              <w:color w:val="000000"/>
              <w:kern w:val="0"/>
              <w:sz w:val="21"/>
              <w:szCs w:val="21"/>
            </w:rPr>
          </w:pPr>
          <w:r>
            <w:rPr>
              <w:rFonts w:hint="eastAsia" w:ascii="宋体" w:hAnsi="宋体"/>
              <w:color w:val="000000"/>
              <w:kern w:val="0"/>
              <w:sz w:val="21"/>
              <w:szCs w:val="21"/>
            </w:rPr>
            <w:t>在拔节期结合滴灌</w:t>
          </w:r>
          <w:r>
            <w:rPr>
              <w:rFonts w:hint="eastAsia" w:ascii="宋体" w:hAnsi="宋体"/>
              <w:sz w:val="21"/>
              <w:szCs w:val="21"/>
            </w:rPr>
            <w:t>每亩</w:t>
          </w:r>
          <w:r>
            <w:rPr>
              <w:rFonts w:hint="eastAsia" w:ascii="宋体" w:hAnsi="宋体"/>
              <w:color w:val="000000"/>
              <w:kern w:val="0"/>
              <w:sz w:val="21"/>
              <w:szCs w:val="21"/>
            </w:rPr>
            <w:t>追施</w:t>
          </w:r>
          <w:r>
            <w:rPr>
              <w:rStyle w:val="240"/>
              <w:rFonts w:hint="eastAsia" w:hAnsi="宋体"/>
              <w:sz w:val="21"/>
              <w:szCs w:val="21"/>
            </w:rPr>
            <w:t>尿素（</w:t>
          </w:r>
          <w:r>
            <w:rPr>
              <w:rStyle w:val="240"/>
              <w:rFonts w:hAnsi="宋体"/>
              <w:sz w:val="21"/>
              <w:szCs w:val="21"/>
            </w:rPr>
            <w:t>46%</w:t>
          </w:r>
          <w:r>
            <w:rPr>
              <w:rStyle w:val="240"/>
              <w:rFonts w:hint="eastAsia" w:hAnsi="宋体"/>
              <w:sz w:val="21"/>
              <w:szCs w:val="21"/>
            </w:rPr>
            <w:t>N）</w:t>
          </w:r>
          <w:r>
            <w:rPr>
              <w:rFonts w:hint="eastAsia" w:ascii="宋体" w:hAnsi="宋体"/>
              <w:color w:val="000000"/>
              <w:kern w:val="0"/>
              <w:sz w:val="21"/>
              <w:szCs w:val="21"/>
            </w:rPr>
            <w:t xml:space="preserve">2 </w:t>
          </w:r>
          <w:r>
            <w:rPr>
              <w:color w:val="000000"/>
              <w:kern w:val="0"/>
              <w:sz w:val="21"/>
              <w:szCs w:val="21"/>
            </w:rPr>
            <w:t>kg</w:t>
          </w:r>
          <w:r>
            <w:rPr>
              <w:rFonts w:hint="eastAsia" w:ascii="宋体" w:hAnsi="宋体"/>
              <w:sz w:val="21"/>
              <w:szCs w:val="21"/>
            </w:rPr>
            <w:t>～</w:t>
          </w:r>
          <w:r>
            <w:rPr>
              <w:rFonts w:hint="eastAsia" w:ascii="宋体" w:hAnsi="宋体"/>
              <w:color w:val="000000"/>
              <w:kern w:val="0"/>
              <w:sz w:val="21"/>
              <w:szCs w:val="21"/>
            </w:rPr>
            <w:t xml:space="preserve">5 </w:t>
          </w:r>
          <w:r>
            <w:rPr>
              <w:color w:val="000000"/>
              <w:kern w:val="0"/>
              <w:sz w:val="21"/>
              <w:szCs w:val="21"/>
            </w:rPr>
            <w:t>kg</w:t>
          </w:r>
          <w:r>
            <w:rPr>
              <w:rFonts w:hint="eastAsia" w:ascii="宋体" w:hAnsi="宋体"/>
              <w:color w:val="000000"/>
              <w:kern w:val="0"/>
              <w:sz w:val="21"/>
              <w:szCs w:val="21"/>
            </w:rPr>
            <w:t>。</w:t>
          </w:r>
        </w:p>
        <w:p>
          <w:pPr>
            <w:pStyle w:val="235"/>
            <w:numPr>
              <w:ilvl w:val="0"/>
              <w:numId w:val="0"/>
            </w:numPr>
            <w:adjustRightInd w:val="0"/>
            <w:snapToGrid w:val="0"/>
            <w:spacing w:before="312" w:after="312" w:line="360" w:lineRule="auto"/>
            <w:ind w:leftChars="0"/>
            <w:rPr>
              <w:sz w:val="21"/>
              <w:szCs w:val="21"/>
            </w:rPr>
          </w:pPr>
          <w:r>
            <w:rPr>
              <w:sz w:val="21"/>
              <w:szCs w:val="21"/>
            </w:rPr>
            <w:t>9</w:t>
          </w:r>
          <w:r>
            <w:rPr>
              <w:rFonts w:hint="eastAsia"/>
              <w:sz w:val="21"/>
              <w:szCs w:val="21"/>
            </w:rPr>
            <w:t xml:space="preserve"> 硒肥使用</w:t>
          </w:r>
        </w:p>
        <w:p>
          <w:pPr>
            <w:pStyle w:val="235"/>
            <w:numPr>
              <w:ilvl w:val="0"/>
              <w:numId w:val="0"/>
            </w:numPr>
            <w:adjustRightInd w:val="0"/>
            <w:snapToGrid w:val="0"/>
            <w:spacing w:before="312" w:after="312" w:line="360" w:lineRule="auto"/>
            <w:ind w:leftChars="0"/>
            <w:rPr>
              <w:sz w:val="21"/>
              <w:szCs w:val="21"/>
            </w:rPr>
          </w:pPr>
          <w:r>
            <w:rPr>
              <w:sz w:val="21"/>
              <w:szCs w:val="21"/>
            </w:rPr>
            <w:t>9.1 硒肥施用原则</w:t>
          </w:r>
        </w:p>
        <w:p>
          <w:pPr>
            <w:pStyle w:val="237"/>
            <w:numPr>
              <w:ilvl w:val="1"/>
              <w:numId w:val="0"/>
            </w:numPr>
            <w:spacing w:before="156" w:after="156" w:line="360" w:lineRule="auto"/>
            <w:ind w:firstLine="420" w:firstLineChars="200"/>
            <w:rPr>
              <w:sz w:val="21"/>
              <w:szCs w:val="21"/>
            </w:rPr>
          </w:pPr>
          <w:r>
            <w:rPr>
              <w:rFonts w:hint="eastAsia"/>
              <w:sz w:val="21"/>
              <w:szCs w:val="21"/>
            </w:rPr>
            <w:t>根据土壤硒含量，喷施不同剂量的硒肥。在富硒土壤中种植谷子品种，可不喷施或少喷施硒肥生产富硒谷子</w:t>
          </w:r>
          <w:r>
            <w:rPr>
              <w:sz w:val="21"/>
              <w:szCs w:val="21"/>
            </w:rPr>
            <w:t>:中硒土壤和低硒土壤喷施硒肥。</w:t>
          </w:r>
        </w:p>
        <w:p>
          <w:pPr>
            <w:pStyle w:val="235"/>
            <w:numPr>
              <w:ilvl w:val="0"/>
              <w:numId w:val="0"/>
            </w:numPr>
            <w:adjustRightInd w:val="0"/>
            <w:snapToGrid w:val="0"/>
            <w:spacing w:before="312" w:after="312" w:line="360" w:lineRule="auto"/>
            <w:ind w:leftChars="0"/>
            <w:rPr>
              <w:sz w:val="21"/>
              <w:szCs w:val="21"/>
            </w:rPr>
          </w:pPr>
          <w:r>
            <w:rPr>
              <w:sz w:val="21"/>
              <w:szCs w:val="21"/>
            </w:rPr>
            <w:t>9.2 土壤硒含量类型</w:t>
          </w:r>
        </w:p>
        <w:p>
          <w:pPr>
            <w:pStyle w:val="237"/>
            <w:numPr>
              <w:ilvl w:val="1"/>
              <w:numId w:val="0"/>
            </w:numPr>
            <w:spacing w:before="156" w:after="156" w:line="360" w:lineRule="auto"/>
            <w:ind w:firstLine="420" w:firstLineChars="200"/>
            <w:rPr>
              <w:rFonts w:hint="eastAsia" w:ascii="宋体" w:hAnsi="宋体" w:eastAsia="宋体" w:cs="宋体"/>
              <w:bCs w:val="0"/>
              <w:color w:val="000000"/>
              <w:sz w:val="21"/>
              <w:szCs w:val="21"/>
            </w:rPr>
          </w:pPr>
          <w:r>
            <w:rPr>
              <w:rFonts w:hint="eastAsia" w:ascii="宋体" w:hAnsi="宋体" w:eastAsia="宋体" w:cs="宋体"/>
              <w:bCs w:val="0"/>
              <w:color w:val="000000"/>
              <w:sz w:val="21"/>
              <w:szCs w:val="21"/>
            </w:rPr>
            <w:t>土壤含硒量小于等于0.1mg/kg为低硒土壤，含硒量在0.1 mg/kg~0.4 mg/kg为中硒土壤,含硒量在大于等于0.4 mg/kg为富硒土壤。</w:t>
          </w:r>
        </w:p>
        <w:p>
          <w:pPr>
            <w:pStyle w:val="237"/>
            <w:numPr>
              <w:ilvl w:val="1"/>
              <w:numId w:val="0"/>
            </w:numPr>
            <w:spacing w:before="156" w:after="156" w:line="360" w:lineRule="auto"/>
            <w:rPr>
              <w:rFonts w:ascii="Times New Roman" w:hAnsi="Times New Roman"/>
              <w:b w:val="0"/>
              <w:bCs/>
              <w:sz w:val="21"/>
              <w:szCs w:val="21"/>
            </w:rPr>
          </w:pPr>
          <w:r>
            <w:rPr>
              <w:rFonts w:ascii="Times New Roman" w:hAnsi="Times New Roman"/>
              <w:b w:val="0"/>
              <w:bCs/>
              <w:sz w:val="21"/>
              <w:szCs w:val="21"/>
            </w:rPr>
            <w:t>9.3 土壤硒含量测量</w:t>
          </w:r>
        </w:p>
        <w:p>
          <w:pPr>
            <w:pStyle w:val="237"/>
            <w:numPr>
              <w:ilvl w:val="1"/>
              <w:numId w:val="0"/>
            </w:numPr>
            <w:spacing w:before="156" w:after="156" w:line="360" w:lineRule="auto"/>
            <w:ind w:firstLine="420" w:firstLineChars="200"/>
            <w:rPr>
              <w:rFonts w:hint="eastAsia" w:ascii="宋体" w:hAnsi="宋体" w:eastAsia="宋体" w:cs="宋体"/>
              <w:bCs w:val="0"/>
              <w:color w:val="000000"/>
              <w:sz w:val="21"/>
              <w:szCs w:val="21"/>
            </w:rPr>
          </w:pPr>
          <w:r>
            <w:rPr>
              <w:rFonts w:hint="eastAsia" w:ascii="宋体" w:hAnsi="宋体" w:eastAsia="宋体" w:cs="宋体"/>
              <w:bCs w:val="0"/>
              <w:color w:val="000000"/>
              <w:sz w:val="21"/>
              <w:szCs w:val="21"/>
            </w:rPr>
            <w:t>土壤含硒量测量依据NY/T1104的要求。</w:t>
          </w:r>
        </w:p>
        <w:p>
          <w:pPr>
            <w:pStyle w:val="237"/>
            <w:numPr>
              <w:ilvl w:val="1"/>
              <w:numId w:val="0"/>
            </w:numPr>
            <w:spacing w:before="156" w:after="156" w:line="360" w:lineRule="auto"/>
            <w:rPr>
              <w:rFonts w:ascii="Times New Roman" w:hAnsi="Times New Roman"/>
              <w:b w:val="0"/>
              <w:bCs/>
              <w:sz w:val="21"/>
              <w:szCs w:val="21"/>
            </w:rPr>
          </w:pPr>
          <w:r>
            <w:rPr>
              <w:rFonts w:ascii="Times New Roman" w:hAnsi="Times New Roman"/>
              <w:b w:val="0"/>
              <w:bCs/>
              <w:sz w:val="21"/>
              <w:szCs w:val="21"/>
            </w:rPr>
            <w:t>9.4 喷施时期和剂量</w:t>
          </w:r>
        </w:p>
        <w:p>
          <w:pPr>
            <w:pStyle w:val="237"/>
            <w:numPr>
              <w:ilvl w:val="1"/>
              <w:numId w:val="0"/>
            </w:numPr>
            <w:spacing w:before="156" w:after="156" w:line="360" w:lineRule="auto"/>
            <w:ind w:firstLine="420" w:firstLineChars="200"/>
            <w:rPr>
              <w:rFonts w:hint="eastAsia" w:ascii="宋体" w:hAnsi="宋体" w:eastAsia="宋体" w:cs="宋体"/>
              <w:bCs w:val="0"/>
              <w:color w:val="000000"/>
              <w:sz w:val="21"/>
              <w:szCs w:val="21"/>
            </w:rPr>
          </w:pPr>
          <w:r>
            <w:rPr>
              <w:rFonts w:hint="eastAsia" w:ascii="宋体" w:hAnsi="宋体" w:eastAsia="宋体" w:cs="宋体"/>
              <w:bCs w:val="0"/>
              <w:color w:val="000000"/>
              <w:sz w:val="21"/>
              <w:szCs w:val="21"/>
            </w:rPr>
            <w:t>谷子抽穗至灌浆前期进行叶面喷施。喷施一次亚硒酸钠(Na2SeO3)溶液，低硒土壤喷施亚硒酸钠量为13.5ghm2～21 g/hm2;中硒土壤喷施量为4.5g/hm～13.5 g/hm2。</w:t>
          </w:r>
        </w:p>
        <w:p>
          <w:pPr>
            <w:pStyle w:val="237"/>
            <w:numPr>
              <w:ilvl w:val="1"/>
              <w:numId w:val="0"/>
            </w:numPr>
            <w:spacing w:before="156" w:after="156" w:line="360" w:lineRule="auto"/>
            <w:rPr>
              <w:rFonts w:ascii="Times New Roman" w:hAnsi="Times New Roman"/>
              <w:b w:val="0"/>
              <w:bCs/>
              <w:sz w:val="21"/>
              <w:szCs w:val="21"/>
            </w:rPr>
          </w:pPr>
          <w:r>
            <w:rPr>
              <w:rFonts w:ascii="Times New Roman" w:hAnsi="Times New Roman"/>
              <w:b w:val="0"/>
              <w:bCs/>
              <w:sz w:val="21"/>
              <w:szCs w:val="21"/>
            </w:rPr>
            <w:t>9.5 喷施方法</w:t>
          </w:r>
        </w:p>
        <w:p>
          <w:pPr>
            <w:pStyle w:val="237"/>
            <w:numPr>
              <w:ilvl w:val="1"/>
              <w:numId w:val="0"/>
            </w:numPr>
            <w:spacing w:before="156" w:after="156" w:line="360" w:lineRule="auto"/>
            <w:ind w:firstLine="420" w:firstLineChars="200"/>
            <w:rPr>
              <w:rFonts w:hint="eastAsia" w:ascii="宋体" w:hAnsi="宋体" w:eastAsia="宋体" w:cs="宋体"/>
              <w:bCs w:val="0"/>
              <w:color w:val="000000"/>
              <w:sz w:val="21"/>
              <w:szCs w:val="21"/>
            </w:rPr>
          </w:pPr>
          <w:r>
            <w:rPr>
              <w:rFonts w:hint="eastAsia" w:ascii="宋体" w:hAnsi="宋体" w:eastAsia="宋体" w:cs="宋体"/>
              <w:bCs w:val="0"/>
              <w:color w:val="000000"/>
              <w:sz w:val="21"/>
              <w:szCs w:val="21"/>
            </w:rPr>
            <w:t>按照硒肥施用说明书，根据喷施方式确定兑水量。喷雾作业质量符合NY/T650的要求。</w:t>
          </w:r>
        </w:p>
        <w:p>
          <w:pPr>
            <w:pStyle w:val="237"/>
            <w:numPr>
              <w:ilvl w:val="1"/>
              <w:numId w:val="0"/>
            </w:numPr>
            <w:spacing w:before="156" w:after="156" w:line="360" w:lineRule="auto"/>
            <w:rPr>
              <w:b w:val="0"/>
              <w:bCs/>
              <w:sz w:val="21"/>
              <w:szCs w:val="21"/>
            </w:rPr>
          </w:pPr>
          <w:r>
            <w:rPr>
              <w:rFonts w:ascii="Times New Roman" w:hAnsi="Times New Roman"/>
              <w:b w:val="0"/>
              <w:bCs/>
              <w:sz w:val="21"/>
              <w:szCs w:val="21"/>
            </w:rPr>
            <w:t>9.6 注意事项</w:t>
          </w:r>
          <w:r>
            <w:rPr>
              <w:b w:val="0"/>
              <w:bCs/>
              <w:sz w:val="21"/>
              <w:szCs w:val="21"/>
            </w:rPr>
            <w:tab/>
          </w:r>
        </w:p>
        <w:p>
          <w:pPr>
            <w:pStyle w:val="237"/>
            <w:numPr>
              <w:ilvl w:val="1"/>
              <w:numId w:val="0"/>
            </w:numPr>
            <w:spacing w:before="156" w:after="156" w:line="360" w:lineRule="auto"/>
            <w:ind w:firstLine="420" w:firstLineChars="200"/>
            <w:rPr>
              <w:rFonts w:hint="eastAsia" w:ascii="宋体" w:hAnsi="宋体" w:eastAsia="宋体" w:cs="宋体"/>
              <w:bCs w:val="0"/>
              <w:color w:val="000000"/>
              <w:sz w:val="21"/>
              <w:szCs w:val="21"/>
            </w:rPr>
          </w:pPr>
          <w:r>
            <w:rPr>
              <w:rFonts w:hint="eastAsia" w:ascii="宋体" w:hAnsi="宋体" w:eastAsia="宋体" w:cs="宋体"/>
              <w:bCs w:val="0"/>
              <w:color w:val="000000"/>
              <w:sz w:val="21"/>
              <w:szCs w:val="21"/>
            </w:rPr>
            <w:t>喷施硒肥应选晴朗无风夫，时间宣选8时～10时或16时～18时。均匀喷施于叶片，喷施后4h内遇降雨，应重喷。</w:t>
          </w:r>
        </w:p>
        <w:p>
          <w:pPr>
            <w:pStyle w:val="237"/>
            <w:numPr>
              <w:ilvl w:val="1"/>
              <w:numId w:val="0"/>
            </w:numPr>
            <w:tabs>
              <w:tab w:val="left" w:pos="4620"/>
            </w:tabs>
            <w:spacing w:before="156" w:after="156" w:line="360" w:lineRule="auto"/>
            <w:rPr>
              <w:b/>
              <w:sz w:val="21"/>
              <w:szCs w:val="21"/>
            </w:rPr>
          </w:pPr>
          <w:r>
            <w:rPr>
              <w:b w:val="0"/>
              <w:bCs/>
              <w:sz w:val="21"/>
              <w:szCs w:val="21"/>
            </w:rPr>
            <w:t>10</w:t>
          </w:r>
          <w:r>
            <w:rPr>
              <w:rFonts w:hint="eastAsia"/>
              <w:b w:val="0"/>
              <w:bCs/>
              <w:sz w:val="21"/>
              <w:szCs w:val="21"/>
            </w:rPr>
            <w:t>病虫草害防治</w:t>
          </w:r>
          <w:r>
            <w:rPr>
              <w:b/>
              <w:sz w:val="21"/>
              <w:szCs w:val="21"/>
            </w:rPr>
            <w:tab/>
          </w:r>
        </w:p>
        <w:p>
          <w:pPr>
            <w:pStyle w:val="235"/>
            <w:numPr>
              <w:ilvl w:val="0"/>
              <w:numId w:val="0"/>
            </w:numPr>
            <w:adjustRightInd w:val="0"/>
            <w:snapToGrid w:val="0"/>
            <w:spacing w:before="312" w:after="312" w:line="360" w:lineRule="auto"/>
            <w:ind w:leftChars="0"/>
            <w:rPr>
              <w:sz w:val="21"/>
              <w:szCs w:val="21"/>
            </w:rPr>
          </w:pPr>
          <w:r>
            <w:rPr>
              <w:sz w:val="21"/>
              <w:szCs w:val="21"/>
            </w:rPr>
            <w:t>10</w:t>
          </w:r>
          <w:r>
            <w:rPr>
              <w:rFonts w:hint="eastAsia"/>
              <w:sz w:val="21"/>
              <w:szCs w:val="21"/>
            </w:rPr>
            <w:t>.1防治原则</w:t>
          </w:r>
        </w:p>
        <w:p>
          <w:pPr>
            <w:pStyle w:val="235"/>
            <w:adjustRightInd w:val="0"/>
            <w:snapToGrid w:val="0"/>
            <w:spacing w:before="312" w:after="312" w:line="360" w:lineRule="auto"/>
            <w:ind w:left="0" w:firstLine="420" w:firstLineChars="200"/>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病虫草害要以预防为主，及时根据病虫情测报，进行防治。以农业防治、物理防治和生物防治为主，化学防治用药要符合NY/T 1276要求。</w:t>
          </w:r>
        </w:p>
        <w:p>
          <w:pPr>
            <w:pStyle w:val="235"/>
            <w:numPr>
              <w:ilvl w:val="0"/>
              <w:numId w:val="0"/>
            </w:numPr>
            <w:adjustRightInd w:val="0"/>
            <w:snapToGrid w:val="0"/>
            <w:spacing w:before="312" w:after="312" w:line="360" w:lineRule="auto"/>
            <w:ind w:leftChars="0"/>
            <w:rPr>
              <w:sz w:val="21"/>
              <w:szCs w:val="21"/>
            </w:rPr>
          </w:pPr>
          <w:r>
            <w:rPr>
              <w:sz w:val="21"/>
              <w:szCs w:val="21"/>
            </w:rPr>
            <w:t>10</w:t>
          </w:r>
          <w:r>
            <w:rPr>
              <w:rFonts w:hint="eastAsia"/>
              <w:sz w:val="21"/>
              <w:szCs w:val="21"/>
            </w:rPr>
            <w:t>.2常见病虫草害</w:t>
          </w:r>
        </w:p>
        <w:p>
          <w:pPr>
            <w:pStyle w:val="235"/>
            <w:adjustRightInd w:val="0"/>
            <w:snapToGrid w:val="0"/>
            <w:spacing w:before="312" w:after="312" w:line="360" w:lineRule="auto"/>
            <w:ind w:left="705" w:leftChars="200" w:hanging="285" w:hangingChars="136"/>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谷瘟病、白发病、黑穗病、细菌性褐斑条纹病、粟叶甲、玉米螟、粟灰螟、粘虫、稗草。</w:t>
          </w:r>
        </w:p>
        <w:p>
          <w:pPr>
            <w:pStyle w:val="235"/>
            <w:numPr>
              <w:ilvl w:val="0"/>
              <w:numId w:val="0"/>
            </w:numPr>
            <w:adjustRightInd w:val="0"/>
            <w:snapToGrid w:val="0"/>
            <w:spacing w:before="312" w:after="312" w:line="360" w:lineRule="auto"/>
            <w:ind w:leftChars="0"/>
            <w:rPr>
              <w:sz w:val="21"/>
              <w:szCs w:val="21"/>
            </w:rPr>
          </w:pPr>
          <w:r>
            <w:rPr>
              <w:sz w:val="21"/>
              <w:szCs w:val="21"/>
            </w:rPr>
            <w:t>10</w:t>
          </w:r>
          <w:r>
            <w:rPr>
              <w:rFonts w:hint="eastAsia"/>
              <w:sz w:val="21"/>
              <w:szCs w:val="21"/>
            </w:rPr>
            <w:t xml:space="preserve">.3农业防治 </w:t>
          </w:r>
        </w:p>
        <w:p>
          <w:pPr>
            <w:pStyle w:val="235"/>
            <w:adjustRightInd w:val="0"/>
            <w:snapToGrid w:val="0"/>
            <w:spacing w:before="312" w:after="312" w:line="360" w:lineRule="auto"/>
            <w:ind w:left="0" w:firstLine="420" w:firstLineChars="200"/>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因地制宜选用抗病虫品种，轮作倒茬。栽培过程合理密植，通风透光，加强水肥管理，培育壮苗。收获后通过深翻，破坏害虫繁殖场所。对感染病虫害的秸秆集中进行无害处理，减少病虫害繁殖基数。结合中耕等及时除草。</w:t>
          </w:r>
        </w:p>
        <w:p>
          <w:pPr>
            <w:pStyle w:val="235"/>
            <w:numPr>
              <w:ilvl w:val="0"/>
              <w:numId w:val="0"/>
            </w:numPr>
            <w:adjustRightInd w:val="0"/>
            <w:snapToGrid w:val="0"/>
            <w:spacing w:before="312" w:after="312" w:line="360" w:lineRule="auto"/>
            <w:ind w:leftChars="0"/>
            <w:rPr>
              <w:rFonts w:ascii="宋体" w:eastAsia="宋体"/>
              <w:sz w:val="21"/>
              <w:szCs w:val="21"/>
            </w:rPr>
          </w:pPr>
          <w:r>
            <w:rPr>
              <w:sz w:val="21"/>
              <w:szCs w:val="21"/>
            </w:rPr>
            <w:t>10</w:t>
          </w:r>
          <w:r>
            <w:rPr>
              <w:rFonts w:hint="eastAsia"/>
              <w:sz w:val="21"/>
              <w:szCs w:val="21"/>
            </w:rPr>
            <w:t>.4物理防治</w:t>
          </w:r>
          <w:r>
            <w:rPr>
              <w:rFonts w:hint="eastAsia" w:ascii="宋体" w:eastAsia="宋体"/>
              <w:sz w:val="21"/>
              <w:szCs w:val="21"/>
            </w:rPr>
            <w:t xml:space="preserve"> </w:t>
          </w:r>
        </w:p>
        <w:p>
          <w:pPr>
            <w:pStyle w:val="235"/>
            <w:adjustRightInd w:val="0"/>
            <w:snapToGrid w:val="0"/>
            <w:spacing w:before="312" w:after="312" w:line="360" w:lineRule="auto"/>
            <w:ind w:left="0" w:firstLine="420" w:firstLineChars="200"/>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可利用频振杀虫灯或会黑光灯诱杀粟叶甲、粟灰螟、粘虫等害虫。</w:t>
          </w:r>
        </w:p>
        <w:p>
          <w:pPr>
            <w:pStyle w:val="235"/>
            <w:numPr>
              <w:ilvl w:val="0"/>
              <w:numId w:val="0"/>
            </w:numPr>
            <w:adjustRightInd w:val="0"/>
            <w:snapToGrid w:val="0"/>
            <w:spacing w:before="312" w:after="312" w:line="360" w:lineRule="auto"/>
            <w:ind w:leftChars="0"/>
            <w:rPr>
              <w:sz w:val="21"/>
              <w:szCs w:val="21"/>
            </w:rPr>
          </w:pPr>
          <w:r>
            <w:rPr>
              <w:sz w:val="21"/>
              <w:szCs w:val="21"/>
            </w:rPr>
            <w:t>10</w:t>
          </w:r>
          <w:r>
            <w:rPr>
              <w:rFonts w:hint="eastAsia"/>
              <w:sz w:val="21"/>
              <w:szCs w:val="21"/>
            </w:rPr>
            <w:t>.5生物防治</w:t>
          </w:r>
        </w:p>
        <w:p>
          <w:pPr>
            <w:pStyle w:val="235"/>
            <w:adjustRightInd w:val="0"/>
            <w:snapToGrid w:val="0"/>
            <w:spacing w:before="312" w:after="312" w:line="360" w:lineRule="auto"/>
            <w:ind w:left="0" w:firstLine="420" w:firstLineChars="200"/>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 xml:space="preserve"> 喷施大蒜素、食醋等趋避粟叶甲、粟灰螟、粘虫等害虫。</w:t>
          </w:r>
        </w:p>
        <w:p>
          <w:pPr>
            <w:pStyle w:val="235"/>
            <w:numPr>
              <w:ilvl w:val="0"/>
              <w:numId w:val="0"/>
            </w:numPr>
            <w:adjustRightInd w:val="0"/>
            <w:snapToGrid w:val="0"/>
            <w:spacing w:before="312" w:after="312" w:line="360" w:lineRule="auto"/>
            <w:ind w:leftChars="0"/>
            <w:rPr>
              <w:sz w:val="21"/>
              <w:szCs w:val="21"/>
            </w:rPr>
          </w:pPr>
          <w:r>
            <w:rPr>
              <w:sz w:val="21"/>
              <w:szCs w:val="21"/>
            </w:rPr>
            <w:t>10</w:t>
          </w:r>
          <w:r>
            <w:rPr>
              <w:rFonts w:hint="eastAsia"/>
              <w:sz w:val="21"/>
              <w:szCs w:val="21"/>
            </w:rPr>
            <w:t>.6 化学防治</w:t>
          </w:r>
        </w:p>
        <w:p>
          <w:pPr>
            <w:pStyle w:val="236"/>
            <w:adjustRightInd w:val="0"/>
            <w:snapToGrid w:val="0"/>
            <w:spacing w:line="360" w:lineRule="auto"/>
            <w:ind w:firstLine="0" w:firstLineChars="0"/>
            <w:rPr>
              <w:rFonts w:hAnsi="宋体" w:eastAsiaTheme="minorEastAsia" w:cstheme="minorBidi"/>
              <w:color w:val="000000"/>
              <w:sz w:val="21"/>
              <w:szCs w:val="21"/>
            </w:rPr>
          </w:pPr>
          <w:r>
            <w:rPr>
              <w:rFonts w:hint="eastAsia" w:hAnsi="宋体" w:eastAsiaTheme="minorEastAsia" w:cstheme="minorBidi"/>
              <w:color w:val="000000"/>
              <w:sz w:val="21"/>
              <w:szCs w:val="21"/>
            </w:rPr>
            <w:t xml:space="preserve"> </w:t>
          </w:r>
          <w:r>
            <w:rPr>
              <w:rFonts w:hAnsi="宋体" w:eastAsiaTheme="minorEastAsia" w:cstheme="minorBidi"/>
              <w:color w:val="000000"/>
              <w:sz w:val="21"/>
              <w:szCs w:val="21"/>
            </w:rPr>
            <w:t xml:space="preserve">  10.6.1 </w:t>
          </w:r>
          <w:r>
            <w:rPr>
              <w:rFonts w:hint="eastAsia" w:hAnsi="宋体" w:eastAsiaTheme="minorEastAsia" w:cstheme="minorBidi"/>
              <w:color w:val="000000"/>
              <w:sz w:val="21"/>
              <w:szCs w:val="21"/>
            </w:rPr>
            <w:t>病害</w:t>
          </w:r>
        </w:p>
        <w:p>
          <w:pPr>
            <w:pStyle w:val="236"/>
            <w:adjustRightInd w:val="0"/>
            <w:snapToGrid w:val="0"/>
            <w:spacing w:line="360" w:lineRule="auto"/>
            <w:ind w:firstLine="315" w:firstLineChars="150"/>
            <w:rPr>
              <w:rFonts w:hAnsi="宋体" w:eastAsiaTheme="minorEastAsia" w:cstheme="minorBidi"/>
              <w:color w:val="000000"/>
              <w:sz w:val="21"/>
              <w:szCs w:val="21"/>
            </w:rPr>
          </w:pPr>
          <w:r>
            <w:rPr>
              <w:rFonts w:hAnsi="宋体" w:eastAsiaTheme="minorEastAsia" w:cstheme="minorBidi"/>
              <w:color w:val="000000"/>
              <w:sz w:val="21"/>
              <w:szCs w:val="21"/>
            </w:rPr>
            <w:t xml:space="preserve">10.6.1.1 </w:t>
          </w:r>
          <w:r>
            <w:rPr>
              <w:rFonts w:hint="eastAsia" w:hAnsi="宋体" w:eastAsiaTheme="minorEastAsia" w:cstheme="minorBidi"/>
              <w:color w:val="000000"/>
              <w:sz w:val="21"/>
              <w:szCs w:val="21"/>
            </w:rPr>
            <w:t>谷瘟病</w:t>
          </w:r>
        </w:p>
        <w:p>
          <w:pPr>
            <w:pStyle w:val="236"/>
            <w:adjustRightInd w:val="0"/>
            <w:snapToGrid w:val="0"/>
            <w:spacing w:line="360" w:lineRule="auto"/>
            <w:ind w:firstLine="420"/>
            <w:rPr>
              <w:rFonts w:hint="eastAsia" w:ascii="宋体" w:hAnsi="宋体" w:eastAsia="宋体" w:cs="宋体"/>
              <w:sz w:val="21"/>
              <w:szCs w:val="21"/>
            </w:rPr>
          </w:pPr>
          <w:r>
            <w:rPr>
              <w:rFonts w:hint="eastAsia" w:ascii="宋体" w:hAnsi="宋体" w:eastAsia="宋体" w:cs="宋体"/>
              <w:sz w:val="21"/>
              <w:szCs w:val="21"/>
            </w:rPr>
            <w:t>发病前或初期，可选用药剂春雷霉素、三环唑、氨基寡糖素进行喷施。</w:t>
          </w:r>
        </w:p>
        <w:p>
          <w:pPr>
            <w:pStyle w:val="236"/>
            <w:adjustRightInd w:val="0"/>
            <w:snapToGrid w:val="0"/>
            <w:spacing w:line="360" w:lineRule="auto"/>
            <w:ind w:firstLine="420"/>
            <w:rPr>
              <w:sz w:val="21"/>
              <w:szCs w:val="21"/>
            </w:rPr>
          </w:pPr>
          <w:r>
            <w:rPr>
              <w:sz w:val="21"/>
              <w:szCs w:val="21"/>
            </w:rPr>
            <w:t>10</w:t>
          </w:r>
          <w:r>
            <w:rPr>
              <w:rFonts w:hint="eastAsia"/>
              <w:sz w:val="21"/>
              <w:szCs w:val="21"/>
            </w:rPr>
            <w:t>.6.</w:t>
          </w:r>
          <w:r>
            <w:rPr>
              <w:sz w:val="21"/>
              <w:szCs w:val="21"/>
            </w:rPr>
            <w:t>1.</w:t>
          </w:r>
          <w:r>
            <w:rPr>
              <w:rFonts w:hint="eastAsia"/>
              <w:sz w:val="21"/>
              <w:szCs w:val="21"/>
            </w:rPr>
            <w:t>2 白发病</w:t>
          </w:r>
        </w:p>
        <w:p>
          <w:pPr>
            <w:pStyle w:val="236"/>
            <w:adjustRightInd w:val="0"/>
            <w:snapToGrid w:val="0"/>
            <w:spacing w:line="360" w:lineRule="auto"/>
            <w:ind w:firstLine="420"/>
            <w:rPr>
              <w:rFonts w:hint="eastAsia" w:ascii="宋体" w:hAnsi="宋体" w:eastAsia="宋体" w:cs="宋体"/>
              <w:sz w:val="21"/>
              <w:szCs w:val="21"/>
            </w:rPr>
          </w:pPr>
          <w:r>
            <w:rPr>
              <w:rFonts w:hint="eastAsia" w:ascii="宋体" w:hAnsi="宋体" w:eastAsia="宋体" w:cs="宋体"/>
              <w:sz w:val="21"/>
              <w:szCs w:val="21"/>
            </w:rPr>
            <w:t>播前用含有甲霜灵、代森铵进行种子处理，当拔节期出现灰背症状时，可喷施药剂甲霜灵、甲霜锰锌。</w:t>
          </w:r>
        </w:p>
        <w:p>
          <w:pPr>
            <w:pStyle w:val="236"/>
            <w:adjustRightInd w:val="0"/>
            <w:snapToGrid w:val="0"/>
            <w:spacing w:line="360" w:lineRule="auto"/>
            <w:ind w:firstLine="420"/>
            <w:rPr>
              <w:sz w:val="21"/>
              <w:szCs w:val="21"/>
            </w:rPr>
          </w:pPr>
          <w:r>
            <w:rPr>
              <w:sz w:val="21"/>
              <w:szCs w:val="21"/>
            </w:rPr>
            <w:t>10</w:t>
          </w:r>
          <w:r>
            <w:rPr>
              <w:rFonts w:hint="eastAsia"/>
              <w:sz w:val="21"/>
              <w:szCs w:val="21"/>
            </w:rPr>
            <w:t>.6.</w:t>
          </w:r>
          <w:r>
            <w:rPr>
              <w:sz w:val="21"/>
              <w:szCs w:val="21"/>
            </w:rPr>
            <w:t>1.</w:t>
          </w:r>
          <w:r>
            <w:rPr>
              <w:rFonts w:hint="eastAsia"/>
              <w:sz w:val="21"/>
              <w:szCs w:val="21"/>
            </w:rPr>
            <w:t>3 黑穗病</w:t>
          </w:r>
        </w:p>
        <w:p>
          <w:pPr>
            <w:pStyle w:val="236"/>
            <w:adjustRightInd w:val="0"/>
            <w:snapToGrid w:val="0"/>
            <w:spacing w:line="360" w:lineRule="auto"/>
            <w:ind w:firstLine="420"/>
            <w:rPr>
              <w:rFonts w:hint="eastAsia" w:ascii="宋体" w:hAnsi="宋体" w:eastAsia="宋体" w:cs="宋体"/>
              <w:sz w:val="21"/>
              <w:szCs w:val="21"/>
            </w:rPr>
          </w:pPr>
          <w:r>
            <w:rPr>
              <w:rFonts w:hint="eastAsia" w:ascii="宋体" w:hAnsi="宋体" w:eastAsia="宋体" w:cs="宋体"/>
              <w:sz w:val="21"/>
              <w:szCs w:val="21"/>
            </w:rPr>
            <w:t>播前用含有36%的甲基硫菌灵悬浮剂1000-2000倍液拌种防治黑穗病。</w:t>
          </w:r>
        </w:p>
        <w:p>
          <w:pPr>
            <w:pStyle w:val="236"/>
            <w:adjustRightInd w:val="0"/>
            <w:snapToGrid w:val="0"/>
            <w:spacing w:line="360" w:lineRule="auto"/>
            <w:ind w:firstLine="420"/>
            <w:rPr>
              <w:sz w:val="21"/>
              <w:szCs w:val="21"/>
            </w:rPr>
          </w:pPr>
          <w:r>
            <w:rPr>
              <w:sz w:val="21"/>
              <w:szCs w:val="21"/>
            </w:rPr>
            <w:t>10</w:t>
          </w:r>
          <w:r>
            <w:rPr>
              <w:rFonts w:hint="eastAsia"/>
              <w:sz w:val="21"/>
              <w:szCs w:val="21"/>
            </w:rPr>
            <w:t>.6.</w:t>
          </w:r>
          <w:r>
            <w:rPr>
              <w:sz w:val="21"/>
              <w:szCs w:val="21"/>
            </w:rPr>
            <w:t>1.</w:t>
          </w:r>
          <w:r>
            <w:rPr>
              <w:rFonts w:hint="eastAsia"/>
              <w:sz w:val="21"/>
              <w:szCs w:val="21"/>
            </w:rPr>
            <w:t xml:space="preserve">4 </w:t>
          </w:r>
          <w:r>
            <w:rPr>
              <w:sz w:val="21"/>
              <w:szCs w:val="21"/>
            </w:rPr>
            <w:t>细菌性褐斑条纹病</w:t>
          </w:r>
        </w:p>
        <w:p>
          <w:pPr>
            <w:pStyle w:val="236"/>
            <w:adjustRightInd w:val="0"/>
            <w:snapToGrid w:val="0"/>
            <w:spacing w:line="360" w:lineRule="auto"/>
            <w:ind w:firstLine="420"/>
            <w:rPr>
              <w:sz w:val="21"/>
              <w:szCs w:val="21"/>
            </w:rPr>
          </w:pPr>
          <w:r>
            <w:rPr>
              <w:rFonts w:hint="eastAsia"/>
              <w:sz w:val="21"/>
              <w:szCs w:val="21"/>
            </w:rPr>
            <w:t>在发病初期，可喷施药剂中生菌素、噻霉酮、氯溴异氰尿酸、噻唑锌。</w:t>
          </w:r>
        </w:p>
        <w:p>
          <w:pPr>
            <w:pStyle w:val="236"/>
            <w:adjustRightInd w:val="0"/>
            <w:snapToGrid w:val="0"/>
            <w:spacing w:line="360" w:lineRule="auto"/>
            <w:ind w:firstLine="420"/>
            <w:rPr>
              <w:sz w:val="21"/>
              <w:szCs w:val="21"/>
            </w:rPr>
          </w:pPr>
          <w:r>
            <w:rPr>
              <w:sz w:val="21"/>
              <w:szCs w:val="21"/>
            </w:rPr>
            <w:t>10.6.2 虫害</w:t>
          </w:r>
        </w:p>
        <w:p>
          <w:pPr>
            <w:pStyle w:val="236"/>
            <w:adjustRightInd w:val="0"/>
            <w:snapToGrid w:val="0"/>
            <w:spacing w:line="360" w:lineRule="auto"/>
            <w:ind w:firstLine="420"/>
            <w:rPr>
              <w:sz w:val="21"/>
              <w:szCs w:val="21"/>
            </w:rPr>
          </w:pPr>
          <w:r>
            <w:rPr>
              <w:sz w:val="21"/>
              <w:szCs w:val="21"/>
            </w:rPr>
            <w:t>10.6.2.1</w:t>
          </w:r>
          <w:r>
            <w:rPr>
              <w:rFonts w:hint="eastAsia"/>
              <w:sz w:val="21"/>
              <w:szCs w:val="21"/>
            </w:rPr>
            <w:t xml:space="preserve"> 粟叶甲</w:t>
          </w:r>
          <w:r>
            <w:rPr>
              <w:sz w:val="21"/>
              <w:szCs w:val="21"/>
            </w:rPr>
            <w:t>、玉米螟、粟灰螟</w:t>
          </w:r>
        </w:p>
        <w:p>
          <w:pPr>
            <w:pStyle w:val="236"/>
            <w:adjustRightInd w:val="0"/>
            <w:snapToGrid w:val="0"/>
            <w:spacing w:line="360" w:lineRule="auto"/>
            <w:ind w:firstLine="420"/>
            <w:rPr>
              <w:sz w:val="21"/>
              <w:szCs w:val="21"/>
            </w:rPr>
          </w:pPr>
          <w:r>
            <w:rPr>
              <w:rFonts w:hint="eastAsia"/>
              <w:sz w:val="21"/>
              <w:szCs w:val="21"/>
            </w:rPr>
            <w:t>卵孵化盛期至幼虫蛀茎前，可用苏云金芽孢杆菌、氯虫苯甲酰胺、四氯虫酰胺进行喷施。</w:t>
          </w:r>
        </w:p>
        <w:p>
          <w:pPr>
            <w:pStyle w:val="236"/>
            <w:adjustRightInd w:val="0"/>
            <w:snapToGrid w:val="0"/>
            <w:spacing w:line="360" w:lineRule="auto"/>
            <w:ind w:firstLine="420"/>
            <w:rPr>
              <w:sz w:val="21"/>
              <w:szCs w:val="21"/>
            </w:rPr>
          </w:pPr>
          <w:r>
            <w:rPr>
              <w:sz w:val="21"/>
              <w:szCs w:val="21"/>
            </w:rPr>
            <w:t>10.6.2.2 粘虫</w:t>
          </w:r>
        </w:p>
        <w:p>
          <w:pPr>
            <w:pStyle w:val="236"/>
            <w:adjustRightInd w:val="0"/>
            <w:snapToGrid w:val="0"/>
            <w:spacing w:line="360" w:lineRule="auto"/>
            <w:ind w:firstLine="420"/>
            <w:rPr>
              <w:sz w:val="21"/>
              <w:szCs w:val="21"/>
            </w:rPr>
          </w:pPr>
          <w:r>
            <w:rPr>
              <w:rFonts w:hint="eastAsia"/>
              <w:sz w:val="21"/>
              <w:szCs w:val="21"/>
            </w:rPr>
            <w:t>幼虫</w:t>
          </w:r>
          <w:r>
            <w:rPr>
              <w:sz w:val="21"/>
              <w:szCs w:val="21"/>
            </w:rPr>
            <w:t>2~3龄期，每平方米20头以上可用氯虫苯甲酰胺、高效氯氰菊酯、甲维盐进行喷施。</w:t>
          </w:r>
        </w:p>
        <w:p>
          <w:pPr>
            <w:pStyle w:val="236"/>
            <w:adjustRightInd w:val="0"/>
            <w:snapToGrid w:val="0"/>
            <w:spacing w:line="360" w:lineRule="auto"/>
            <w:ind w:firstLine="420"/>
            <w:rPr>
              <w:sz w:val="21"/>
              <w:szCs w:val="21"/>
            </w:rPr>
          </w:pPr>
          <w:r>
            <w:rPr>
              <w:sz w:val="21"/>
              <w:szCs w:val="21"/>
            </w:rPr>
            <w:t>10</w:t>
          </w:r>
          <w:r>
            <w:rPr>
              <w:rFonts w:hint="eastAsia"/>
              <w:sz w:val="21"/>
              <w:szCs w:val="21"/>
            </w:rPr>
            <w:t>.6.3 草害</w:t>
          </w:r>
        </w:p>
        <w:p>
          <w:pPr>
            <w:pStyle w:val="236"/>
            <w:adjustRightInd w:val="0"/>
            <w:snapToGrid w:val="0"/>
            <w:spacing w:line="360" w:lineRule="auto"/>
            <w:ind w:firstLine="420"/>
            <w:rPr>
              <w:sz w:val="21"/>
              <w:szCs w:val="21"/>
            </w:rPr>
          </w:pPr>
          <w:r>
            <w:rPr>
              <w:rFonts w:hint="eastAsia"/>
              <w:sz w:val="21"/>
              <w:szCs w:val="21"/>
            </w:rPr>
            <w:t>稗草</w:t>
          </w:r>
        </w:p>
        <w:p>
          <w:pPr>
            <w:pStyle w:val="236"/>
            <w:adjustRightInd w:val="0"/>
            <w:snapToGrid w:val="0"/>
            <w:spacing w:line="360" w:lineRule="auto"/>
            <w:ind w:firstLine="420"/>
            <w:rPr>
              <w:sz w:val="21"/>
              <w:szCs w:val="21"/>
            </w:rPr>
          </w:pPr>
          <w:r>
            <w:rPr>
              <w:rFonts w:hint="eastAsia"/>
              <w:sz w:val="21"/>
              <w:szCs w:val="21"/>
            </w:rPr>
            <w:t>可用12.5%烯禾啶乳油100-140ml/亩，除稗草等一年生禾本科杂草。</w:t>
          </w:r>
        </w:p>
        <w:p>
          <w:pPr>
            <w:pStyle w:val="235"/>
            <w:numPr>
              <w:ilvl w:val="0"/>
              <w:numId w:val="0"/>
            </w:numPr>
            <w:adjustRightInd w:val="0"/>
            <w:snapToGrid w:val="0"/>
            <w:spacing w:before="312" w:after="312" w:line="360" w:lineRule="auto"/>
            <w:ind w:leftChars="0"/>
            <w:rPr>
              <w:rFonts w:hAnsi="黑体"/>
              <w:sz w:val="21"/>
              <w:szCs w:val="21"/>
            </w:rPr>
          </w:pPr>
          <w:r>
            <w:rPr>
              <w:rFonts w:hint="eastAsia" w:hAnsi="黑体"/>
              <w:sz w:val="21"/>
              <w:szCs w:val="21"/>
            </w:rPr>
            <w:t>1</w:t>
          </w:r>
          <w:r>
            <w:rPr>
              <w:rFonts w:hAnsi="黑体"/>
              <w:sz w:val="21"/>
              <w:szCs w:val="21"/>
            </w:rPr>
            <w:t>1</w:t>
          </w:r>
          <w:r>
            <w:rPr>
              <w:rFonts w:hint="eastAsia" w:hAnsi="黑体"/>
              <w:sz w:val="21"/>
              <w:szCs w:val="21"/>
            </w:rPr>
            <w:t xml:space="preserve"> 收获</w:t>
          </w:r>
        </w:p>
        <w:p>
          <w:pPr>
            <w:pStyle w:val="236"/>
            <w:adjustRightInd w:val="0"/>
            <w:snapToGrid w:val="0"/>
            <w:spacing w:line="360" w:lineRule="auto"/>
            <w:ind w:firstLine="420"/>
            <w:rPr>
              <w:sz w:val="21"/>
              <w:szCs w:val="21"/>
            </w:rPr>
          </w:pPr>
          <w:r>
            <w:rPr>
              <w:rFonts w:hint="eastAsia"/>
              <w:sz w:val="21"/>
              <w:szCs w:val="21"/>
            </w:rPr>
            <w:t xml:space="preserve">谷粒全部变黄、硬化、叶片枯黄后适时收割，割茬高度3 </w:t>
          </w:r>
          <w:r>
            <w:rPr>
              <w:rFonts w:ascii="Times New Roman"/>
              <w:sz w:val="21"/>
              <w:szCs w:val="21"/>
            </w:rPr>
            <w:t>cm</w:t>
          </w:r>
          <w:r>
            <w:rPr>
              <w:rFonts w:hint="eastAsia"/>
              <w:sz w:val="21"/>
              <w:szCs w:val="21"/>
            </w:rPr>
            <w:t xml:space="preserve">～5 </w:t>
          </w:r>
          <w:r>
            <w:rPr>
              <w:rFonts w:ascii="Times New Roman"/>
              <w:sz w:val="21"/>
              <w:szCs w:val="21"/>
            </w:rPr>
            <w:t>cm</w:t>
          </w:r>
          <w:r>
            <w:rPr>
              <w:rFonts w:hint="eastAsia"/>
              <w:sz w:val="21"/>
              <w:szCs w:val="21"/>
            </w:rPr>
            <w:t>，割倒并晾晒5 d～7 d风干，脱粒、清选后，入库贮藏。</w:t>
          </w:r>
        </w:p>
        <w:p>
          <w:pPr>
            <w:pStyle w:val="235"/>
            <w:numPr>
              <w:ilvl w:val="0"/>
              <w:numId w:val="0"/>
            </w:numPr>
            <w:adjustRightInd w:val="0"/>
            <w:snapToGrid w:val="0"/>
            <w:spacing w:before="312" w:after="312" w:line="360" w:lineRule="auto"/>
            <w:ind w:leftChars="0"/>
            <w:rPr>
              <w:sz w:val="21"/>
              <w:szCs w:val="21"/>
            </w:rPr>
          </w:pPr>
          <w:r>
            <w:rPr>
              <w:rFonts w:hint="eastAsia"/>
              <w:sz w:val="21"/>
              <w:szCs w:val="21"/>
            </w:rPr>
            <w:t>1</w:t>
          </w:r>
          <w:r>
            <w:rPr>
              <w:sz w:val="21"/>
              <w:szCs w:val="21"/>
            </w:rPr>
            <w:t>2</w:t>
          </w:r>
          <w:r>
            <w:rPr>
              <w:rFonts w:hint="eastAsia"/>
              <w:sz w:val="21"/>
              <w:szCs w:val="21"/>
            </w:rPr>
            <w:t xml:space="preserve"> 取样检测</w:t>
          </w:r>
        </w:p>
        <w:p>
          <w:pPr>
            <w:pStyle w:val="236"/>
            <w:ind w:firstLine="420"/>
            <w:rPr>
              <w:sz w:val="21"/>
              <w:szCs w:val="21"/>
            </w:rPr>
          </w:pPr>
          <w:r>
            <w:rPr>
              <w:rFonts w:hint="eastAsia"/>
              <w:sz w:val="21"/>
              <w:szCs w:val="21"/>
            </w:rPr>
            <w:t>按</w:t>
          </w:r>
          <w:r>
            <w:rPr>
              <w:sz w:val="21"/>
              <w:szCs w:val="21"/>
            </w:rPr>
            <w:t>GB 5491</w:t>
          </w:r>
          <w:r>
            <w:rPr>
              <w:rFonts w:hint="eastAsia"/>
              <w:sz w:val="21"/>
              <w:szCs w:val="21"/>
            </w:rPr>
            <w:t>规定</w:t>
          </w:r>
          <w:r>
            <w:rPr>
              <w:sz w:val="21"/>
              <w:szCs w:val="21"/>
            </w:rPr>
            <w:t>方法取样，按GB5009</w:t>
          </w:r>
          <w:r>
            <w:rPr>
              <w:rFonts w:hint="eastAsia"/>
              <w:sz w:val="21"/>
              <w:szCs w:val="21"/>
            </w:rPr>
            <w:t>方法进行</w:t>
          </w:r>
          <w:r>
            <w:rPr>
              <w:sz w:val="21"/>
              <w:szCs w:val="21"/>
            </w:rPr>
            <w:t>硒含量检测。</w:t>
          </w:r>
        </w:p>
        <w:p>
          <w:pPr>
            <w:pStyle w:val="235"/>
            <w:numPr>
              <w:ilvl w:val="0"/>
              <w:numId w:val="0"/>
            </w:numPr>
            <w:adjustRightInd w:val="0"/>
            <w:snapToGrid w:val="0"/>
            <w:spacing w:before="312" w:after="312" w:line="360" w:lineRule="auto"/>
            <w:ind w:leftChars="0"/>
            <w:rPr>
              <w:rFonts w:hAnsi="黑体"/>
              <w:sz w:val="21"/>
              <w:szCs w:val="21"/>
            </w:rPr>
          </w:pPr>
          <w:r>
            <w:rPr>
              <w:rFonts w:hint="eastAsia"/>
              <w:sz w:val="21"/>
              <w:szCs w:val="21"/>
            </w:rPr>
            <w:t>1</w:t>
          </w:r>
          <w:r>
            <w:rPr>
              <w:sz w:val="21"/>
              <w:szCs w:val="21"/>
            </w:rPr>
            <w:t>3</w:t>
          </w:r>
          <w:r>
            <w:rPr>
              <w:rFonts w:hint="eastAsia"/>
              <w:sz w:val="21"/>
              <w:szCs w:val="21"/>
            </w:rPr>
            <w:t xml:space="preserve"> 生产废弃物处理</w:t>
          </w:r>
        </w:p>
        <w:p>
          <w:pPr>
            <w:pStyle w:val="236"/>
            <w:adjustRightInd w:val="0"/>
            <w:snapToGrid w:val="0"/>
            <w:spacing w:line="360" w:lineRule="auto"/>
            <w:ind w:firstLine="420"/>
            <w:rPr>
              <w:sz w:val="21"/>
              <w:szCs w:val="21"/>
            </w:rPr>
          </w:pPr>
          <w:r>
            <w:rPr>
              <w:rFonts w:hint="eastAsia"/>
              <w:sz w:val="21"/>
              <w:szCs w:val="21"/>
            </w:rPr>
            <w:t>谷子收获后，应及时清除田间秸秆、残膜，进行无害化处理；及时回收滴灌带。</w:t>
          </w:r>
        </w:p>
        <w:p>
          <w:pPr>
            <w:pStyle w:val="235"/>
            <w:numPr>
              <w:ilvl w:val="0"/>
              <w:numId w:val="0"/>
            </w:numPr>
            <w:adjustRightInd w:val="0"/>
            <w:snapToGrid w:val="0"/>
            <w:spacing w:before="312" w:after="312" w:line="360" w:lineRule="auto"/>
            <w:ind w:leftChars="0"/>
            <w:rPr>
              <w:sz w:val="21"/>
              <w:szCs w:val="21"/>
            </w:rPr>
          </w:pPr>
          <w:r>
            <w:rPr>
              <w:rFonts w:hint="eastAsia"/>
              <w:sz w:val="21"/>
              <w:szCs w:val="21"/>
            </w:rPr>
            <w:t>1</w:t>
          </w:r>
          <w:r>
            <w:rPr>
              <w:sz w:val="21"/>
              <w:szCs w:val="21"/>
            </w:rPr>
            <w:t>4</w:t>
          </w:r>
          <w:r>
            <w:rPr>
              <w:rFonts w:hint="eastAsia"/>
              <w:sz w:val="21"/>
              <w:szCs w:val="21"/>
              <w:lang w:val="en-US" w:eastAsia="zh-CN"/>
            </w:rPr>
            <w:t xml:space="preserve"> </w:t>
          </w:r>
          <w:r>
            <w:rPr>
              <w:rFonts w:hint="eastAsia"/>
              <w:sz w:val="21"/>
              <w:szCs w:val="21"/>
            </w:rPr>
            <w:t>包装</w:t>
          </w:r>
        </w:p>
        <w:p>
          <w:pPr>
            <w:pStyle w:val="236"/>
            <w:adjustRightInd w:val="0"/>
            <w:snapToGrid w:val="0"/>
            <w:spacing w:line="360" w:lineRule="auto"/>
            <w:ind w:firstLine="420"/>
            <w:rPr>
              <w:sz w:val="21"/>
              <w:szCs w:val="21"/>
            </w:rPr>
          </w:pPr>
          <w:r>
            <w:rPr>
              <w:rFonts w:hint="eastAsia"/>
              <w:sz w:val="21"/>
              <w:szCs w:val="21"/>
            </w:rPr>
            <w:t>应符合</w:t>
          </w:r>
          <w:r>
            <w:rPr>
              <w:sz w:val="21"/>
              <w:szCs w:val="21"/>
            </w:rPr>
            <w:t>GB/T 17109粮食销售包装</w:t>
          </w:r>
          <w:r>
            <w:rPr>
              <w:rFonts w:hint="eastAsia"/>
              <w:sz w:val="21"/>
              <w:szCs w:val="21"/>
            </w:rPr>
            <w:t>要求。</w:t>
          </w:r>
        </w:p>
        <w:p>
          <w:pPr>
            <w:pStyle w:val="235"/>
            <w:numPr>
              <w:ilvl w:val="0"/>
              <w:numId w:val="0"/>
            </w:numPr>
            <w:adjustRightInd w:val="0"/>
            <w:snapToGrid w:val="0"/>
            <w:spacing w:before="312" w:after="312" w:line="360" w:lineRule="auto"/>
            <w:ind w:leftChars="0"/>
            <w:rPr>
              <w:sz w:val="21"/>
              <w:szCs w:val="21"/>
            </w:rPr>
          </w:pPr>
          <w:r>
            <w:rPr>
              <w:rFonts w:hint="eastAsia"/>
              <w:sz w:val="21"/>
              <w:szCs w:val="21"/>
            </w:rPr>
            <w:t>1</w:t>
          </w:r>
          <w:r>
            <w:rPr>
              <w:sz w:val="21"/>
              <w:szCs w:val="21"/>
            </w:rPr>
            <w:t>5</w:t>
          </w:r>
          <w:r>
            <w:rPr>
              <w:rFonts w:hint="eastAsia"/>
              <w:sz w:val="21"/>
              <w:szCs w:val="21"/>
              <w:lang w:val="en-US" w:eastAsia="zh-CN"/>
            </w:rPr>
            <w:t xml:space="preserve"> </w:t>
          </w:r>
          <w:r>
            <w:rPr>
              <w:rFonts w:hint="eastAsia"/>
              <w:sz w:val="21"/>
              <w:szCs w:val="21"/>
            </w:rPr>
            <w:t>记录档案</w:t>
          </w:r>
        </w:p>
        <w:p>
          <w:pPr>
            <w:pStyle w:val="236"/>
            <w:adjustRightInd w:val="0"/>
            <w:snapToGrid w:val="0"/>
            <w:spacing w:line="360" w:lineRule="auto"/>
            <w:ind w:firstLine="420"/>
            <w:rPr>
              <w:rFonts w:hint="eastAsia"/>
              <w:sz w:val="21"/>
              <w:szCs w:val="21"/>
            </w:rPr>
          </w:pPr>
          <w:r>
            <w:rPr>
              <w:rFonts w:hint="eastAsia"/>
              <w:sz w:val="21"/>
              <w:szCs w:val="21"/>
            </w:rPr>
            <w:t>生产者需建立《富硒谷子生产管理档案》，生产管理档案应明确记录种植、管理、收获、贮存等各个环节内容，包括产地环境条件、生产技术、田间农事操作、投入品管理、病虫草害的发生时期、程度及防治方法，采收及采后处理、后期管理记录等情况。生产管理档案至少保存2年，做到产品可追溯。</w:t>
          </w:r>
        </w:p>
        <w:p>
          <w:pPr>
            <w:pStyle w:val="236"/>
            <w:adjustRightInd w:val="0"/>
            <w:snapToGrid w:val="0"/>
            <w:spacing w:line="360" w:lineRule="auto"/>
            <w:ind w:firstLine="420"/>
            <w:rPr>
              <w:rFonts w:hint="eastAsia"/>
              <w:sz w:val="21"/>
              <w:szCs w:val="21"/>
            </w:rPr>
          </w:pPr>
        </w:p>
        <w:p>
          <w:pPr>
            <w:pStyle w:val="236"/>
            <w:adjustRightInd w:val="0"/>
            <w:snapToGrid w:val="0"/>
            <w:spacing w:line="360" w:lineRule="auto"/>
            <w:ind w:firstLine="420"/>
            <w:rPr>
              <w:rFonts w:hint="eastAsia"/>
              <w:sz w:val="21"/>
              <w:szCs w:val="21"/>
            </w:rPr>
          </w:pPr>
        </w:p>
        <w:p>
          <w:pPr>
            <w:pStyle w:val="236"/>
          </w:pPr>
        </w:p>
      </w:sdtContent>
    </w:sdt>
    <w:sectPr>
      <w:headerReference r:id="rId15" w:type="default"/>
      <w:footerReference r:id="rId16" w:type="default"/>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roman"/>
    <w:pitch w:val="default"/>
    <w:sig w:usb0="A00002BF" w:usb1="38CF7CFA" w:usb2="00000016" w:usb3="00000000" w:csb0="0004000F" w:csb1="00000000"/>
  </w:font>
  <w:font w:name="等线 Light">
    <w:panose1 w:val="02010600030101010101"/>
    <w:charset w:val="86"/>
    <w:family w:val="roman"/>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38382944"/>
    </w:sdtPr>
    <w:sdtEndPr>
      <w:rPr>
        <w:rFonts w:ascii="宋体" w:hAnsi="宋体" w:eastAsia="宋体"/>
      </w:rPr>
    </w:sdtEndPr>
    <w:sdtContent>
      <w:p>
        <w:pPr>
          <w:pStyle w:val="17"/>
          <w:ind w:right="180" w:firstLine="180" w:firstLineChars="100"/>
          <w:jc w:val="right"/>
          <w:rPr>
            <w:rFonts w:ascii="宋体" w:hAnsi="宋体" w:eastAsia="宋体"/>
          </w:rPr>
        </w:pPr>
        <w:r>
          <w:rPr>
            <w:rFonts w:ascii="宋体" w:hAnsi="宋体" w:eastAsia="宋体"/>
          </w:rPr>
          <w:fldChar w:fldCharType="begin"/>
        </w:r>
        <w:r>
          <w:rPr>
            <w:rFonts w:ascii="宋体" w:hAnsi="宋体" w:eastAsia="宋体"/>
          </w:rPr>
          <w:instrText xml:space="preserve">PAGE   \* MERGEFORMAT</w:instrText>
        </w:r>
        <w:r>
          <w:rPr>
            <w:rFonts w:ascii="宋体" w:hAnsi="宋体" w:eastAsia="宋体"/>
          </w:rPr>
          <w:fldChar w:fldCharType="separate"/>
        </w:r>
        <w:r>
          <w:rPr>
            <w:rFonts w:ascii="宋体" w:hAnsi="宋体" w:eastAsia="宋体"/>
            <w:lang w:val="zh-CN"/>
          </w:rPr>
          <w:t>I</w:t>
        </w:r>
        <w:r>
          <w:rPr>
            <w:rFonts w:ascii="宋体" w:hAnsi="宋体" w:eastAsia="宋体"/>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180" w:firstLine="180" w:firstLineChars="100"/>
      <w:rPr>
        <w:rFonts w:ascii="宋体" w:hAnsi="宋体" w:eastAsia="宋体"/>
        <w:lang w:val="zh-CN"/>
      </w:rPr>
    </w:pPr>
    <w:r>
      <w:rPr>
        <w:rFonts w:hint="eastAsia" w:ascii="宋体" w:hAnsi="宋体" w:eastAsia="宋体"/>
        <w:lang w:val="zh-CN"/>
      </w:rPr>
      <w:t>Ⅱ</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9"/>
      <w:spacing w:before="0"/>
      <w:rPr>
        <w:rFonts w:hint="default" w:ascii="黑体" w:hAnsi="黑体" w:eastAsia="黑体"/>
        <w:sz w:val="21"/>
        <w:szCs w:val="15"/>
        <w:lang w:val="en-US" w:eastAsia="zh-CN"/>
      </w:rPr>
    </w:pPr>
    <w:bookmarkStart w:id="32" w:name="_Hlk150847747"/>
    <w:r>
      <w:rPr>
        <w:rFonts w:hint="eastAsia" w:ascii="黑体" w:hAnsi="黑体" w:eastAsia="黑体"/>
        <w:sz w:val="21"/>
        <w:szCs w:val="15"/>
      </w:rPr>
      <w:t>DB</w:t>
    </w:r>
    <w:r>
      <w:rPr>
        <w:rFonts w:ascii="黑体" w:hAnsi="黑体" w:eastAsia="黑体"/>
        <w:sz w:val="21"/>
        <w:szCs w:val="15"/>
      </w:rPr>
      <w:t xml:space="preserve"> </w:t>
    </w:r>
    <w:r>
      <w:rPr>
        <w:rFonts w:hint="eastAsia" w:ascii="黑体" w:hAnsi="黑体" w:eastAsia="黑体"/>
        <w:sz w:val="21"/>
        <w:szCs w:val="15"/>
      </w:rPr>
      <w:t xml:space="preserve">1504/T </w:t>
    </w:r>
    <w:r>
      <w:rPr>
        <w:rFonts w:hint="eastAsia" w:ascii="黑体" w:hAnsi="黑体" w:eastAsia="黑体"/>
        <w:sz w:val="21"/>
        <w:szCs w:val="15"/>
        <w:lang w:val="en-US" w:eastAsia="zh-CN"/>
      </w:rPr>
      <w:t>XXXX</w:t>
    </w:r>
    <w:r>
      <w:rPr>
        <w:rFonts w:ascii="黑体" w:hAnsi="黑体" w:eastAsia="黑体"/>
        <w:sz w:val="21"/>
        <w:szCs w:val="15"/>
      </w:rPr>
      <w:t>—</w:t>
    </w:r>
    <w:r>
      <w:rPr>
        <w:rFonts w:hint="eastAsia" w:ascii="黑体" w:hAnsi="黑体" w:eastAsia="黑体"/>
        <w:sz w:val="21"/>
        <w:szCs w:val="15"/>
        <w:lang w:val="en-US" w:eastAsia="zh-CN"/>
      </w:rPr>
      <w:t>XXXX</w:t>
    </w:r>
  </w:p>
  <w:bookmarkEnd w:id="32"/>
  <w:p>
    <w:pPr>
      <w:pStyle w:val="233"/>
      <w:jc w:val="left"/>
      <w:rPr>
        <w:sz w:val="18"/>
        <w:szCs w:val="18"/>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jc w:val="left"/>
      <w:rPr>
        <w:rFonts w:hint="default" w:ascii="黑体" w:hAnsi="黑体" w:eastAsia="黑体" w:cs="Times New Roman"/>
        <w:sz w:val="21"/>
        <w:szCs w:val="21"/>
        <w:lang w:val="en-US" w:eastAsia="zh-CN"/>
      </w:rPr>
    </w:pPr>
    <w:r>
      <w:rPr>
        <w:rFonts w:ascii="黑体" w:hAnsi="黑体" w:eastAsia="黑体" w:cs="Times New Roman"/>
        <w:sz w:val="21"/>
        <w:szCs w:val="21"/>
      </w:rPr>
      <w:t xml:space="preserve">DB </w:t>
    </w:r>
    <w:r>
      <w:rPr>
        <w:rFonts w:hint="eastAsia" w:ascii="黑体" w:hAnsi="黑体" w:eastAsia="黑体" w:cs="Times New Roman"/>
        <w:sz w:val="21"/>
        <w:szCs w:val="21"/>
      </w:rPr>
      <w:t>1504</w:t>
    </w:r>
    <w:r>
      <w:rPr>
        <w:rFonts w:hint="eastAsia" w:ascii="黑体" w:hAnsi="黑体" w:eastAsia="黑体"/>
        <w:sz w:val="21"/>
        <w:szCs w:val="15"/>
      </w:rPr>
      <w:t xml:space="preserve">/T </w:t>
    </w:r>
    <w:r>
      <w:rPr>
        <w:rFonts w:hint="eastAsia" w:ascii="黑体" w:hAnsi="黑体" w:eastAsia="黑体"/>
        <w:sz w:val="21"/>
        <w:szCs w:val="15"/>
        <w:lang w:val="en-US" w:eastAsia="zh-CN"/>
      </w:rPr>
      <w:t>XXXX</w:t>
    </w:r>
    <w:r>
      <w:rPr>
        <w:rFonts w:ascii="黑体" w:hAnsi="黑体" w:eastAsia="黑体"/>
        <w:sz w:val="21"/>
        <w:szCs w:val="15"/>
      </w:rPr>
      <w:t>—</w:t>
    </w:r>
    <w:r>
      <w:rPr>
        <w:rFonts w:hint="eastAsia" w:ascii="黑体" w:hAnsi="黑体" w:eastAsia="黑体"/>
        <w:sz w:val="21"/>
        <w:szCs w:val="15"/>
        <w:lang w:val="en-US" w:eastAsia="zh-CN"/>
      </w:rPr>
      <w:t>XXXX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DB1504/T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1FC91163"/>
    <w:multiLevelType w:val="multilevel"/>
    <w:tmpl w:val="1FC91163"/>
    <w:lvl w:ilvl="0" w:tentative="0">
      <w:start w:val="1"/>
      <w:numFmt w:val="decimal"/>
      <w:pStyle w:val="235"/>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7"/>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2F5D3243"/>
    <w:multiLevelType w:val="multilevel"/>
    <w:tmpl w:val="2F5D3243"/>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pStyle w:val="243"/>
      <w:lvlText w:val="%1.%2.%3.%4."/>
      <w:lvlJc w:val="left"/>
      <w:pPr>
        <w:ind w:left="1135"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3">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4">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6">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9">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tentative="0">
      <w:start w:val="1"/>
      <w:numFmt w:val="decimal"/>
      <w:pStyle w:val="113"/>
      <w:suff w:val="nothing"/>
      <w:lvlText w:val="表%1　"/>
      <w:lvlJc w:val="left"/>
      <w:pPr>
        <w:ind w:left="397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4">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5">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7">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2">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9"/>
  </w:num>
  <w:num w:numId="3">
    <w:abstractNumId w:val="5"/>
  </w:num>
  <w:num w:numId="4">
    <w:abstractNumId w:val="25"/>
  </w:num>
  <w:num w:numId="5">
    <w:abstractNumId w:val="20"/>
  </w:num>
  <w:num w:numId="6">
    <w:abstractNumId w:val="15"/>
  </w:num>
  <w:num w:numId="7">
    <w:abstractNumId w:val="8"/>
  </w:num>
  <w:num w:numId="8">
    <w:abstractNumId w:val="3"/>
  </w:num>
  <w:num w:numId="9">
    <w:abstractNumId w:val="9"/>
  </w:num>
  <w:num w:numId="10">
    <w:abstractNumId w:val="18"/>
  </w:num>
  <w:num w:numId="11">
    <w:abstractNumId w:val="27"/>
  </w:num>
  <w:num w:numId="12">
    <w:abstractNumId w:val="13"/>
  </w:num>
  <w:num w:numId="13">
    <w:abstractNumId w:val="14"/>
  </w:num>
  <w:num w:numId="14">
    <w:abstractNumId w:val="7"/>
  </w:num>
  <w:num w:numId="15">
    <w:abstractNumId w:val="21"/>
  </w:num>
  <w:num w:numId="16">
    <w:abstractNumId w:val="23"/>
  </w:num>
  <w:num w:numId="17">
    <w:abstractNumId w:val="19"/>
  </w:num>
  <w:num w:numId="18">
    <w:abstractNumId w:val="31"/>
  </w:num>
  <w:num w:numId="19">
    <w:abstractNumId w:val="17"/>
  </w:num>
  <w:num w:numId="20">
    <w:abstractNumId w:val="1"/>
  </w:num>
  <w:num w:numId="21">
    <w:abstractNumId w:val="11"/>
  </w:num>
  <w:num w:numId="22">
    <w:abstractNumId w:val="32"/>
  </w:num>
  <w:num w:numId="23">
    <w:abstractNumId w:val="22"/>
  </w:num>
  <w:num w:numId="24">
    <w:abstractNumId w:val="6"/>
  </w:num>
  <w:num w:numId="25">
    <w:abstractNumId w:val="28"/>
  </w:num>
  <w:num w:numId="26">
    <w:abstractNumId w:val="30"/>
  </w:num>
  <w:num w:numId="27">
    <w:abstractNumId w:val="2"/>
  </w:num>
  <w:num w:numId="28">
    <w:abstractNumId w:val="4"/>
  </w:num>
  <w:num w:numId="29">
    <w:abstractNumId w:val="16"/>
  </w:num>
  <w:num w:numId="30">
    <w:abstractNumId w:val="26"/>
  </w:num>
  <w:num w:numId="31">
    <w:abstractNumId w:val="24"/>
  </w:num>
  <w:num w:numId="32">
    <w:abstractNumId w:val="10"/>
  </w:num>
  <w:num w:numId="3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DRmZDI3MjI4NDUxZjhhZDM5MjY0ZGY3MDgyMjc2MTcifQ=="/>
  </w:docVars>
  <w:rsids>
    <w:rsidRoot w:val="00E92D57"/>
    <w:rsid w:val="0000040A"/>
    <w:rsid w:val="00000A94"/>
    <w:rsid w:val="00001972"/>
    <w:rsid w:val="00001D9A"/>
    <w:rsid w:val="00006E79"/>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29C"/>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5716"/>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588"/>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25E0"/>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1D9"/>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1C7E"/>
    <w:rsid w:val="00445574"/>
    <w:rsid w:val="004467FB"/>
    <w:rsid w:val="00452D6B"/>
    <w:rsid w:val="00454484"/>
    <w:rsid w:val="0045517B"/>
    <w:rsid w:val="00463B77"/>
    <w:rsid w:val="00463C7B"/>
    <w:rsid w:val="004644A6"/>
    <w:rsid w:val="004659BD"/>
    <w:rsid w:val="00467D00"/>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0D21"/>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97E89"/>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6F6DF6"/>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00C6"/>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46C11"/>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2752"/>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5FCF"/>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111"/>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47441"/>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8A7"/>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655"/>
    <w:rsid w:val="00B939B1"/>
    <w:rsid w:val="00B96D40"/>
    <w:rsid w:val="00B97386"/>
    <w:rsid w:val="00BA263B"/>
    <w:rsid w:val="00BA42B2"/>
    <w:rsid w:val="00BA58D4"/>
    <w:rsid w:val="00BA5B9E"/>
    <w:rsid w:val="00BA7C9A"/>
    <w:rsid w:val="00BB203B"/>
    <w:rsid w:val="00BB34B1"/>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36322"/>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4E73"/>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0E2A"/>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3DFE"/>
    <w:rsid w:val="00E846C8"/>
    <w:rsid w:val="00E84957"/>
    <w:rsid w:val="00E84A55"/>
    <w:rsid w:val="00E85BFF"/>
    <w:rsid w:val="00E90391"/>
    <w:rsid w:val="00E906C2"/>
    <w:rsid w:val="00E92D57"/>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62F6"/>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5DD0"/>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2343830"/>
    <w:rsid w:val="05035C62"/>
    <w:rsid w:val="066868C0"/>
    <w:rsid w:val="0BFD1FAB"/>
    <w:rsid w:val="0CFA4CFF"/>
    <w:rsid w:val="0EF75616"/>
    <w:rsid w:val="132C72CB"/>
    <w:rsid w:val="15E57F55"/>
    <w:rsid w:val="196229FF"/>
    <w:rsid w:val="1B111B4F"/>
    <w:rsid w:val="1B7F0DE3"/>
    <w:rsid w:val="1DA86AD8"/>
    <w:rsid w:val="1EB04003"/>
    <w:rsid w:val="217C30B5"/>
    <w:rsid w:val="2A6B74CB"/>
    <w:rsid w:val="2AA75275"/>
    <w:rsid w:val="35BF731B"/>
    <w:rsid w:val="35D023FC"/>
    <w:rsid w:val="39411873"/>
    <w:rsid w:val="3BC83884"/>
    <w:rsid w:val="453F2418"/>
    <w:rsid w:val="4E5F0337"/>
    <w:rsid w:val="519A1FFA"/>
    <w:rsid w:val="58D25A1D"/>
    <w:rsid w:val="5D0C7301"/>
    <w:rsid w:val="65205DE7"/>
    <w:rsid w:val="672E733A"/>
    <w:rsid w:val="6D1C2BBC"/>
    <w:rsid w:val="7A747DC6"/>
    <w:rsid w:val="7E9D7114"/>
    <w:rsid w:val="7FB4591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Normal (Web)"/>
    <w:basedOn w:val="1"/>
    <w:unhideWhenUsed/>
    <w:qFormat/>
    <w:uiPriority w:val="99"/>
    <w:pPr>
      <w:spacing w:before="100" w:beforeAutospacing="1" w:after="100" w:afterAutospacing="1"/>
    </w:pPr>
    <w:rPr>
      <w:rFonts w:ascii="宋体" w:hAnsi="宋体" w:eastAsia="宋体" w:cs="宋体"/>
      <w:kern w:val="0"/>
      <w:sz w:val="24"/>
      <w:szCs w:val="24"/>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Char"/>
    <w:link w:val="2"/>
    <w:qFormat/>
    <w:uiPriority w:val="0"/>
    <w:rPr>
      <w:b/>
      <w:bCs/>
      <w:kern w:val="44"/>
      <w:sz w:val="44"/>
      <w:szCs w:val="44"/>
    </w:rPr>
  </w:style>
  <w:style w:type="character" w:customStyle="1" w:styleId="36">
    <w:name w:val="标题 2 Char"/>
    <w:link w:val="3"/>
    <w:qFormat/>
    <w:uiPriority w:val="0"/>
    <w:rPr>
      <w:rFonts w:ascii="Arial" w:hAnsi="Arial" w:eastAsia="黑体"/>
      <w:b/>
      <w:bCs/>
      <w:kern w:val="2"/>
      <w:sz w:val="32"/>
      <w:szCs w:val="32"/>
    </w:rPr>
  </w:style>
  <w:style w:type="character" w:customStyle="1" w:styleId="37">
    <w:name w:val="标题 3 Char"/>
    <w:link w:val="4"/>
    <w:qFormat/>
    <w:uiPriority w:val="0"/>
    <w:rPr>
      <w:b/>
      <w:bCs/>
      <w:kern w:val="2"/>
      <w:sz w:val="32"/>
      <w:szCs w:val="32"/>
    </w:rPr>
  </w:style>
  <w:style w:type="character" w:customStyle="1" w:styleId="38">
    <w:name w:val="标题 4 Char"/>
    <w:link w:val="5"/>
    <w:qFormat/>
    <w:uiPriority w:val="0"/>
    <w:rPr>
      <w:rFonts w:ascii="Arial" w:hAnsi="Arial" w:eastAsia="黑体"/>
      <w:b/>
      <w:bCs/>
      <w:kern w:val="2"/>
      <w:sz w:val="28"/>
      <w:szCs w:val="28"/>
    </w:rPr>
  </w:style>
  <w:style w:type="character" w:customStyle="1" w:styleId="39">
    <w:name w:val="标题 5 Char"/>
    <w:link w:val="6"/>
    <w:qFormat/>
    <w:uiPriority w:val="0"/>
    <w:rPr>
      <w:b/>
      <w:bCs/>
      <w:kern w:val="2"/>
      <w:sz w:val="28"/>
      <w:szCs w:val="28"/>
    </w:rPr>
  </w:style>
  <w:style w:type="character" w:customStyle="1" w:styleId="40">
    <w:name w:val="标题 6 Char"/>
    <w:link w:val="7"/>
    <w:qFormat/>
    <w:uiPriority w:val="0"/>
    <w:rPr>
      <w:rFonts w:ascii="Arial" w:hAnsi="Arial" w:eastAsia="黑体"/>
      <w:b/>
      <w:bCs/>
      <w:kern w:val="2"/>
      <w:sz w:val="24"/>
      <w:szCs w:val="24"/>
    </w:rPr>
  </w:style>
  <w:style w:type="character" w:customStyle="1" w:styleId="41">
    <w:name w:val="标题 7 Char"/>
    <w:link w:val="8"/>
    <w:qFormat/>
    <w:uiPriority w:val="0"/>
    <w:rPr>
      <w:b/>
      <w:bCs/>
      <w:kern w:val="2"/>
      <w:sz w:val="24"/>
      <w:szCs w:val="24"/>
    </w:rPr>
  </w:style>
  <w:style w:type="character" w:customStyle="1" w:styleId="42">
    <w:name w:val="标题 8 Char"/>
    <w:link w:val="9"/>
    <w:qFormat/>
    <w:uiPriority w:val="0"/>
    <w:rPr>
      <w:rFonts w:ascii="Arial" w:hAnsi="Arial" w:eastAsia="黑体"/>
      <w:kern w:val="2"/>
      <w:sz w:val="24"/>
      <w:szCs w:val="24"/>
    </w:rPr>
  </w:style>
  <w:style w:type="character" w:customStyle="1" w:styleId="43">
    <w:name w:val="标题 9 Char"/>
    <w:link w:val="10"/>
    <w:autoRedefine/>
    <w:qFormat/>
    <w:uiPriority w:val="0"/>
    <w:rPr>
      <w:rFonts w:ascii="Arial" w:hAnsi="Arial" w:eastAsia="黑体"/>
      <w:kern w:val="2"/>
      <w:sz w:val="21"/>
      <w:szCs w:val="21"/>
    </w:rPr>
  </w:style>
  <w:style w:type="character" w:customStyle="1" w:styleId="44">
    <w:name w:val="页眉 Char"/>
    <w:link w:val="18"/>
    <w:autoRedefine/>
    <w:qFormat/>
    <w:uiPriority w:val="99"/>
    <w:rPr>
      <w:kern w:val="2"/>
      <w:sz w:val="18"/>
      <w:szCs w:val="18"/>
    </w:rPr>
  </w:style>
  <w:style w:type="character" w:customStyle="1" w:styleId="45">
    <w:name w:val="页脚 Char"/>
    <w:link w:val="17"/>
    <w:autoRedefine/>
    <w:qFormat/>
    <w:uiPriority w:val="99"/>
    <w:rPr>
      <w:rFonts w:ascii="宋体"/>
      <w:kern w:val="2"/>
      <w:sz w:val="18"/>
      <w:szCs w:val="18"/>
    </w:rPr>
  </w:style>
  <w:style w:type="character" w:customStyle="1" w:styleId="46">
    <w:name w:val="批注框文本 Char"/>
    <w:link w:val="16"/>
    <w:autoRedefine/>
    <w:semiHidden/>
    <w:qFormat/>
    <w:uiPriority w:val="99"/>
    <w:rPr>
      <w:kern w:val="2"/>
      <w:sz w:val="18"/>
      <w:szCs w:val="18"/>
    </w:rPr>
  </w:style>
  <w:style w:type="paragraph" w:styleId="47">
    <w:name w:val="Quote"/>
    <w:basedOn w:val="1"/>
    <w:next w:val="1"/>
    <w:link w:val="48"/>
    <w:autoRedefine/>
    <w:qFormat/>
    <w:uiPriority w:val="29"/>
    <w:rPr>
      <w:i/>
      <w:iCs/>
      <w:color w:val="000000"/>
    </w:rPr>
  </w:style>
  <w:style w:type="character" w:customStyle="1" w:styleId="48">
    <w:name w:val="引用 Char"/>
    <w:link w:val="47"/>
    <w:autoRedefine/>
    <w:qFormat/>
    <w:uiPriority w:val="29"/>
    <w:rPr>
      <w:i/>
      <w:iCs/>
      <w:color w:val="000000"/>
      <w:kern w:val="2"/>
      <w:sz w:val="21"/>
      <w:szCs w:val="21"/>
    </w:rPr>
  </w:style>
  <w:style w:type="character" w:customStyle="1" w:styleId="49">
    <w:name w:val="标题 Char"/>
    <w:link w:val="26"/>
    <w:autoRedefine/>
    <w:qFormat/>
    <w:uiPriority w:val="0"/>
    <w:rPr>
      <w:rFonts w:ascii="Arial" w:hAnsi="Arial" w:cs="Arial"/>
      <w:b/>
      <w:bCs/>
      <w:kern w:val="2"/>
      <w:sz w:val="32"/>
      <w:szCs w:val="32"/>
    </w:rPr>
  </w:style>
  <w:style w:type="paragraph" w:customStyle="1" w:styleId="50">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autoRedefine/>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autoRedefine/>
    <w:qFormat/>
    <w:uiPriority w:val="0"/>
    <w:pPr>
      <w:spacing w:line="0" w:lineRule="atLeast"/>
    </w:pPr>
    <w:rPr>
      <w:rFonts w:ascii="黑体" w:hAnsi="宋体" w:eastAsia="黑体"/>
    </w:rPr>
  </w:style>
  <w:style w:type="paragraph" w:customStyle="1" w:styleId="56">
    <w:name w:val="标准文件_标准正文"/>
    <w:basedOn w:val="1"/>
    <w:next w:val="57"/>
    <w:autoRedefine/>
    <w:qFormat/>
    <w:uiPriority w:val="0"/>
    <w:pPr>
      <w:snapToGrid w:val="0"/>
      <w:ind w:firstLine="200" w:firstLineChars="200"/>
    </w:pPr>
    <w:rPr>
      <w:kern w:val="0"/>
    </w:rPr>
  </w:style>
  <w:style w:type="paragraph" w:customStyle="1" w:styleId="57">
    <w:name w:val="标准文件_段"/>
    <w:link w:val="185"/>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autoRedefine/>
    <w:qFormat/>
    <w:uiPriority w:val="0"/>
    <w:pPr>
      <w:adjustRightInd/>
      <w:snapToGrid/>
      <w:ind w:firstLine="0" w:firstLineChars="0"/>
    </w:pPr>
    <w:rPr>
      <w:rFonts w:ascii="宋体" w:hAnsi="宋体"/>
      <w:kern w:val="2"/>
    </w:rPr>
  </w:style>
  <w:style w:type="paragraph" w:customStyle="1" w:styleId="59">
    <w:name w:val="标准文件_标准部门"/>
    <w:basedOn w:val="1"/>
    <w:autoRedefine/>
    <w:qFormat/>
    <w:uiPriority w:val="0"/>
    <w:pPr>
      <w:jc w:val="center"/>
    </w:pPr>
    <w:rPr>
      <w:rFonts w:ascii="黑体" w:eastAsia="黑体"/>
      <w:kern w:val="0"/>
      <w:sz w:val="44"/>
    </w:rPr>
  </w:style>
  <w:style w:type="paragraph" w:customStyle="1" w:styleId="60">
    <w:name w:val="标准文件_标准代替"/>
    <w:basedOn w:val="1"/>
    <w:next w:val="1"/>
    <w:autoRedefine/>
    <w:qFormat/>
    <w:uiPriority w:val="0"/>
    <w:pPr>
      <w:spacing w:line="310" w:lineRule="exact"/>
      <w:jc w:val="right"/>
    </w:pPr>
    <w:rPr>
      <w:rFonts w:ascii="宋体" w:hAnsi="宋体"/>
      <w:kern w:val="0"/>
    </w:rPr>
  </w:style>
  <w:style w:type="paragraph" w:customStyle="1" w:styleId="61">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autoRedefine/>
    <w:qFormat/>
    <w:uiPriority w:val="0"/>
    <w:pPr>
      <w:jc w:val="left"/>
    </w:pPr>
  </w:style>
  <w:style w:type="paragraph" w:customStyle="1" w:styleId="64">
    <w:name w:val="标准文件_参考文献标题"/>
    <w:basedOn w:val="1"/>
    <w:next w:val="1"/>
    <w:autoRedefine/>
    <w:qFormat/>
    <w:uiPriority w:val="0"/>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65">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autoRedefine/>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7">
    <w:name w:val="标准文件_发布"/>
    <w:autoRedefine/>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autoRedefine/>
    <w:qFormat/>
    <w:uiPriority w:val="0"/>
    <w:pPr>
      <w:spacing w:line="310" w:lineRule="exact"/>
      <w:jc w:val="right"/>
    </w:pPr>
    <w:rPr>
      <w:rFonts w:ascii="黑体" w:eastAsia="黑体"/>
      <w:kern w:val="0"/>
      <w:sz w:val="28"/>
    </w:rPr>
  </w:style>
  <w:style w:type="paragraph" w:customStyle="1" w:styleId="70">
    <w:name w:val="标准文件_封面标准分类号"/>
    <w:basedOn w:val="1"/>
    <w:autoRedefine/>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autoRedefine/>
    <w:qFormat/>
    <w:uiPriority w:val="0"/>
    <w:pPr>
      <w:spacing w:line="240" w:lineRule="auto"/>
      <w:jc w:val="center"/>
    </w:pPr>
    <w:rPr>
      <w:rFonts w:ascii="黑体" w:eastAsia="黑体"/>
      <w:b/>
      <w:sz w:val="28"/>
    </w:rPr>
  </w:style>
  <w:style w:type="paragraph" w:customStyle="1" w:styleId="73">
    <w:name w:val="标准文件_封面发布日期"/>
    <w:basedOn w:val="1"/>
    <w:autoRedefine/>
    <w:qFormat/>
    <w:uiPriority w:val="0"/>
    <w:pPr>
      <w:spacing w:line="310" w:lineRule="exact"/>
    </w:pPr>
    <w:rPr>
      <w:rFonts w:ascii="黑体" w:eastAsia="黑体"/>
      <w:kern w:val="0"/>
      <w:sz w:val="28"/>
    </w:rPr>
  </w:style>
  <w:style w:type="paragraph" w:customStyle="1" w:styleId="74">
    <w:name w:val="标准文件_封面密级"/>
    <w:basedOn w:val="1"/>
    <w:autoRedefine/>
    <w:qFormat/>
    <w:uiPriority w:val="0"/>
    <w:rPr>
      <w:rFonts w:eastAsia="黑体"/>
      <w:sz w:val="32"/>
    </w:rPr>
  </w:style>
  <w:style w:type="paragraph" w:customStyle="1" w:styleId="75">
    <w:name w:val="标准文件_封面实施日期"/>
    <w:basedOn w:val="1"/>
    <w:autoRedefine/>
    <w:qFormat/>
    <w:uiPriority w:val="0"/>
    <w:pPr>
      <w:spacing w:line="310" w:lineRule="exact"/>
      <w:jc w:val="right"/>
    </w:pPr>
    <w:rPr>
      <w:rFonts w:ascii="黑体" w:eastAsia="黑体"/>
      <w:sz w:val="28"/>
    </w:rPr>
  </w:style>
  <w:style w:type="paragraph" w:customStyle="1" w:styleId="76">
    <w:name w:val="标准文件_封面抬头"/>
    <w:basedOn w:val="57"/>
    <w:autoRedefine/>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autoRedefine/>
    <w:qFormat/>
    <w:uiPriority w:val="0"/>
    <w:pPr>
      <w:numPr>
        <w:ilvl w:val="0"/>
        <w:numId w:val="4"/>
      </w:numPr>
      <w:shd w:val="clear" w:color="FFFFFF"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autoRedefine/>
    <w:qFormat/>
    <w:uiPriority w:val="0"/>
    <w:pPr>
      <w:numPr>
        <w:ilvl w:val="1"/>
        <w:numId w:val="5"/>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autoRedefine/>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autoRedefine/>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autoRedefine/>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autoRedefine/>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autoRedefine/>
    <w:qFormat/>
    <w:uiPriority w:val="0"/>
    <w:pPr>
      <w:numPr>
        <w:ilvl w:val="1"/>
        <w:numId w:val="6"/>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autoRedefine/>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Char"/>
    <w:link w:val="13"/>
    <w:autoRedefine/>
    <w:qFormat/>
    <w:uiPriority w:val="0"/>
    <w:rPr>
      <w:kern w:val="2"/>
      <w:sz w:val="21"/>
      <w:szCs w:val="21"/>
    </w:rPr>
  </w:style>
  <w:style w:type="paragraph" w:customStyle="1" w:styleId="88">
    <w:name w:val="标准文件_附录章标题"/>
    <w:next w:val="57"/>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autoRedefine/>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autoRedefine/>
    <w:qFormat/>
    <w:uiPriority w:val="0"/>
    <w:pPr>
      <w:spacing w:line="460" w:lineRule="exact"/>
      <w:ind w:left="0" w:firstLine="0"/>
    </w:pPr>
  </w:style>
  <w:style w:type="paragraph" w:customStyle="1" w:styleId="92">
    <w:name w:val="标准文件_目录标题"/>
    <w:basedOn w:val="1"/>
    <w:qFormat/>
    <w:uiPriority w:val="0"/>
    <w:pPr>
      <w:spacing w:before="480" w:afterLines="150" w:line="240" w:lineRule="auto"/>
      <w:jc w:val="center"/>
    </w:pPr>
    <w:rPr>
      <w:rFonts w:ascii="黑体" w:eastAsia="黑体"/>
      <w:sz w:val="32"/>
    </w:rPr>
  </w:style>
  <w:style w:type="paragraph" w:customStyle="1" w:styleId="93">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autoRedefine/>
    <w:qFormat/>
    <w:uiPriority w:val="0"/>
    <w:pPr>
      <w:widowControl/>
      <w:numPr>
        <w:ilvl w:val="4"/>
      </w:numPr>
      <w:outlineLvl w:val="3"/>
    </w:pPr>
  </w:style>
  <w:style w:type="character" w:customStyle="1" w:styleId="96">
    <w:name w:val="不明显参考1"/>
    <w:autoRedefine/>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0">
    <w:name w:val="脚注文本 Char"/>
    <w:link w:val="21"/>
    <w:autoRedefine/>
    <w:semiHidden/>
    <w:qFormat/>
    <w:uiPriority w:val="0"/>
    <w:rPr>
      <w:rFonts w:ascii="宋体"/>
      <w:kern w:val="2"/>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autoRedefine/>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autoRedefine/>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autoRedefine/>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autoRedefine/>
    <w:qFormat/>
    <w:uiPriority w:val="0"/>
    <w:pPr>
      <w:numPr>
        <w:ilvl w:val="2"/>
      </w:numPr>
      <w:spacing w:beforeLines="50" w:afterLines="50"/>
      <w:outlineLvl w:val="1"/>
    </w:pPr>
  </w:style>
  <w:style w:type="paragraph" w:customStyle="1" w:styleId="107">
    <w:name w:val="标准文件_一致程度"/>
    <w:basedOn w:val="1"/>
    <w:autoRedefine/>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autoRedefine/>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autoRedefine/>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autoRedefine/>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autoRedefine/>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autoRedefine/>
    <w:qFormat/>
    <w:uiPriority w:val="0"/>
    <w:pPr>
      <w:outlineLvl w:val="5"/>
    </w:pPr>
  </w:style>
  <w:style w:type="paragraph" w:customStyle="1" w:styleId="132">
    <w:name w:val="附录图"/>
    <w:next w:val="57"/>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autoRedefine/>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autoRedefine/>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autoRedefine/>
    <w:qFormat/>
    <w:uiPriority w:val="0"/>
    <w:pPr>
      <w:tabs>
        <w:tab w:val="left" w:pos="840"/>
      </w:tabs>
    </w:pPr>
  </w:style>
  <w:style w:type="paragraph" w:customStyle="1" w:styleId="142">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autoRedefine/>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autoRedefine/>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autoRedefine/>
    <w:semiHidden/>
    <w:qFormat/>
    <w:uiPriority w:val="0"/>
    <w:pPr>
      <w:ind w:left="1260"/>
    </w:pPr>
  </w:style>
  <w:style w:type="paragraph" w:customStyle="1" w:styleId="149">
    <w:name w:val="目录 81"/>
    <w:basedOn w:val="148"/>
    <w:autoRedefine/>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5">
    <w:name w:val="实施日期"/>
    <w:basedOn w:val="121"/>
    <w:autoRedefine/>
    <w:qFormat/>
    <w:uiPriority w:val="0"/>
    <w:pPr>
      <w:framePr w:hSpace="0" w:wrap="around" w:xAlign="right"/>
      <w:jc w:val="right"/>
    </w:pPr>
  </w:style>
  <w:style w:type="paragraph" w:customStyle="1" w:styleId="156">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Lines="0" w:afterLines="0"/>
      <w:outlineLvl w:val="9"/>
    </w:pPr>
    <w:rPr>
      <w:rFonts w:ascii="宋体" w:eastAsia="宋体"/>
    </w:rPr>
  </w:style>
  <w:style w:type="paragraph" w:customStyle="1" w:styleId="164">
    <w:name w:val="标准文件_五级无标题"/>
    <w:basedOn w:val="104"/>
    <w:qFormat/>
    <w:uiPriority w:val="0"/>
    <w:pPr>
      <w:spacing w:beforeLines="0" w:afterLines="0"/>
      <w:outlineLvl w:val="9"/>
    </w:pPr>
    <w:rPr>
      <w:rFonts w:ascii="宋体" w:eastAsia="宋体"/>
    </w:rPr>
  </w:style>
  <w:style w:type="paragraph" w:customStyle="1" w:styleId="165">
    <w:name w:val="标准文件_三级无标题"/>
    <w:basedOn w:val="95"/>
    <w:qFormat/>
    <w:uiPriority w:val="0"/>
    <w:pPr>
      <w:spacing w:beforeLines="0" w:afterLines="0"/>
      <w:outlineLvl w:val="9"/>
    </w:pPr>
    <w:rPr>
      <w:rFonts w:ascii="宋体" w:eastAsia="宋体"/>
    </w:rPr>
  </w:style>
  <w:style w:type="paragraph" w:customStyle="1" w:styleId="166">
    <w:name w:val="标准文件_二级无标题"/>
    <w:basedOn w:val="66"/>
    <w:qFormat/>
    <w:uiPriority w:val="0"/>
    <w:pPr>
      <w:spacing w:beforeLines="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Lines="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Lines="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Lines="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Lines="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Lines="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Lines="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Lines="0" w:afterLines="0" w:line="276" w:lineRule="auto"/>
      <w:outlineLvl w:val="9"/>
    </w:pPr>
    <w:rPr>
      <w:rFonts w:ascii="宋体" w:eastAsia="宋体"/>
    </w:rPr>
  </w:style>
  <w:style w:type="paragraph" w:customStyle="1" w:styleId="213">
    <w:name w:val="标准文件_附录二级无标题"/>
    <w:basedOn w:val="80"/>
    <w:qFormat/>
    <w:uiPriority w:val="0"/>
    <w:pPr>
      <w:spacing w:beforeLines="0" w:afterLines="0" w:line="276" w:lineRule="auto"/>
      <w:outlineLvl w:val="9"/>
    </w:pPr>
    <w:rPr>
      <w:rFonts w:ascii="宋体" w:eastAsia="宋体"/>
    </w:rPr>
  </w:style>
  <w:style w:type="paragraph" w:customStyle="1" w:styleId="214">
    <w:name w:val="标准文件_附录三级无标题"/>
    <w:basedOn w:val="82"/>
    <w:qFormat/>
    <w:uiPriority w:val="0"/>
    <w:pPr>
      <w:spacing w:beforeLines="0" w:afterLines="0" w:line="276" w:lineRule="auto"/>
      <w:outlineLvl w:val="9"/>
    </w:pPr>
    <w:rPr>
      <w:rFonts w:ascii="宋体" w:eastAsia="宋体"/>
    </w:rPr>
  </w:style>
  <w:style w:type="paragraph" w:customStyle="1" w:styleId="215">
    <w:name w:val="标准文件_附录四级无标题"/>
    <w:basedOn w:val="83"/>
    <w:qFormat/>
    <w:uiPriority w:val="0"/>
    <w:pPr>
      <w:spacing w:beforeLines="0" w:afterLines="0" w:line="276" w:lineRule="auto"/>
      <w:outlineLvl w:val="9"/>
    </w:pPr>
    <w:rPr>
      <w:rFonts w:ascii="宋体" w:eastAsia="宋体"/>
    </w:rPr>
  </w:style>
  <w:style w:type="paragraph" w:customStyle="1" w:styleId="216">
    <w:name w:val="标准文件_附录五级无标题"/>
    <w:basedOn w:val="85"/>
    <w:qFormat/>
    <w:uiPriority w:val="0"/>
    <w:pPr>
      <w:spacing w:beforeLines="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Lines="0" w:afterLines="0" w:line="276" w:lineRule="auto"/>
    </w:pPr>
    <w:rPr>
      <w:rFonts w:ascii="宋体" w:eastAsia="宋体"/>
    </w:rPr>
  </w:style>
  <w:style w:type="paragraph" w:customStyle="1" w:styleId="218">
    <w:name w:val="标准文件_引言二级无标题"/>
    <w:basedOn w:val="202"/>
    <w:next w:val="57"/>
    <w:qFormat/>
    <w:uiPriority w:val="0"/>
    <w:pPr>
      <w:spacing w:beforeLines="0" w:afterLines="0" w:line="276" w:lineRule="auto"/>
    </w:pPr>
    <w:rPr>
      <w:rFonts w:ascii="宋体" w:eastAsia="宋体"/>
    </w:rPr>
  </w:style>
  <w:style w:type="paragraph" w:customStyle="1" w:styleId="219">
    <w:name w:val="标准文件_引言三级无标题"/>
    <w:basedOn w:val="203"/>
    <w:qFormat/>
    <w:uiPriority w:val="0"/>
    <w:pPr>
      <w:spacing w:beforeLines="0" w:afterLines="0" w:line="276" w:lineRule="auto"/>
    </w:pPr>
    <w:rPr>
      <w:rFonts w:ascii="宋体" w:eastAsia="宋体"/>
    </w:rPr>
  </w:style>
  <w:style w:type="paragraph" w:customStyle="1" w:styleId="220">
    <w:name w:val="标准文件_引言四级无标题"/>
    <w:basedOn w:val="204"/>
    <w:next w:val="57"/>
    <w:qFormat/>
    <w:uiPriority w:val="0"/>
    <w:pPr>
      <w:spacing w:beforeLines="0" w:afterLines="0" w:line="276" w:lineRule="auto"/>
    </w:pPr>
    <w:rPr>
      <w:rFonts w:ascii="宋体" w:eastAsia="宋体"/>
    </w:rPr>
  </w:style>
  <w:style w:type="paragraph" w:customStyle="1" w:styleId="221">
    <w:name w:val="标准文件_引言五级无标题"/>
    <w:basedOn w:val="205"/>
    <w:next w:val="57"/>
    <w:qFormat/>
    <w:uiPriority w:val="0"/>
    <w:pPr>
      <w:spacing w:beforeLines="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paragraph" w:customStyle="1" w:styleId="231">
    <w:name w:val="正文表标题"/>
    <w:next w:val="1"/>
    <w:qFormat/>
    <w:uiPriority w:val="0"/>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232">
    <w:name w:val=" Char1"/>
    <w:basedOn w:val="1"/>
    <w:autoRedefine/>
    <w:qFormat/>
    <w:uiPriority w:val="0"/>
    <w:pPr>
      <w:widowControl/>
      <w:adjustRightInd/>
      <w:spacing w:after="160" w:line="240" w:lineRule="exact"/>
      <w:jc w:val="left"/>
    </w:pPr>
    <w:rPr>
      <w:rFonts w:ascii="Verdana" w:hAnsi="Verdana" w:eastAsia="仿宋_GB2312"/>
      <w:kern w:val="0"/>
      <w:sz w:val="24"/>
      <w:szCs w:val="20"/>
      <w:lang w:eastAsia="en-US"/>
    </w:rPr>
  </w:style>
  <w:style w:type="paragraph" w:customStyle="1" w:styleId="233">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234">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235">
    <w:name w:val="章标题"/>
    <w:next w:val="236"/>
    <w:qFormat/>
    <w:uiPriority w:val="0"/>
    <w:pPr>
      <w:numPr>
        <w:ilvl w:val="0"/>
        <w:numId w:val="32"/>
      </w:numPr>
      <w:spacing w:beforeLines="100" w:afterLines="100"/>
      <w:jc w:val="both"/>
      <w:outlineLvl w:val="1"/>
    </w:pPr>
    <w:rPr>
      <w:rFonts w:ascii="黑体" w:hAnsi="Times New Roman" w:eastAsia="黑体" w:cs="Times New Roman"/>
      <w:sz w:val="21"/>
      <w:lang w:val="en-US" w:eastAsia="zh-CN" w:bidi="ar-SA"/>
    </w:rPr>
  </w:style>
  <w:style w:type="paragraph" w:customStyle="1" w:styleId="236">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7">
    <w:name w:val="一级条标题"/>
    <w:next w:val="236"/>
    <w:qFormat/>
    <w:uiPriority w:val="0"/>
    <w:pPr>
      <w:numPr>
        <w:ilvl w:val="1"/>
        <w:numId w:val="32"/>
      </w:numPr>
      <w:spacing w:beforeLines="50" w:afterLines="50"/>
      <w:outlineLvl w:val="2"/>
    </w:pPr>
    <w:rPr>
      <w:rFonts w:ascii="黑体" w:hAnsi="Times New Roman" w:eastAsia="黑体" w:cs="Times New Roman"/>
      <w:sz w:val="21"/>
      <w:szCs w:val="21"/>
      <w:lang w:val="en-US" w:eastAsia="zh-CN" w:bidi="ar-SA"/>
    </w:rPr>
  </w:style>
  <w:style w:type="paragraph" w:customStyle="1" w:styleId="238">
    <w:name w:val="前言、引言标题"/>
    <w:next w:val="236"/>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39">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character" w:customStyle="1" w:styleId="240">
    <w:name w:val="15"/>
    <w:qFormat/>
    <w:uiPriority w:val="0"/>
    <w:rPr>
      <w:rFonts w:hint="default" w:ascii="Times New Roman" w:hAnsi="Times New Roman" w:cs="Times New Roman"/>
    </w:rPr>
  </w:style>
  <w:style w:type="character" w:customStyle="1" w:styleId="241">
    <w:name w:val="NormalCharacter"/>
    <w:semiHidden/>
    <w:qFormat/>
    <w:uiPriority w:val="99"/>
  </w:style>
  <w:style w:type="paragraph" w:customStyle="1" w:styleId="242">
    <w:name w:val="二级条标题"/>
    <w:basedOn w:val="237"/>
    <w:next w:val="236"/>
    <w:qFormat/>
    <w:uiPriority w:val="0"/>
    <w:pPr>
      <w:outlineLvl w:val="3"/>
    </w:pPr>
  </w:style>
  <w:style w:type="paragraph" w:customStyle="1" w:styleId="243">
    <w:name w:val="三级无"/>
    <w:basedOn w:val="244"/>
    <w:qFormat/>
    <w:uiPriority w:val="0"/>
    <w:pPr>
      <w:numPr>
        <w:ilvl w:val="3"/>
        <w:numId w:val="33"/>
      </w:numPr>
      <w:adjustRightInd/>
      <w:snapToGrid/>
      <w:spacing w:before="0" w:line="240" w:lineRule="auto"/>
      <w:ind w:left="0" w:firstLine="0"/>
      <w:jc w:val="left"/>
    </w:pPr>
    <w:rPr>
      <w:rFonts w:ascii="宋体" w:hAnsi="Times New Roman" w:eastAsia="宋体"/>
      <w:sz w:val="21"/>
    </w:rPr>
  </w:style>
  <w:style w:type="paragraph" w:customStyle="1" w:styleId="244">
    <w:name w:val="三级条标题"/>
    <w:basedOn w:val="242"/>
    <w:next w:val="236"/>
    <w:qFormat/>
    <w:uiPriority w:val="0"/>
    <w:pPr>
      <w:outlineLvl w:val="4"/>
    </w:pPr>
  </w:style>
  <w:style w:type="paragraph" w:styleId="24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glossaryDocument" Target="glossary/document.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tiff"/><Relationship Id="rId17" Type="http://schemas.openxmlformats.org/officeDocument/2006/relationships/theme" Target="theme/theme1.xml"/><Relationship Id="rId16" Type="http://schemas.openxmlformats.org/officeDocument/2006/relationships/footer" Target="footer6.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7DBFB969B734393A2128F887F63D3E3"/>
        <w:style w:val=""/>
        <w:category>
          <w:name w:val="常规"/>
          <w:gallery w:val="placeholder"/>
        </w:category>
        <w:types>
          <w:type w:val="bbPlcHdr"/>
        </w:types>
        <w:behaviors>
          <w:behavior w:val="content"/>
        </w:behaviors>
        <w:description w:val=""/>
        <w:guid w:val="{C3568ADF-CF50-4E29-AAEC-F55B94CFAE79}"/>
      </w:docPartPr>
      <w:docPartBody>
        <w:p>
          <w:pPr>
            <w:pStyle w:val="5"/>
          </w:pPr>
          <w:r>
            <w:rPr>
              <w:rStyle w:val="4"/>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roman"/>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0706B"/>
    <w:rsid w:val="000D56F1"/>
    <w:rsid w:val="000E39F5"/>
    <w:rsid w:val="00722E47"/>
    <w:rsid w:val="007C7077"/>
    <w:rsid w:val="008A17A9"/>
    <w:rsid w:val="009767D8"/>
    <w:rsid w:val="00EC2B5D"/>
    <w:rsid w:val="00F0706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8"/>
      <w:lang w:val="en-US" w:eastAsia="zh-CN" w:bidi="mn-Mong-CN"/>
    </w:rPr>
  </w:style>
  <w:style w:type="character" w:default="1" w:styleId="2">
    <w:name w:val="Default Paragraph Font"/>
    <w:autoRedefine/>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07DBFB969B734393A2128F887F63D3E3"/>
    <w:qFormat/>
    <w:uiPriority w:val="0"/>
    <w:pPr>
      <w:widowControl w:val="0"/>
      <w:jc w:val="both"/>
    </w:pPr>
    <w:rPr>
      <w:rFonts w:asciiTheme="minorHAnsi" w:hAnsiTheme="minorHAnsi" w:eastAsiaTheme="minorEastAsia" w:cstheme="minorBidi"/>
      <w:kern w:val="2"/>
      <w:sz w:val="21"/>
      <w:szCs w:val="28"/>
      <w:lang w:val="en-US" w:eastAsia="zh-CN" w:bidi="mn-Mong-CN"/>
    </w:rPr>
  </w:style>
  <w:style w:type="paragraph" w:customStyle="1" w:styleId="6">
    <w:name w:val="A8D35CFB9F4B4E449A244C9C0D9955C8"/>
    <w:qFormat/>
    <w:uiPriority w:val="0"/>
    <w:pPr>
      <w:widowControl w:val="0"/>
      <w:jc w:val="both"/>
    </w:pPr>
    <w:rPr>
      <w:rFonts w:asciiTheme="minorHAnsi" w:hAnsiTheme="minorHAnsi" w:eastAsiaTheme="minorEastAsia" w:cstheme="minorBidi"/>
      <w:kern w:val="2"/>
      <w:sz w:val="21"/>
      <w:szCs w:val="28"/>
      <w:lang w:val="en-US" w:eastAsia="zh-CN" w:bidi="mn-Mong-CN"/>
    </w:rPr>
  </w:style>
  <w:style w:type="paragraph" w:customStyle="1" w:styleId="7">
    <w:name w:val="E1ECE3AC81664175807446A0F246D050"/>
    <w:qFormat/>
    <w:uiPriority w:val="0"/>
    <w:pPr>
      <w:widowControl w:val="0"/>
      <w:jc w:val="both"/>
    </w:pPr>
    <w:rPr>
      <w:rFonts w:asciiTheme="minorHAnsi" w:hAnsiTheme="minorHAnsi" w:eastAsiaTheme="minorEastAsia" w:cstheme="minorBidi"/>
      <w:kern w:val="2"/>
      <w:sz w:val="21"/>
      <w:szCs w:val="28"/>
      <w:lang w:val="en-US" w:eastAsia="zh-CN" w:bidi="mn-Mong-CN"/>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B14A46-581D-4FC5-86CF-009567057D3F}">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9</Pages>
  <Words>3274</Words>
  <Characters>3980</Characters>
  <Lines>20</Lines>
  <Paragraphs>5</Paragraphs>
  <TotalTime>3</TotalTime>
  <ScaleCrop>false</ScaleCrop>
  <LinksUpToDate>false</LinksUpToDate>
  <CharactersWithSpaces>4156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2023-11-29T04:27:00Z</dcterms:created>
  <dc:creator>China</dc:creator>
  <dc:description>&lt;config cover="true" show_menu="true" version="1.0.0" doctype="SDKXY"&gt;_x000d_
&lt;/config&gt;</dc:description>
  <cp:lastModifiedBy>buffoon</cp:lastModifiedBy>
  <cp:lastPrinted>2020-08-30T10:00:00Z</cp:lastPrinted>
  <dcterms:modified xsi:type="dcterms:W3CDTF">2024-06-11T09:18:07Z</dcterms:modified>
  <dc:title>地方标准</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2052-12.1.0.16929</vt:lpwstr>
  </property>
  <property fmtid="{D5CDD505-2E9C-101B-9397-08002B2CF9AE}" pid="15" name="ICV">
    <vt:lpwstr>90B7486150AA4A8C91965193A5276226</vt:lpwstr>
  </property>
</Properties>
</file>