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66426E">
      <w:pPr>
        <w:spacing w:line="240" w:lineRule="auto"/>
        <w:ind w:firstLine="880" w:firstLineChars="200"/>
        <w:jc w:val="both"/>
        <w:rPr>
          <w:rFonts w:ascii="方正小标宋简体" w:hAnsi="宋体" w:eastAsia="方正小标宋简体" w:cs="Tahoma"/>
          <w:sz w:val="44"/>
          <w:szCs w:val="44"/>
        </w:rPr>
      </w:pPr>
      <w:bookmarkStart w:id="4" w:name="_GoBack"/>
      <w:bookmarkEnd w:id="4"/>
      <w:r>
        <w:rPr>
          <w:rFonts w:hint="eastAsia" w:ascii="方正小标宋简体" w:hAnsi="宋体" w:eastAsia="方正小标宋简体" w:cs="Tahoma"/>
          <w:sz w:val="44"/>
          <w:szCs w:val="44"/>
        </w:rPr>
        <w:t>《低品位工业余热总量估算导则》</w:t>
      </w:r>
    </w:p>
    <w:p w14:paraId="4CC8E8FF">
      <w:pPr>
        <w:spacing w:line="240" w:lineRule="auto"/>
        <w:ind w:firstLine="0" w:firstLineChars="0"/>
        <w:jc w:val="center"/>
        <w:rPr>
          <w:rFonts w:ascii="方正小标宋简体" w:hAnsi="宋体" w:eastAsia="方正小标宋简体" w:cs="Tahoma"/>
          <w:sz w:val="44"/>
          <w:szCs w:val="44"/>
        </w:rPr>
      </w:pPr>
      <w:r>
        <w:rPr>
          <w:rFonts w:hint="eastAsia" w:ascii="方正小标宋简体" w:hAnsi="宋体" w:eastAsia="方正小标宋简体" w:cs="Tahoma"/>
          <w:sz w:val="44"/>
          <w:szCs w:val="44"/>
        </w:rPr>
        <w:t>编制说明</w:t>
      </w:r>
    </w:p>
    <w:p w14:paraId="739FFFAB">
      <w:pPr>
        <w:spacing w:line="240" w:lineRule="auto"/>
        <w:ind w:firstLine="0" w:firstLineChars="0"/>
        <w:jc w:val="both"/>
        <w:rPr>
          <w:rFonts w:ascii="仿宋_GB2312" w:eastAsia="仿宋_GB2312"/>
          <w:b/>
          <w:bCs/>
          <w:sz w:val="32"/>
          <w:szCs w:val="32"/>
        </w:rPr>
      </w:pPr>
      <w:r>
        <w:rPr>
          <w:rFonts w:hint="eastAsia" w:ascii="仿宋_GB2312" w:eastAsia="仿宋_GB2312"/>
          <w:b/>
          <w:bCs/>
          <w:sz w:val="32"/>
          <w:szCs w:val="32"/>
        </w:rPr>
        <w:t>一、工作简况，包括地方标准制修订项目的立项情况、提出单位、归口单位、起草单位和起草人等；</w:t>
      </w:r>
    </w:p>
    <w:p w14:paraId="4A2EBCB6">
      <w:pPr>
        <w:pStyle w:val="3"/>
      </w:pPr>
      <w:r>
        <w:rPr>
          <w:rFonts w:hint="eastAsia"/>
        </w:rPr>
        <w:t>1、任务来源</w:t>
      </w:r>
    </w:p>
    <w:p w14:paraId="7E0A6536">
      <w:pPr>
        <w:ind w:firstLine="560"/>
      </w:pPr>
      <w:r>
        <w:rPr>
          <w:rFonts w:hint="eastAsia"/>
        </w:rPr>
        <w:t>赤峰学院</w:t>
      </w:r>
      <w:r>
        <w:t>提出</w:t>
      </w:r>
      <w:r>
        <w:rPr>
          <w:rFonts w:hint="eastAsia"/>
        </w:rPr>
        <w:t>编制</w:t>
      </w:r>
      <w:r>
        <w:t>《</w:t>
      </w:r>
      <w:r>
        <w:rPr>
          <w:rFonts w:hint="eastAsia"/>
        </w:rPr>
        <w:t>低品位工业余热总量估算导则</w:t>
      </w:r>
      <w:r>
        <w:t>》</w:t>
      </w:r>
      <w:r>
        <w:rPr>
          <w:rFonts w:hint="eastAsia"/>
        </w:rPr>
        <w:t>，2</w:t>
      </w:r>
      <w:r>
        <w:t>023</w:t>
      </w:r>
      <w:r>
        <w:rPr>
          <w:rFonts w:hint="eastAsia"/>
        </w:rPr>
        <w:t>年4月6日，</w:t>
      </w:r>
      <w:r>
        <w:t>赤峰市市场监督管理局</w:t>
      </w:r>
      <w:r>
        <w:rPr>
          <w:rFonts w:hint="eastAsia"/>
        </w:rPr>
        <w:t>下达了《赤峰市市场监督管理局关于下达</w:t>
      </w:r>
      <w:r>
        <w:t>2023年第一批赤峰市地方标准制定项目计划的通知》</w:t>
      </w:r>
      <w:r>
        <w:rPr>
          <w:rFonts w:hint="eastAsia"/>
        </w:rPr>
        <w:t>（赤市监标字〔</w:t>
      </w:r>
      <w:r>
        <w:t>2023〕42号）</w:t>
      </w:r>
      <w:r>
        <w:rPr>
          <w:rFonts w:hint="eastAsia"/>
        </w:rPr>
        <w:t>，同意本</w:t>
      </w:r>
      <w:r>
        <w:t>地方标准立项申请。</w:t>
      </w:r>
    </w:p>
    <w:p w14:paraId="6FD9B350">
      <w:pPr>
        <w:pStyle w:val="3"/>
      </w:pPr>
      <w:r>
        <w:t>2</w:t>
      </w:r>
      <w:r>
        <w:rPr>
          <w:rFonts w:hint="eastAsia"/>
        </w:rPr>
        <w:t>、提出、归口、起草单位和起草人</w:t>
      </w:r>
    </w:p>
    <w:p w14:paraId="0DC0F715">
      <w:pPr>
        <w:ind w:firstLine="560"/>
      </w:pPr>
      <w:r>
        <w:rPr>
          <w:rFonts w:hint="eastAsia"/>
        </w:rPr>
        <w:t>提出单位：赤峰学院</w:t>
      </w:r>
    </w:p>
    <w:p w14:paraId="3ED38D36">
      <w:pPr>
        <w:ind w:firstLine="560"/>
        <w:rPr>
          <w:rFonts w:asciiTheme="majorEastAsia" w:hAnsiTheme="majorEastAsia" w:eastAsiaTheme="majorEastAsia"/>
        </w:rPr>
      </w:pPr>
      <w:r>
        <w:rPr>
          <w:rFonts w:hint="eastAsia" w:asciiTheme="majorEastAsia" w:hAnsiTheme="majorEastAsia" w:eastAsiaTheme="majorEastAsia"/>
        </w:rPr>
        <w:t>归口</w:t>
      </w:r>
      <w:r>
        <w:rPr>
          <w:rFonts w:asciiTheme="majorEastAsia" w:hAnsiTheme="majorEastAsia" w:eastAsiaTheme="majorEastAsia"/>
        </w:rPr>
        <w:t>单位</w:t>
      </w:r>
      <w:r>
        <w:rPr>
          <w:rFonts w:hint="eastAsia" w:asciiTheme="majorEastAsia" w:hAnsiTheme="majorEastAsia" w:eastAsiaTheme="majorEastAsia"/>
        </w:rPr>
        <w:t>：</w:t>
      </w:r>
      <w:r>
        <w:rPr>
          <w:rFonts w:hint="eastAsia"/>
        </w:rPr>
        <w:t>赤峰市工业和信息化局</w:t>
      </w:r>
    </w:p>
    <w:p w14:paraId="54DD2D61">
      <w:pPr>
        <w:ind w:firstLine="560"/>
      </w:pPr>
      <w:r>
        <w:rPr>
          <w:rFonts w:hint="eastAsia"/>
        </w:rPr>
        <w:t>起草</w:t>
      </w:r>
      <w:r>
        <w:t>单位</w:t>
      </w:r>
      <w:r>
        <w:rPr>
          <w:rFonts w:hint="eastAsia"/>
        </w:rPr>
        <w:t>：赤峰学院</w:t>
      </w:r>
    </w:p>
    <w:p w14:paraId="331AAB7F">
      <w:pPr>
        <w:ind w:firstLine="560"/>
      </w:pPr>
      <w:r>
        <w:t>起草人</w:t>
      </w:r>
      <w:r>
        <w:rPr>
          <w:rFonts w:hint="eastAsia"/>
        </w:rPr>
        <w:t>：王春林，</w:t>
      </w:r>
      <w:r>
        <w:t>方豪</w:t>
      </w:r>
      <w:r>
        <w:rPr>
          <w:rFonts w:hint="eastAsia"/>
        </w:rPr>
        <w:t>，赵庆伟，李焱赫，孙萌、甄鹏、张伟光、成帅、赵宇通、李鑫阳。</w:t>
      </w:r>
    </w:p>
    <w:p w14:paraId="7CC9F571">
      <w:pPr>
        <w:spacing w:line="240" w:lineRule="auto"/>
        <w:ind w:firstLineChars="0"/>
        <w:outlineLvl w:val="0"/>
        <w:rPr>
          <w:rFonts w:ascii="仿宋_GB2312" w:eastAsia="仿宋_GB2312"/>
          <w:b/>
          <w:bCs/>
          <w:color w:val="000000" w:themeColor="text1"/>
          <w:sz w:val="32"/>
          <w:szCs w:val="32"/>
          <w14:textFill>
            <w14:solidFill>
              <w14:schemeClr w14:val="tx1"/>
            </w14:solidFill>
          </w14:textFill>
        </w:rPr>
      </w:pPr>
      <w:r>
        <w:rPr>
          <w:rFonts w:hint="eastAsia" w:ascii="仿宋_GB2312" w:eastAsia="仿宋_GB2312"/>
          <w:b/>
          <w:bCs/>
          <w:color w:val="000000" w:themeColor="text1"/>
          <w:sz w:val="32"/>
          <w:szCs w:val="32"/>
          <w14:textFill>
            <w14:solidFill>
              <w14:schemeClr w14:val="tx1"/>
            </w14:solidFill>
          </w14:textFill>
        </w:rPr>
        <w:t>二、制定标准的目的和意义；</w:t>
      </w:r>
    </w:p>
    <w:p w14:paraId="0B9DD7AD">
      <w:pPr>
        <w:ind w:firstLine="560"/>
      </w:pPr>
      <w:r>
        <w:rPr>
          <w:rFonts w:hint="eastAsia"/>
        </w:rPr>
        <w:t>赤峰市是国家发改委从118个资源型城市确定的60个典型资源型城市之一，全市矿产资源潜力巨大，此前，自治区早已提出精心打造“大兴安岭南麓金属矿产品综合开发利用工业基地”的战略，核心产业就是有色金属和贵金属的采、选、冶及深加工，除铝在通辽外，其余项目几乎全在我市。另外，东山工业园区是我市高新区“四区”之一，是赤峰市有色金属产业转型升级的新高地和工业集中、集约、集群发展新发展模式的标杆和样本，目前园区已签约入驻项目达14个，建成并投产的项目有赤峰经开发电公司2×350兆瓦热电联产项目、云铜40万吨高纯铜冶炼升级建设项目、金剑铜业40万吨高纯铜环保升级项目和东岳金峰氟化工项目，此外还有宁保100万吨铁系合金项目、玻璃纤维产业链项目、锦国投公司年产650万吨氧化铝项目、华镒危废处理项目、内蒙古大道实业综合利用锂云母项目等。针对以上产业，不论是铜冶炼、玻璃纤维生产、氧化铝生产等项目中均存在丰富的余热资源。在这些余热资源中，较高品位的工业余热将用于厂内自身工艺需求。但对于绝大部分的低品位工业余热直接被排放掉，造成了巨大的浪费。针对以上问题，尤其是工业余热资源的开发利用方面，对于余热资源潜力的测算需要建立一种《低品位工业余热总量计算标准》，通过将理论推算与已有工业余热集中供暖示范工程运行情况结合，分别得出工业企业中不同种类工业企业中存在的余热资源总量。并将推算过程高度简化，形成一种使用简便、准确度高、适用性强的低品位工业余热资源总量计算标准。为双碳目标的实现打好坚实的基础。</w:t>
      </w:r>
    </w:p>
    <w:p w14:paraId="4378F19A">
      <w:pPr>
        <w:ind w:firstLine="560"/>
      </w:pPr>
      <w:r>
        <w:rPr>
          <w:rFonts w:hint="eastAsia"/>
        </w:rPr>
        <w:t>这些不被重视的废弃能源虽温度品位不高，但通过吸收式热泵等大温差供热技术可将其完美应用于冬季城镇集中供暖。在建筑面积不断增加与供暖热源日益紧张的矛盾下，将工业企业中低品位工业余热资源用于城市集中供暖，在环境、经济等方面均有着巨大效益。这对社会经济可持续发展具有极大的推进作用，同时对于工业部门、建筑部门领域的碳达峰起着至关重要的作用。</w:t>
      </w:r>
    </w:p>
    <w:p w14:paraId="592BC248">
      <w:pPr>
        <w:spacing w:line="240" w:lineRule="auto"/>
        <w:ind w:firstLineChars="0"/>
        <w:outlineLvl w:val="0"/>
        <w:rPr>
          <w:rFonts w:ascii="仿宋_GB2312" w:eastAsia="仿宋_GB2312"/>
          <w:b/>
          <w:bCs/>
          <w:sz w:val="32"/>
          <w:szCs w:val="32"/>
        </w:rPr>
      </w:pPr>
      <w:r>
        <w:rPr>
          <w:rFonts w:hint="eastAsia" w:ascii="仿宋_GB2312" w:eastAsia="仿宋_GB2312"/>
          <w:b/>
          <w:bCs/>
          <w:sz w:val="32"/>
          <w:szCs w:val="32"/>
        </w:rPr>
        <w:t>三、编制过程，包括分工情况、起草阶段、征求意见阶段、送审阶段、报批阶段等；</w:t>
      </w:r>
    </w:p>
    <w:p w14:paraId="069BA6F2">
      <w:pPr>
        <w:pStyle w:val="3"/>
      </w:pPr>
      <w:r>
        <w:rPr>
          <w:rFonts w:hint="eastAsia"/>
        </w:rPr>
        <w:t>1、分工情况</w:t>
      </w:r>
    </w:p>
    <w:p w14:paraId="6824DDDD">
      <w:pPr>
        <w:ind w:firstLine="560"/>
      </w:pPr>
      <w:r>
        <w:rPr>
          <w:rFonts w:hint="eastAsia"/>
        </w:rPr>
        <w:t>2</w:t>
      </w:r>
      <w:r>
        <w:t>023</w:t>
      </w:r>
      <w:r>
        <w:rPr>
          <w:rFonts w:hint="eastAsia"/>
        </w:rPr>
        <w:t>年4月成立标准编制组，明确编制组成员任务分工。具体起草小组标准起草人员及分工，见表1。</w:t>
      </w:r>
    </w:p>
    <w:p w14:paraId="663640AB">
      <w:pPr>
        <w:keepNext/>
        <w:ind w:firstLine="560"/>
        <w:jc w:val="center"/>
      </w:pPr>
      <w:r>
        <w:rPr>
          <w:rFonts w:hint="eastAsia"/>
        </w:rPr>
        <w:t xml:space="preserve">表 </w:t>
      </w:r>
      <w:r>
        <w:fldChar w:fldCharType="begin"/>
      </w:r>
      <w:r>
        <w:instrText xml:space="preserve"> </w:instrText>
      </w:r>
      <w:r>
        <w:rPr>
          <w:rFonts w:hint="eastAsia"/>
        </w:rPr>
        <w:instrText xml:space="preserve">SEQ 表 \* ARABIC</w:instrText>
      </w:r>
      <w:r>
        <w:instrText xml:space="preserve"> </w:instrText>
      </w:r>
      <w:r>
        <w:fldChar w:fldCharType="separate"/>
      </w:r>
      <w:r>
        <w:t>1</w:t>
      </w:r>
      <w:r>
        <w:fldChar w:fldCharType="end"/>
      </w:r>
      <w:r>
        <w:rPr>
          <w:rFonts w:hint="eastAsia"/>
        </w:rPr>
        <w:t>标准起草人员及分工</w:t>
      </w:r>
    </w:p>
    <w:tbl>
      <w:tblPr>
        <w:tblStyle w:val="30"/>
        <w:tblW w:w="5000" w:type="pct"/>
        <w:tblInd w:w="0" w:type="dxa"/>
        <w:tblLayout w:type="autofit"/>
        <w:tblCellMar>
          <w:top w:w="0" w:type="dxa"/>
          <w:left w:w="108" w:type="dxa"/>
          <w:bottom w:w="0" w:type="dxa"/>
          <w:right w:w="108" w:type="dxa"/>
        </w:tblCellMar>
      </w:tblPr>
      <w:tblGrid>
        <w:gridCol w:w="1176"/>
        <w:gridCol w:w="1100"/>
        <w:gridCol w:w="3869"/>
        <w:gridCol w:w="2377"/>
      </w:tblGrid>
      <w:tr w14:paraId="1D961E42">
        <w:tblPrEx>
          <w:tblCellMar>
            <w:top w:w="0" w:type="dxa"/>
            <w:left w:w="108" w:type="dxa"/>
            <w:bottom w:w="0" w:type="dxa"/>
            <w:right w:w="108" w:type="dxa"/>
          </w:tblCellMar>
        </w:tblPrEx>
        <w:trPr>
          <w:trHeight w:val="360" w:hRule="atLeast"/>
        </w:trPr>
        <w:tc>
          <w:tcPr>
            <w:tcW w:w="66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F359062">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工作职务</w:t>
            </w:r>
          </w:p>
        </w:tc>
        <w:tc>
          <w:tcPr>
            <w:tcW w:w="662" w:type="pct"/>
            <w:tcBorders>
              <w:top w:val="single" w:color="auto" w:sz="4" w:space="0"/>
              <w:left w:val="nil"/>
              <w:bottom w:val="single" w:color="auto" w:sz="4" w:space="0"/>
              <w:right w:val="single" w:color="auto" w:sz="4" w:space="0"/>
            </w:tcBorders>
            <w:shd w:val="clear" w:color="auto" w:fill="auto"/>
            <w:noWrap/>
            <w:vAlign w:val="center"/>
          </w:tcPr>
          <w:p w14:paraId="64F0BA32">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姓名</w:t>
            </w:r>
          </w:p>
        </w:tc>
        <w:tc>
          <w:tcPr>
            <w:tcW w:w="2286" w:type="pct"/>
            <w:tcBorders>
              <w:top w:val="single" w:color="auto" w:sz="4" w:space="0"/>
              <w:left w:val="nil"/>
              <w:bottom w:val="single" w:color="auto" w:sz="4" w:space="0"/>
              <w:right w:val="single" w:color="auto" w:sz="4" w:space="0"/>
            </w:tcBorders>
            <w:shd w:val="clear" w:color="auto" w:fill="auto"/>
            <w:noWrap/>
            <w:vAlign w:val="center"/>
          </w:tcPr>
          <w:p w14:paraId="0223EBA8">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所在单位</w:t>
            </w:r>
          </w:p>
        </w:tc>
        <w:tc>
          <w:tcPr>
            <w:tcW w:w="1390" w:type="pct"/>
            <w:tcBorders>
              <w:top w:val="single" w:color="auto" w:sz="4" w:space="0"/>
              <w:left w:val="nil"/>
              <w:bottom w:val="single" w:color="auto" w:sz="4" w:space="0"/>
              <w:right w:val="single" w:color="auto" w:sz="4" w:space="0"/>
            </w:tcBorders>
            <w:shd w:val="clear" w:color="auto" w:fill="auto"/>
            <w:noWrap/>
            <w:vAlign w:val="center"/>
          </w:tcPr>
          <w:p w14:paraId="37143731">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主要任务</w:t>
            </w:r>
          </w:p>
        </w:tc>
      </w:tr>
      <w:tr w14:paraId="2BD3D13B">
        <w:tblPrEx>
          <w:tblCellMar>
            <w:top w:w="0" w:type="dxa"/>
            <w:left w:w="108" w:type="dxa"/>
            <w:bottom w:w="0" w:type="dxa"/>
            <w:right w:w="108" w:type="dxa"/>
          </w:tblCellMar>
        </w:tblPrEx>
        <w:trPr>
          <w:trHeight w:val="360" w:hRule="atLeast"/>
        </w:trPr>
        <w:tc>
          <w:tcPr>
            <w:tcW w:w="662" w:type="pct"/>
            <w:tcBorders>
              <w:top w:val="nil"/>
              <w:left w:val="single" w:color="auto" w:sz="4" w:space="0"/>
              <w:bottom w:val="single" w:color="auto" w:sz="4" w:space="0"/>
              <w:right w:val="single" w:color="auto" w:sz="4" w:space="0"/>
            </w:tcBorders>
            <w:shd w:val="clear" w:color="auto" w:fill="auto"/>
            <w:noWrap/>
            <w:vAlign w:val="center"/>
          </w:tcPr>
          <w:p w14:paraId="23139116">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组长</w:t>
            </w:r>
          </w:p>
        </w:tc>
        <w:tc>
          <w:tcPr>
            <w:tcW w:w="662" w:type="pct"/>
            <w:tcBorders>
              <w:top w:val="nil"/>
              <w:left w:val="nil"/>
              <w:bottom w:val="single" w:color="auto" w:sz="4" w:space="0"/>
              <w:right w:val="single" w:color="auto" w:sz="4" w:space="0"/>
            </w:tcBorders>
            <w:shd w:val="clear" w:color="auto" w:fill="auto"/>
            <w:noWrap/>
            <w:vAlign w:val="center"/>
          </w:tcPr>
          <w:p w14:paraId="40B1BAEE">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王春林</w:t>
            </w:r>
          </w:p>
        </w:tc>
        <w:tc>
          <w:tcPr>
            <w:tcW w:w="2286" w:type="pct"/>
            <w:tcBorders>
              <w:top w:val="nil"/>
              <w:left w:val="nil"/>
              <w:bottom w:val="single" w:color="auto" w:sz="4" w:space="0"/>
              <w:right w:val="single" w:color="auto" w:sz="4" w:space="0"/>
            </w:tcBorders>
            <w:shd w:val="clear" w:color="auto" w:fill="auto"/>
            <w:noWrap/>
            <w:vAlign w:val="center"/>
          </w:tcPr>
          <w:p w14:paraId="7D5D104D">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赤峰学院</w:t>
            </w:r>
          </w:p>
        </w:tc>
        <w:tc>
          <w:tcPr>
            <w:tcW w:w="1390" w:type="pct"/>
            <w:tcBorders>
              <w:top w:val="nil"/>
              <w:left w:val="nil"/>
              <w:bottom w:val="single" w:color="auto" w:sz="4" w:space="0"/>
              <w:right w:val="single" w:color="auto" w:sz="4" w:space="0"/>
            </w:tcBorders>
            <w:shd w:val="clear" w:color="auto" w:fill="auto"/>
            <w:noWrap/>
            <w:vAlign w:val="center"/>
          </w:tcPr>
          <w:p w14:paraId="764763FD">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文件编制</w:t>
            </w:r>
          </w:p>
        </w:tc>
      </w:tr>
      <w:tr w14:paraId="5708EBD6">
        <w:tblPrEx>
          <w:tblCellMar>
            <w:top w:w="0" w:type="dxa"/>
            <w:left w:w="108" w:type="dxa"/>
            <w:bottom w:w="0" w:type="dxa"/>
            <w:right w:w="108" w:type="dxa"/>
          </w:tblCellMar>
        </w:tblPrEx>
        <w:trPr>
          <w:trHeight w:val="360" w:hRule="atLeast"/>
        </w:trPr>
        <w:tc>
          <w:tcPr>
            <w:tcW w:w="662" w:type="pct"/>
            <w:tcBorders>
              <w:top w:val="nil"/>
              <w:left w:val="single" w:color="auto" w:sz="4" w:space="0"/>
              <w:bottom w:val="single" w:color="auto" w:sz="4" w:space="0"/>
              <w:right w:val="single" w:color="auto" w:sz="4" w:space="0"/>
            </w:tcBorders>
            <w:shd w:val="clear" w:color="auto" w:fill="auto"/>
            <w:noWrap/>
            <w:vAlign w:val="center"/>
          </w:tcPr>
          <w:p w14:paraId="780E82B2">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成员</w:t>
            </w:r>
          </w:p>
        </w:tc>
        <w:tc>
          <w:tcPr>
            <w:tcW w:w="662" w:type="pct"/>
            <w:tcBorders>
              <w:top w:val="nil"/>
              <w:left w:val="nil"/>
              <w:bottom w:val="single" w:color="auto" w:sz="4" w:space="0"/>
              <w:right w:val="single" w:color="auto" w:sz="4" w:space="0"/>
            </w:tcBorders>
            <w:shd w:val="clear" w:color="auto" w:fill="auto"/>
            <w:noWrap/>
            <w:vAlign w:val="center"/>
          </w:tcPr>
          <w:p w14:paraId="5FB8E4B1">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方豪</w:t>
            </w:r>
          </w:p>
        </w:tc>
        <w:tc>
          <w:tcPr>
            <w:tcW w:w="2286" w:type="pct"/>
            <w:tcBorders>
              <w:top w:val="nil"/>
              <w:left w:val="nil"/>
              <w:bottom w:val="single" w:color="auto" w:sz="4" w:space="0"/>
              <w:right w:val="single" w:color="auto" w:sz="4" w:space="0"/>
            </w:tcBorders>
            <w:shd w:val="clear" w:color="auto" w:fill="auto"/>
            <w:noWrap/>
            <w:vAlign w:val="center"/>
          </w:tcPr>
          <w:p w14:paraId="6D490D93">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内蒙古富龙供热工程技术</w:t>
            </w:r>
          </w:p>
          <w:p w14:paraId="532A4838">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有限公司</w:t>
            </w:r>
          </w:p>
        </w:tc>
        <w:tc>
          <w:tcPr>
            <w:tcW w:w="1390" w:type="pct"/>
            <w:tcBorders>
              <w:top w:val="nil"/>
              <w:left w:val="nil"/>
              <w:bottom w:val="single" w:color="auto" w:sz="4" w:space="0"/>
              <w:right w:val="single" w:color="auto" w:sz="4" w:space="0"/>
            </w:tcBorders>
            <w:shd w:val="clear" w:color="auto" w:fill="auto"/>
            <w:noWrap/>
            <w:vAlign w:val="center"/>
          </w:tcPr>
          <w:p w14:paraId="18217818">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技术指导</w:t>
            </w:r>
          </w:p>
        </w:tc>
      </w:tr>
      <w:tr w14:paraId="1CE697C1">
        <w:tblPrEx>
          <w:tblCellMar>
            <w:top w:w="0" w:type="dxa"/>
            <w:left w:w="108" w:type="dxa"/>
            <w:bottom w:w="0" w:type="dxa"/>
            <w:right w:w="108" w:type="dxa"/>
          </w:tblCellMar>
        </w:tblPrEx>
        <w:trPr>
          <w:trHeight w:val="360" w:hRule="atLeast"/>
        </w:trPr>
        <w:tc>
          <w:tcPr>
            <w:tcW w:w="662" w:type="pct"/>
            <w:tcBorders>
              <w:top w:val="nil"/>
              <w:left w:val="single" w:color="auto" w:sz="4" w:space="0"/>
              <w:bottom w:val="single" w:color="auto" w:sz="4" w:space="0"/>
              <w:right w:val="single" w:color="auto" w:sz="4" w:space="0"/>
            </w:tcBorders>
            <w:shd w:val="clear" w:color="auto" w:fill="auto"/>
            <w:noWrap/>
            <w:vAlign w:val="center"/>
          </w:tcPr>
          <w:p w14:paraId="0C4C56A6">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成员</w:t>
            </w:r>
          </w:p>
        </w:tc>
        <w:tc>
          <w:tcPr>
            <w:tcW w:w="662" w:type="pct"/>
            <w:tcBorders>
              <w:top w:val="nil"/>
              <w:left w:val="nil"/>
              <w:bottom w:val="single" w:color="auto" w:sz="4" w:space="0"/>
              <w:right w:val="single" w:color="auto" w:sz="4" w:space="0"/>
            </w:tcBorders>
            <w:shd w:val="clear" w:color="auto" w:fill="auto"/>
            <w:noWrap/>
            <w:vAlign w:val="center"/>
          </w:tcPr>
          <w:p w14:paraId="67A4D2FA">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赵庆伟</w:t>
            </w:r>
          </w:p>
        </w:tc>
        <w:tc>
          <w:tcPr>
            <w:tcW w:w="2286" w:type="pct"/>
            <w:tcBorders>
              <w:top w:val="nil"/>
              <w:left w:val="nil"/>
              <w:bottom w:val="single" w:color="auto" w:sz="4" w:space="0"/>
              <w:right w:val="single" w:color="auto" w:sz="4" w:space="0"/>
            </w:tcBorders>
            <w:shd w:val="clear" w:color="auto" w:fill="auto"/>
            <w:noWrap/>
            <w:vAlign w:val="center"/>
          </w:tcPr>
          <w:p w14:paraId="194EF278">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内蒙古富龙供热工程技术</w:t>
            </w:r>
          </w:p>
          <w:p w14:paraId="393EB542">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有限公司</w:t>
            </w:r>
          </w:p>
        </w:tc>
        <w:tc>
          <w:tcPr>
            <w:tcW w:w="1390" w:type="pct"/>
            <w:tcBorders>
              <w:top w:val="nil"/>
              <w:left w:val="nil"/>
              <w:bottom w:val="single" w:color="auto" w:sz="4" w:space="0"/>
              <w:right w:val="single" w:color="auto" w:sz="4" w:space="0"/>
            </w:tcBorders>
            <w:shd w:val="clear" w:color="auto" w:fill="auto"/>
            <w:noWrap/>
            <w:vAlign w:val="center"/>
          </w:tcPr>
          <w:p w14:paraId="35BC8928">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协助编制</w:t>
            </w:r>
          </w:p>
        </w:tc>
      </w:tr>
      <w:tr w14:paraId="5A09CFF8">
        <w:tblPrEx>
          <w:tblCellMar>
            <w:top w:w="0" w:type="dxa"/>
            <w:left w:w="108" w:type="dxa"/>
            <w:bottom w:w="0" w:type="dxa"/>
            <w:right w:w="108" w:type="dxa"/>
          </w:tblCellMar>
        </w:tblPrEx>
        <w:trPr>
          <w:trHeight w:val="360" w:hRule="atLeast"/>
        </w:trPr>
        <w:tc>
          <w:tcPr>
            <w:tcW w:w="662" w:type="pct"/>
            <w:tcBorders>
              <w:top w:val="nil"/>
              <w:left w:val="single" w:color="auto" w:sz="4" w:space="0"/>
              <w:bottom w:val="single" w:color="auto" w:sz="4" w:space="0"/>
              <w:right w:val="single" w:color="auto" w:sz="4" w:space="0"/>
            </w:tcBorders>
            <w:shd w:val="clear" w:color="auto" w:fill="auto"/>
            <w:noWrap/>
            <w:vAlign w:val="center"/>
          </w:tcPr>
          <w:p w14:paraId="555880E2">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成员</w:t>
            </w:r>
          </w:p>
        </w:tc>
        <w:tc>
          <w:tcPr>
            <w:tcW w:w="662" w:type="pct"/>
            <w:tcBorders>
              <w:top w:val="nil"/>
              <w:left w:val="nil"/>
              <w:bottom w:val="single" w:color="auto" w:sz="4" w:space="0"/>
              <w:right w:val="single" w:color="auto" w:sz="4" w:space="0"/>
            </w:tcBorders>
            <w:shd w:val="clear" w:color="auto" w:fill="auto"/>
            <w:noWrap/>
            <w:vAlign w:val="center"/>
          </w:tcPr>
          <w:p w14:paraId="3F5539AA">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李焱赫</w:t>
            </w:r>
          </w:p>
        </w:tc>
        <w:tc>
          <w:tcPr>
            <w:tcW w:w="2286" w:type="pct"/>
            <w:tcBorders>
              <w:top w:val="nil"/>
              <w:left w:val="nil"/>
              <w:bottom w:val="single" w:color="auto" w:sz="4" w:space="0"/>
              <w:right w:val="single" w:color="auto" w:sz="4" w:space="0"/>
            </w:tcBorders>
            <w:shd w:val="clear" w:color="auto" w:fill="auto"/>
            <w:noWrap/>
            <w:vAlign w:val="center"/>
          </w:tcPr>
          <w:p w14:paraId="3C5E9079">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内蒙古富龙供热工程技术</w:t>
            </w:r>
          </w:p>
          <w:p w14:paraId="43920740">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有限公司</w:t>
            </w:r>
          </w:p>
        </w:tc>
        <w:tc>
          <w:tcPr>
            <w:tcW w:w="1390" w:type="pct"/>
            <w:tcBorders>
              <w:top w:val="nil"/>
              <w:left w:val="nil"/>
              <w:bottom w:val="single" w:color="auto" w:sz="4" w:space="0"/>
              <w:right w:val="single" w:color="auto" w:sz="4" w:space="0"/>
            </w:tcBorders>
            <w:shd w:val="clear" w:color="auto" w:fill="auto"/>
            <w:noWrap/>
            <w:vAlign w:val="center"/>
          </w:tcPr>
          <w:p w14:paraId="542CE995">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调研及数据整理</w:t>
            </w:r>
          </w:p>
        </w:tc>
      </w:tr>
      <w:tr w14:paraId="7BF7F056">
        <w:tblPrEx>
          <w:tblCellMar>
            <w:top w:w="0" w:type="dxa"/>
            <w:left w:w="108" w:type="dxa"/>
            <w:bottom w:w="0" w:type="dxa"/>
            <w:right w:w="108" w:type="dxa"/>
          </w:tblCellMar>
        </w:tblPrEx>
        <w:trPr>
          <w:trHeight w:val="360" w:hRule="atLeast"/>
        </w:trPr>
        <w:tc>
          <w:tcPr>
            <w:tcW w:w="662" w:type="pct"/>
            <w:tcBorders>
              <w:top w:val="nil"/>
              <w:left w:val="single" w:color="auto" w:sz="4" w:space="0"/>
              <w:bottom w:val="single" w:color="auto" w:sz="4" w:space="0"/>
              <w:right w:val="single" w:color="auto" w:sz="4" w:space="0"/>
            </w:tcBorders>
            <w:shd w:val="clear" w:color="auto" w:fill="auto"/>
            <w:noWrap/>
            <w:vAlign w:val="center"/>
          </w:tcPr>
          <w:p w14:paraId="457C4AF0">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成员</w:t>
            </w:r>
          </w:p>
        </w:tc>
        <w:tc>
          <w:tcPr>
            <w:tcW w:w="662" w:type="pct"/>
            <w:tcBorders>
              <w:top w:val="nil"/>
              <w:left w:val="nil"/>
              <w:bottom w:val="single" w:color="auto" w:sz="4" w:space="0"/>
              <w:right w:val="single" w:color="auto" w:sz="4" w:space="0"/>
            </w:tcBorders>
            <w:shd w:val="clear" w:color="auto" w:fill="auto"/>
            <w:noWrap/>
            <w:vAlign w:val="center"/>
          </w:tcPr>
          <w:p w14:paraId="4C53BDF7">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孙萌</w:t>
            </w:r>
          </w:p>
        </w:tc>
        <w:tc>
          <w:tcPr>
            <w:tcW w:w="2286" w:type="pct"/>
            <w:tcBorders>
              <w:top w:val="nil"/>
              <w:left w:val="nil"/>
              <w:bottom w:val="single" w:color="auto" w:sz="4" w:space="0"/>
              <w:right w:val="single" w:color="auto" w:sz="4" w:space="0"/>
            </w:tcBorders>
            <w:shd w:val="clear" w:color="auto" w:fill="auto"/>
            <w:noWrap/>
            <w:vAlign w:val="center"/>
          </w:tcPr>
          <w:p w14:paraId="361AF8D3">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内蒙古富龙供热工程技术</w:t>
            </w:r>
          </w:p>
          <w:p w14:paraId="43AB9255">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有限公司</w:t>
            </w:r>
          </w:p>
        </w:tc>
        <w:tc>
          <w:tcPr>
            <w:tcW w:w="1390" w:type="pct"/>
            <w:tcBorders>
              <w:top w:val="nil"/>
              <w:left w:val="nil"/>
              <w:bottom w:val="single" w:color="auto" w:sz="4" w:space="0"/>
              <w:right w:val="single" w:color="auto" w:sz="4" w:space="0"/>
            </w:tcBorders>
            <w:shd w:val="clear" w:color="auto" w:fill="auto"/>
            <w:noWrap/>
            <w:vAlign w:val="center"/>
          </w:tcPr>
          <w:p w14:paraId="2819AC69">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调研及数据整理</w:t>
            </w:r>
          </w:p>
        </w:tc>
      </w:tr>
      <w:tr w14:paraId="7AB90C66">
        <w:tblPrEx>
          <w:tblCellMar>
            <w:top w:w="0" w:type="dxa"/>
            <w:left w:w="108" w:type="dxa"/>
            <w:bottom w:w="0" w:type="dxa"/>
            <w:right w:w="108" w:type="dxa"/>
          </w:tblCellMar>
        </w:tblPrEx>
        <w:trPr>
          <w:trHeight w:val="360" w:hRule="atLeast"/>
        </w:trPr>
        <w:tc>
          <w:tcPr>
            <w:tcW w:w="662" w:type="pct"/>
            <w:tcBorders>
              <w:top w:val="nil"/>
              <w:left w:val="single" w:color="auto" w:sz="4" w:space="0"/>
              <w:bottom w:val="single" w:color="auto" w:sz="4" w:space="0"/>
              <w:right w:val="single" w:color="auto" w:sz="4" w:space="0"/>
            </w:tcBorders>
            <w:shd w:val="clear" w:color="auto" w:fill="auto"/>
            <w:noWrap/>
            <w:vAlign w:val="center"/>
          </w:tcPr>
          <w:p w14:paraId="71CC1C49">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成员</w:t>
            </w:r>
          </w:p>
        </w:tc>
        <w:tc>
          <w:tcPr>
            <w:tcW w:w="662" w:type="pct"/>
            <w:tcBorders>
              <w:top w:val="nil"/>
              <w:left w:val="nil"/>
              <w:bottom w:val="single" w:color="auto" w:sz="4" w:space="0"/>
              <w:right w:val="single" w:color="auto" w:sz="4" w:space="0"/>
            </w:tcBorders>
            <w:shd w:val="clear" w:color="auto" w:fill="auto"/>
            <w:noWrap/>
            <w:vAlign w:val="center"/>
          </w:tcPr>
          <w:p w14:paraId="3E65FEE7">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甄鹏</w:t>
            </w:r>
          </w:p>
        </w:tc>
        <w:tc>
          <w:tcPr>
            <w:tcW w:w="2286" w:type="pct"/>
            <w:tcBorders>
              <w:top w:val="nil"/>
              <w:left w:val="nil"/>
              <w:bottom w:val="single" w:color="auto" w:sz="4" w:space="0"/>
              <w:right w:val="single" w:color="auto" w:sz="4" w:space="0"/>
            </w:tcBorders>
            <w:shd w:val="clear" w:color="auto" w:fill="auto"/>
            <w:noWrap/>
            <w:vAlign w:val="center"/>
          </w:tcPr>
          <w:p w14:paraId="7EBB3632">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内蒙古富龙供热工程技术</w:t>
            </w:r>
          </w:p>
          <w:p w14:paraId="69F0AA6C">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有限公司</w:t>
            </w:r>
          </w:p>
        </w:tc>
        <w:tc>
          <w:tcPr>
            <w:tcW w:w="1390" w:type="pct"/>
            <w:tcBorders>
              <w:top w:val="nil"/>
              <w:left w:val="nil"/>
              <w:bottom w:val="single" w:color="auto" w:sz="4" w:space="0"/>
              <w:right w:val="single" w:color="auto" w:sz="4" w:space="0"/>
            </w:tcBorders>
            <w:shd w:val="clear" w:color="auto" w:fill="auto"/>
            <w:noWrap/>
            <w:vAlign w:val="center"/>
          </w:tcPr>
          <w:p w14:paraId="50C6EE84">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调研及数据整理</w:t>
            </w:r>
          </w:p>
        </w:tc>
      </w:tr>
      <w:tr w14:paraId="290AF691">
        <w:tblPrEx>
          <w:tblCellMar>
            <w:top w:w="0" w:type="dxa"/>
            <w:left w:w="108" w:type="dxa"/>
            <w:bottom w:w="0" w:type="dxa"/>
            <w:right w:w="108" w:type="dxa"/>
          </w:tblCellMar>
        </w:tblPrEx>
        <w:trPr>
          <w:trHeight w:val="360" w:hRule="atLeast"/>
        </w:trPr>
        <w:tc>
          <w:tcPr>
            <w:tcW w:w="662" w:type="pct"/>
            <w:tcBorders>
              <w:top w:val="nil"/>
              <w:left w:val="single" w:color="auto" w:sz="4" w:space="0"/>
              <w:bottom w:val="single" w:color="auto" w:sz="4" w:space="0"/>
              <w:right w:val="single" w:color="auto" w:sz="4" w:space="0"/>
            </w:tcBorders>
            <w:shd w:val="clear" w:color="auto" w:fill="auto"/>
            <w:noWrap/>
            <w:vAlign w:val="center"/>
          </w:tcPr>
          <w:p w14:paraId="281DAC14">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成员</w:t>
            </w:r>
          </w:p>
        </w:tc>
        <w:tc>
          <w:tcPr>
            <w:tcW w:w="662" w:type="pct"/>
            <w:tcBorders>
              <w:top w:val="nil"/>
              <w:left w:val="nil"/>
              <w:bottom w:val="single" w:color="auto" w:sz="4" w:space="0"/>
              <w:right w:val="single" w:color="auto" w:sz="4" w:space="0"/>
            </w:tcBorders>
            <w:shd w:val="clear" w:color="auto" w:fill="auto"/>
            <w:noWrap/>
            <w:vAlign w:val="center"/>
          </w:tcPr>
          <w:p w14:paraId="155F3B08">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张伟光</w:t>
            </w:r>
          </w:p>
        </w:tc>
        <w:tc>
          <w:tcPr>
            <w:tcW w:w="2286" w:type="pct"/>
            <w:tcBorders>
              <w:top w:val="nil"/>
              <w:left w:val="nil"/>
              <w:bottom w:val="single" w:color="auto" w:sz="4" w:space="0"/>
              <w:right w:val="single" w:color="auto" w:sz="4" w:space="0"/>
            </w:tcBorders>
            <w:shd w:val="clear" w:color="auto" w:fill="auto"/>
            <w:noWrap/>
            <w:vAlign w:val="center"/>
          </w:tcPr>
          <w:p w14:paraId="7B9B10A8">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内蒙古富龙供热工程技术</w:t>
            </w:r>
          </w:p>
          <w:p w14:paraId="01686B7D">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有限公司</w:t>
            </w:r>
          </w:p>
        </w:tc>
        <w:tc>
          <w:tcPr>
            <w:tcW w:w="1390" w:type="pct"/>
            <w:tcBorders>
              <w:top w:val="nil"/>
              <w:left w:val="nil"/>
              <w:bottom w:val="single" w:color="auto" w:sz="4" w:space="0"/>
              <w:right w:val="single" w:color="auto" w:sz="4" w:space="0"/>
            </w:tcBorders>
            <w:shd w:val="clear" w:color="auto" w:fill="auto"/>
            <w:noWrap/>
            <w:vAlign w:val="center"/>
          </w:tcPr>
          <w:p w14:paraId="1DF05C20">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协助编制</w:t>
            </w:r>
          </w:p>
        </w:tc>
      </w:tr>
      <w:tr w14:paraId="055E23B6">
        <w:tblPrEx>
          <w:tblCellMar>
            <w:top w:w="0" w:type="dxa"/>
            <w:left w:w="108" w:type="dxa"/>
            <w:bottom w:w="0" w:type="dxa"/>
            <w:right w:w="108" w:type="dxa"/>
          </w:tblCellMar>
        </w:tblPrEx>
        <w:trPr>
          <w:trHeight w:val="360" w:hRule="atLeast"/>
        </w:trPr>
        <w:tc>
          <w:tcPr>
            <w:tcW w:w="662" w:type="pct"/>
            <w:tcBorders>
              <w:top w:val="nil"/>
              <w:left w:val="single" w:color="auto" w:sz="4" w:space="0"/>
              <w:bottom w:val="single" w:color="auto" w:sz="4" w:space="0"/>
              <w:right w:val="single" w:color="auto" w:sz="4" w:space="0"/>
            </w:tcBorders>
            <w:shd w:val="clear" w:color="auto" w:fill="auto"/>
            <w:noWrap/>
            <w:vAlign w:val="center"/>
          </w:tcPr>
          <w:p w14:paraId="24A1EDD5">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成员</w:t>
            </w:r>
          </w:p>
        </w:tc>
        <w:tc>
          <w:tcPr>
            <w:tcW w:w="662" w:type="pct"/>
            <w:tcBorders>
              <w:top w:val="nil"/>
              <w:left w:val="nil"/>
              <w:bottom w:val="single" w:color="auto" w:sz="4" w:space="0"/>
              <w:right w:val="single" w:color="auto" w:sz="4" w:space="0"/>
            </w:tcBorders>
            <w:shd w:val="clear" w:color="auto" w:fill="auto"/>
            <w:noWrap/>
            <w:vAlign w:val="center"/>
          </w:tcPr>
          <w:p w14:paraId="732DDBB4">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成帅</w:t>
            </w:r>
          </w:p>
        </w:tc>
        <w:tc>
          <w:tcPr>
            <w:tcW w:w="2286" w:type="pct"/>
            <w:tcBorders>
              <w:top w:val="nil"/>
              <w:left w:val="nil"/>
              <w:bottom w:val="single" w:color="auto" w:sz="4" w:space="0"/>
              <w:right w:val="single" w:color="auto" w:sz="4" w:space="0"/>
            </w:tcBorders>
            <w:shd w:val="clear" w:color="auto" w:fill="auto"/>
            <w:noWrap/>
            <w:vAlign w:val="center"/>
          </w:tcPr>
          <w:p w14:paraId="19E13C2B">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内蒙古富龙供热工程技术</w:t>
            </w:r>
          </w:p>
          <w:p w14:paraId="41529059">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有限公司</w:t>
            </w:r>
          </w:p>
        </w:tc>
        <w:tc>
          <w:tcPr>
            <w:tcW w:w="1390" w:type="pct"/>
            <w:tcBorders>
              <w:top w:val="nil"/>
              <w:left w:val="nil"/>
              <w:bottom w:val="single" w:color="auto" w:sz="4" w:space="0"/>
              <w:right w:val="single" w:color="auto" w:sz="4" w:space="0"/>
            </w:tcBorders>
            <w:shd w:val="clear" w:color="auto" w:fill="auto"/>
            <w:noWrap/>
            <w:vAlign w:val="center"/>
          </w:tcPr>
          <w:p w14:paraId="1778839F">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审核</w:t>
            </w:r>
          </w:p>
        </w:tc>
      </w:tr>
      <w:tr w14:paraId="2351D3A6">
        <w:tblPrEx>
          <w:tblCellMar>
            <w:top w:w="0" w:type="dxa"/>
            <w:left w:w="108" w:type="dxa"/>
            <w:bottom w:w="0" w:type="dxa"/>
            <w:right w:w="108" w:type="dxa"/>
          </w:tblCellMar>
        </w:tblPrEx>
        <w:trPr>
          <w:trHeight w:val="360" w:hRule="atLeast"/>
        </w:trPr>
        <w:tc>
          <w:tcPr>
            <w:tcW w:w="662" w:type="pct"/>
            <w:tcBorders>
              <w:top w:val="nil"/>
              <w:left w:val="single" w:color="auto" w:sz="4" w:space="0"/>
              <w:bottom w:val="single" w:color="auto" w:sz="4" w:space="0"/>
              <w:right w:val="single" w:color="auto" w:sz="4" w:space="0"/>
            </w:tcBorders>
            <w:shd w:val="clear" w:color="auto" w:fill="auto"/>
            <w:noWrap/>
            <w:vAlign w:val="center"/>
          </w:tcPr>
          <w:p w14:paraId="078CB265">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成员</w:t>
            </w:r>
          </w:p>
        </w:tc>
        <w:tc>
          <w:tcPr>
            <w:tcW w:w="662" w:type="pct"/>
            <w:tcBorders>
              <w:top w:val="nil"/>
              <w:left w:val="nil"/>
              <w:bottom w:val="single" w:color="auto" w:sz="4" w:space="0"/>
              <w:right w:val="single" w:color="auto" w:sz="4" w:space="0"/>
            </w:tcBorders>
            <w:shd w:val="clear" w:color="auto" w:fill="auto"/>
            <w:noWrap/>
            <w:vAlign w:val="center"/>
          </w:tcPr>
          <w:p w14:paraId="3BA485CA">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赵宇通</w:t>
            </w:r>
          </w:p>
        </w:tc>
        <w:tc>
          <w:tcPr>
            <w:tcW w:w="2286" w:type="pct"/>
            <w:tcBorders>
              <w:top w:val="nil"/>
              <w:left w:val="nil"/>
              <w:bottom w:val="single" w:color="auto" w:sz="4" w:space="0"/>
              <w:right w:val="single" w:color="auto" w:sz="4" w:space="0"/>
            </w:tcBorders>
            <w:shd w:val="clear" w:color="auto" w:fill="auto"/>
            <w:noWrap/>
            <w:vAlign w:val="center"/>
          </w:tcPr>
          <w:p w14:paraId="31AD5998">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赤峰学院</w:t>
            </w:r>
          </w:p>
        </w:tc>
        <w:tc>
          <w:tcPr>
            <w:tcW w:w="1390" w:type="pct"/>
            <w:tcBorders>
              <w:top w:val="nil"/>
              <w:left w:val="nil"/>
              <w:bottom w:val="single" w:color="auto" w:sz="4" w:space="0"/>
              <w:right w:val="single" w:color="auto" w:sz="4" w:space="0"/>
            </w:tcBorders>
            <w:shd w:val="clear" w:color="auto" w:fill="auto"/>
            <w:noWrap/>
            <w:vAlign w:val="center"/>
          </w:tcPr>
          <w:p w14:paraId="6252F36F">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协助编制</w:t>
            </w:r>
          </w:p>
        </w:tc>
      </w:tr>
      <w:tr w14:paraId="23CDFA4E">
        <w:tblPrEx>
          <w:tblCellMar>
            <w:top w:w="0" w:type="dxa"/>
            <w:left w:w="108" w:type="dxa"/>
            <w:bottom w:w="0" w:type="dxa"/>
            <w:right w:w="108" w:type="dxa"/>
          </w:tblCellMar>
        </w:tblPrEx>
        <w:trPr>
          <w:trHeight w:val="360" w:hRule="atLeast"/>
        </w:trPr>
        <w:tc>
          <w:tcPr>
            <w:tcW w:w="662" w:type="pct"/>
            <w:tcBorders>
              <w:top w:val="nil"/>
              <w:left w:val="single" w:color="auto" w:sz="4" w:space="0"/>
              <w:bottom w:val="single" w:color="auto" w:sz="4" w:space="0"/>
              <w:right w:val="single" w:color="auto" w:sz="4" w:space="0"/>
            </w:tcBorders>
            <w:shd w:val="clear" w:color="auto" w:fill="auto"/>
            <w:noWrap/>
            <w:vAlign w:val="center"/>
          </w:tcPr>
          <w:p w14:paraId="1531577B">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成员</w:t>
            </w:r>
          </w:p>
        </w:tc>
        <w:tc>
          <w:tcPr>
            <w:tcW w:w="662" w:type="pct"/>
            <w:tcBorders>
              <w:top w:val="nil"/>
              <w:left w:val="nil"/>
              <w:bottom w:val="single" w:color="auto" w:sz="4" w:space="0"/>
              <w:right w:val="single" w:color="auto" w:sz="4" w:space="0"/>
            </w:tcBorders>
            <w:shd w:val="clear" w:color="auto" w:fill="auto"/>
            <w:noWrap/>
            <w:vAlign w:val="center"/>
          </w:tcPr>
          <w:p w14:paraId="20F5CACC">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李鑫阳</w:t>
            </w:r>
          </w:p>
        </w:tc>
        <w:tc>
          <w:tcPr>
            <w:tcW w:w="2286" w:type="pct"/>
            <w:tcBorders>
              <w:top w:val="nil"/>
              <w:left w:val="nil"/>
              <w:bottom w:val="single" w:color="auto" w:sz="4" w:space="0"/>
              <w:right w:val="single" w:color="auto" w:sz="4" w:space="0"/>
            </w:tcBorders>
            <w:shd w:val="clear" w:color="auto" w:fill="auto"/>
            <w:noWrap/>
            <w:vAlign w:val="center"/>
          </w:tcPr>
          <w:p w14:paraId="1071C808">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赤峰学院</w:t>
            </w:r>
          </w:p>
        </w:tc>
        <w:tc>
          <w:tcPr>
            <w:tcW w:w="1390" w:type="pct"/>
            <w:tcBorders>
              <w:top w:val="nil"/>
              <w:left w:val="nil"/>
              <w:bottom w:val="single" w:color="auto" w:sz="4" w:space="0"/>
              <w:right w:val="single" w:color="auto" w:sz="4" w:space="0"/>
            </w:tcBorders>
            <w:shd w:val="clear" w:color="auto" w:fill="auto"/>
            <w:noWrap/>
            <w:vAlign w:val="center"/>
          </w:tcPr>
          <w:p w14:paraId="78139F2A">
            <w:pPr>
              <w:spacing w:line="240" w:lineRule="auto"/>
              <w:ind w:firstLine="0" w:firstLineChars="0"/>
              <w:jc w:val="center"/>
              <w:rPr>
                <w:rFonts w:ascii="宋体" w:hAnsi="宋体" w:cs="宋体"/>
                <w:color w:val="000000"/>
                <w:sz w:val="24"/>
                <w:szCs w:val="24"/>
              </w:rPr>
            </w:pPr>
            <w:r>
              <w:rPr>
                <w:rFonts w:hint="eastAsia" w:ascii="宋体" w:hAnsi="宋体" w:cs="宋体"/>
                <w:color w:val="000000"/>
                <w:sz w:val="24"/>
                <w:szCs w:val="24"/>
              </w:rPr>
              <w:t>协助编制及文本校对</w:t>
            </w:r>
          </w:p>
        </w:tc>
      </w:tr>
    </w:tbl>
    <w:p w14:paraId="4AC80751">
      <w:pPr>
        <w:pStyle w:val="3"/>
      </w:pPr>
      <w:r>
        <w:rPr>
          <w:rFonts w:hint="eastAsia"/>
        </w:rPr>
        <w:t>2、起草阶段</w:t>
      </w:r>
    </w:p>
    <w:p w14:paraId="29EA0049">
      <w:pPr>
        <w:ind w:firstLine="560"/>
      </w:pPr>
      <w:r>
        <w:rPr>
          <w:rFonts w:hint="eastAsia"/>
        </w:rPr>
        <w:t>2023年4月-</w:t>
      </w:r>
      <w:r>
        <w:t>10</w:t>
      </w:r>
      <w:r>
        <w:rPr>
          <w:rFonts w:hint="eastAsia"/>
        </w:rPr>
        <w:t>月，通过认真学习《中华人民共和国标准化法》、《国家标准化发展纲要》、《内蒙古自治区标准化条例》和赤峰市《地方标准管理办法》等法律法规及有关文件，并了解低品位工业余热总量估算导则在赤峰市工业企业余热总量估算过程中发挥的作用及存在的问题。起草组结合过去赤峰市及其他地区工业余热利用余热总量估算实际工程项目，在过去赤峰学院、清华大学及内蒙古富龙供热工程技术有限公司研究的基础之上编制了《低品位工业余热总量估算导则》形成工作组讨论稿，</w:t>
      </w:r>
      <w:r>
        <w:rPr>
          <w:rFonts w:hint="eastAsia" w:hAnsi="宋体"/>
          <w:szCs w:val="28"/>
        </w:rPr>
        <w:t>在部门内部征求意见并修改，形成征求意见稿。</w:t>
      </w:r>
    </w:p>
    <w:p w14:paraId="1D014884">
      <w:pPr>
        <w:pStyle w:val="3"/>
      </w:pPr>
      <w:r>
        <w:rPr>
          <w:rFonts w:hint="eastAsia"/>
        </w:rPr>
        <w:t>3、征求意见阶段</w:t>
      </w:r>
    </w:p>
    <w:p w14:paraId="1FEC0926">
      <w:pPr>
        <w:ind w:firstLine="560"/>
        <w:rPr>
          <w:color w:val="FF0000"/>
        </w:rPr>
      </w:pPr>
      <w:r>
        <w:rPr>
          <w:rFonts w:hint="eastAsia"/>
        </w:rPr>
        <w:t>202</w:t>
      </w:r>
      <w:r>
        <w:t>4</w:t>
      </w:r>
      <w:r>
        <w:rPr>
          <w:rFonts w:hint="eastAsia"/>
        </w:rPr>
        <w:t>年xx月至2024年xx月，赤峰市市场监督管理局在赤峰市人民政府网站对该标准（征求意见稿）进行公开征求意见，同时，赤峰学院进行了线下征求意见。</w:t>
      </w:r>
      <w:r>
        <w:rPr>
          <w:rFonts w:hint="eastAsia"/>
          <w:color w:val="FF0000"/>
        </w:rPr>
        <w:t>征求意见结果：线上无反馈意见，线下共收集书面反馈意见30份，其中无意见。。。。。</w:t>
      </w:r>
    </w:p>
    <w:p w14:paraId="164BF4C2">
      <w:pPr>
        <w:pStyle w:val="3"/>
      </w:pPr>
      <w:r>
        <w:rPr>
          <w:rFonts w:hint="eastAsia"/>
        </w:rPr>
        <w:t>4、送审阶段</w:t>
      </w:r>
    </w:p>
    <w:p w14:paraId="084A6927">
      <w:pPr>
        <w:ind w:firstLine="560"/>
        <w:rPr>
          <w:color w:val="FF0000"/>
        </w:rPr>
      </w:pPr>
      <w:r>
        <w:rPr>
          <w:rFonts w:hint="eastAsia"/>
        </w:rPr>
        <w:t>2024年xx月至xx月，标准编制组对专家反馈意见进行了认真梳理研究，对本标准（征求意见稿）共征集意见到专</w:t>
      </w:r>
      <w:r>
        <w:rPr>
          <w:rFonts w:hint="eastAsia"/>
          <w:color w:val="FF0000"/>
        </w:rPr>
        <w:t>家意见？条，采纳？条，部分采纳？条，未采纳？条。根据专家意见，标准编制组对标准文本内容进行了修改补充完善，形成送审稿。</w:t>
      </w:r>
    </w:p>
    <w:p w14:paraId="29B0BD15">
      <w:pPr>
        <w:ind w:firstLine="560"/>
      </w:pPr>
      <w:r>
        <w:rPr>
          <w:rFonts w:hint="eastAsia"/>
        </w:rPr>
        <w:t>2024年xx月xx日，赤峰学院将标准送审稿、编制说明和征求意见反馈表及汇总处理表，报送赤峰市市场监督管理局。</w:t>
      </w:r>
    </w:p>
    <w:p w14:paraId="4499FD9F">
      <w:pPr>
        <w:ind w:firstLine="560"/>
      </w:pPr>
      <w:r>
        <w:rPr>
          <w:rFonts w:hint="eastAsia"/>
        </w:rPr>
        <w:t>2024年xx月xx日，由赤峰市市场监督管理局主持，在赤峰市组织召开了地方标准技术审查会议。审查技术委员会一致同意《低品位工业余热总量估算导则（送审稿）》通过评审。</w:t>
      </w:r>
    </w:p>
    <w:p w14:paraId="4394C034">
      <w:pPr>
        <w:pStyle w:val="3"/>
      </w:pPr>
      <w:r>
        <w:rPr>
          <w:rFonts w:hint="eastAsia"/>
        </w:rPr>
        <w:t>5、报批阶段</w:t>
      </w:r>
    </w:p>
    <w:p w14:paraId="7087FCBD">
      <w:pPr>
        <w:ind w:firstLine="560"/>
      </w:pPr>
      <w:r>
        <w:rPr>
          <w:rFonts w:hint="eastAsia"/>
        </w:rPr>
        <w:t>根据专家技术审查委员会审查意见，标准编制组对标准送审稿进行了认真修改，完成报批稿，并与相关材料一并提交至赤峰市市场监督管理局进行审批、备案和发布。</w:t>
      </w:r>
    </w:p>
    <w:p w14:paraId="7EC932E6">
      <w:pPr>
        <w:spacing w:line="240" w:lineRule="auto"/>
        <w:ind w:firstLineChars="0"/>
        <w:outlineLvl w:val="0"/>
        <w:rPr>
          <w:rFonts w:ascii="仿宋_GB2312" w:eastAsia="仿宋_GB2312"/>
          <w:b/>
          <w:bCs/>
          <w:sz w:val="32"/>
          <w:szCs w:val="32"/>
        </w:rPr>
      </w:pPr>
      <w:r>
        <w:rPr>
          <w:rFonts w:hint="eastAsia" w:ascii="仿宋_GB2312" w:eastAsia="仿宋_GB2312"/>
          <w:b/>
          <w:bCs/>
          <w:sz w:val="32"/>
          <w:szCs w:val="32"/>
        </w:rPr>
        <w:t>四、制定标准的原则和依据，与现行法律、法规、标准的关系；</w:t>
      </w:r>
    </w:p>
    <w:p w14:paraId="4098F13A">
      <w:pPr>
        <w:pStyle w:val="3"/>
      </w:pPr>
      <w:r>
        <w:rPr>
          <w:rFonts w:hint="eastAsia"/>
        </w:rPr>
        <w:t>1、制定标准的原则</w:t>
      </w:r>
    </w:p>
    <w:p w14:paraId="6A2142FF">
      <w:pPr>
        <w:ind w:firstLine="560"/>
      </w:pPr>
      <w:r>
        <w:rPr>
          <w:rFonts w:hint="eastAsia"/>
        </w:rPr>
        <w:t>在标准编制过程中，遵循了“先进性、实用性、统一性、规范性”的原则，符合赤峰市低品位工业集中供暖的现状。</w:t>
      </w:r>
    </w:p>
    <w:p w14:paraId="40FB61E4">
      <w:pPr>
        <w:pStyle w:val="3"/>
      </w:pPr>
      <w:r>
        <w:rPr>
          <w:rFonts w:hint="eastAsia"/>
        </w:rPr>
        <w:t>2、</w:t>
      </w:r>
      <w:r>
        <w:t>制定标准的依据</w:t>
      </w:r>
    </w:p>
    <w:p w14:paraId="6C077704">
      <w:pPr>
        <w:ind w:firstLine="560"/>
      </w:pPr>
      <w:r>
        <w:rPr>
          <w:rFonts w:hint="eastAsia"/>
        </w:rPr>
        <w:t>本团队在低品位工业余热供暖方面已有多年研究基础，自2018年起至今，从最初迁西县钢铁厂余热供暖示范工程、赤峰远联钢铁厂余热供暖工程、赤峰金剑铜业余热供暖工程等单一工业企业逐步扩展到分别对五大类高耗能工业企业余热总量预测，熟练掌握各类企业生产工艺流程及化学热反应等关键要素。期间已有多篇有关论文在国内期刊公开发表。该标准制定后，从微观来看，可为相关工程方案设计、优化提供更加便捷且较为准确的计算方法。从宏观来看，可为政策制定者提供宏观决策依据，为地区能源规划或供热规划提供数据支持。</w:t>
      </w:r>
    </w:p>
    <w:p w14:paraId="77554C00">
      <w:pPr>
        <w:pStyle w:val="3"/>
      </w:pPr>
      <w:r>
        <w:rPr>
          <w:rFonts w:hint="eastAsia"/>
        </w:rPr>
        <w:t>3、与现行法律、法规、标准的关系</w:t>
      </w:r>
    </w:p>
    <w:p w14:paraId="0BE73797">
      <w:pPr>
        <w:ind w:firstLine="560"/>
      </w:pPr>
      <w:r>
        <w:rPr>
          <w:rFonts w:hint="eastAsia"/>
        </w:rPr>
        <w:t>本标准严格按照GB/T1.1 2020《标准化工作导则第 1 部分：标准化文件的结构和起草规则》编制本标准。目前在全国标准信息公共服务平台查询，暂未发现与低品位工业余热总量估算的相关标准。</w:t>
      </w:r>
    </w:p>
    <w:p w14:paraId="07B28D3B">
      <w:pPr>
        <w:ind w:firstLine="643"/>
        <w:outlineLvl w:val="0"/>
        <w:rPr>
          <w:rFonts w:ascii="仿宋_GB2312" w:eastAsia="仿宋_GB2312"/>
          <w:b/>
          <w:bCs/>
          <w:sz w:val="32"/>
          <w:szCs w:val="32"/>
        </w:rPr>
      </w:pPr>
      <w:r>
        <w:rPr>
          <w:rFonts w:hint="eastAsia" w:ascii="仿宋_GB2312" w:eastAsia="仿宋_GB2312"/>
          <w:b/>
          <w:bCs/>
          <w:sz w:val="32"/>
          <w:szCs w:val="32"/>
        </w:rPr>
        <w:t>五、主要条款的说明，主要技术指标、参数、试验验证的论述；</w:t>
      </w:r>
    </w:p>
    <w:p w14:paraId="044A47D4">
      <w:pPr>
        <w:pStyle w:val="3"/>
      </w:pPr>
      <w:r>
        <w:rPr>
          <w:rFonts w:hint="eastAsia"/>
        </w:rPr>
        <w:t>1、主要条款说明</w:t>
      </w:r>
    </w:p>
    <w:p w14:paraId="26E599C1">
      <w:pPr>
        <w:ind w:firstLine="560"/>
      </w:pPr>
      <w:r>
        <w:rPr>
          <w:rFonts w:hint="eastAsia"/>
        </w:rPr>
        <w:t>（一）标准适用范围</w:t>
      </w:r>
    </w:p>
    <w:p w14:paraId="66FD9669">
      <w:pPr>
        <w:ind w:firstLine="560"/>
      </w:pPr>
      <w:r>
        <w:t>本文件</w:t>
      </w:r>
      <w:r>
        <w:rPr>
          <w:rFonts w:hint="eastAsia"/>
        </w:rPr>
        <w:t>规定了低品位工业余热总量估算的应用范围、应用方法及计算方法。</w:t>
      </w:r>
    </w:p>
    <w:p w14:paraId="5148521C">
      <w:pPr>
        <w:ind w:firstLine="560"/>
      </w:pPr>
      <w:r>
        <w:rPr>
          <w:rFonts w:hint="eastAsia"/>
        </w:rPr>
        <w:t>本文件适用于供热企业、工业企业对低品位工业余热利用的方案制定及核算。</w:t>
      </w:r>
    </w:p>
    <w:p w14:paraId="78237357">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2）术语和定义</w:t>
      </w:r>
    </w:p>
    <w:p w14:paraId="030CBBFB">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对本标准涉及到的相关术语的含义进行了界定。</w:t>
      </w:r>
    </w:p>
    <w:p w14:paraId="1A944AE7">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（3）低品位工业余热估算方法</w:t>
      </w:r>
    </w:p>
    <w:p w14:paraId="460A34AB">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确定了低品位工业余热第一层级目标、第二层级目标的估算方法。</w:t>
      </w:r>
    </w:p>
    <w:p w14:paraId="1093702C">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（4）附录</w:t>
      </w:r>
    </w:p>
    <w:p w14:paraId="24D63AD7">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给出了第二层级高耗能工业企业生产流程、余热回收系数、各工艺余热量估算方法。</w:t>
      </w:r>
    </w:p>
    <w:p w14:paraId="2A9DA1AF">
      <w:pPr>
        <w:pStyle w:val="3"/>
      </w:pPr>
      <w:r>
        <w:rPr>
          <w:rFonts w:hint="eastAsia"/>
        </w:rPr>
        <w:t>2、主要技术指标、参数及试验验证的论述</w:t>
      </w:r>
    </w:p>
    <w:p w14:paraId="0C3E6AED">
      <w:pPr>
        <w:pStyle w:val="3"/>
      </w:pPr>
      <w:r>
        <w:rPr>
          <w:rFonts w:hint="eastAsia"/>
        </w:rPr>
        <w:t>2</w:t>
      </w:r>
      <w:r>
        <w:t>.1</w:t>
      </w:r>
      <w:r>
        <w:rPr>
          <w:rFonts w:hint="eastAsia"/>
        </w:rPr>
        <w:t>第一层级目标的估算方法</w:t>
      </w:r>
    </w:p>
    <w:p w14:paraId="7568AFF1">
      <w:pPr>
        <w:ind w:firstLine="560"/>
      </w:pPr>
      <w:r>
        <w:rPr>
          <w:rFonts w:hint="eastAsia"/>
        </w:rPr>
        <w:t>（</w:t>
      </w:r>
      <w:r>
        <w:t>1</w:t>
      </w:r>
      <w:r>
        <w:rPr>
          <w:rFonts w:hint="eastAsia"/>
        </w:rPr>
        <w:t>）工业生产能耗法</w:t>
      </w:r>
    </w:p>
    <w:p w14:paraId="4ECC89FF">
      <w:pPr>
        <w:ind w:firstLine="560"/>
      </w:pPr>
      <w:r>
        <w:rPr>
          <w:rFonts w:hint="eastAsia"/>
        </w:rPr>
        <w:t>工业生产需要有能源消耗。从能量流动的角度看，燃煤是工业生产系统重要的能量流入。能量流入的另一重要组分是化学反应热：工业生产过程有些环节是吸热反应（例如水泥回转窑内生料的分解反应），有些环节是放热反应（例如高炉炼铁和浓硫酸的制备等）。对于主要生产工艺环节为放热反应的工业部门，反应热也是重要的能量流入。工业余热是生产过程中排放至周围环境（如空气、水等）中的热量，是主要的能量流出。对于主要生产工艺环节为吸热反应的工业部门，反应热也属于能量流出。根据研究区域内高耗能工业部门的燃煤消耗和考虑了化学反应热后的综合平均热利用率，可以估算出低品位工业余热的总量。公式如下：</w:t>
      </w:r>
    </w:p>
    <w:p w14:paraId="265739E9">
      <w:pPr>
        <w:ind w:firstLine="560"/>
        <w:jc w:val="right"/>
      </w:pPr>
      <w:r>
        <w:fldChar w:fldCharType="begin"/>
      </w:r>
      <w:r>
        <w:instrText xml:space="preserve"> QUOTE </w:instrText>
      </w:r>
      <w:r>
        <w:rPr>
          <w:position w:val="-24"/>
        </w:rPr>
        <w:pict>
          <v:shape id="_x0000_i1025" o:spt="75" type="#_x0000_t75" style="height:31.3pt;width:169.0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2F6ADD&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33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B2653&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039C3&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5CF5&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2F6ADD&quot; wsp:rsidP=&quot;002F6ADD&quot;&gt;&lt;m:oMathPara&gt;&lt;m:oMath&gt;&lt;m:sSub&gt;&lt;m:sSubPr&gt;&lt;m:ctrlPr&gt;&lt;w:rPr&gt;&lt;w:rFonts w:ascii=&quot;Cambria Math&quot; w:fareast=&quot;绛夌嚎&quot; w:h-ansi=&quot;Cambria Math&quot;/&gt;&lt;wx:font wx:val=&quot;Cambria Math&quot;/&gt;&lt;w:i/&gt;&lt;w:kern w:val=&quot;0&quot;/&gt;&lt;w:sz w:val=&quot;24&quot;/&gt;&lt;w:sz-cs w:val=&quot;20&quot;/&gt;&lt;/w:rPr&gt;&lt;/m:ctrlPr&gt;&lt;/m:sSubPr&gt;&lt;m:ethPthPthPthPthPthPthPthPthP&gt;&lt;m:r&gt;&lt;w:rPr&gt;&lt;w:rFonts w:ascii=&quot;Cambria Math&quot; w:h-ansi=&quot;Cambria Math&quot;/&gt;&lt;wx:font wx:val=&quot;Cambria Math&quot;/&gt;&lt;w:i/&gt;&lt;/w:rPr&gt;&lt;m:t&gt;E&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sSub&gt;&lt;m:sSubPr&gt;&lt;m:ctrlPr&gt;&lt;w:rPr&gt;&lt;w:rFonts w:ascii=&quot;Cambria Math&quot; w:fareast=&quot;绛夌嚎&quot; w:h-ansi=&quot;Cambria Math&quot;/&gt;&lt;wx:font wx:val=&quot;Cambria Math&quot;/&gt;&lt;w:i/&gt;&lt;w:kern w:val=&quot;0&quot;/&gt;&lt;w:sz w:val=&quot;24&quot;/&gt;&lt;w:sz-cs w:val=&quot;20&quot;/&gt;&lt;/w:rPr&gt;&lt;/m:ctrlPr&gt;&lt;/m:sSubPr&gt;&lt;m:e&gt;&lt;m:r&gt;&lt;w:rPr&gt;&lt;w:rFonts w:ascii=&quot;Cambria Math&quot; w:h-ansi=&quot;Cambria Maii=th&quot;&quot;Ca w:mbrhinia t=&quot;Matfarh&quot; easw:ft&quot;/are&gt;&lt;wastx:font wx:val=&quot;Cambria Math&quot;/&gt;&lt;w:i/&gt;&lt;/w:rPr&gt;&lt;m:t&gt;E&lt;/m:t&gt;&lt;/m:r&gt;&lt;/m:e&gt;&lt;m:sub&gt;&lt;m:r&gt;&lt;w:rPr&gt;&lt;w:rFonts w:ascii=&quot;Cambria Math&quot; w:h-ansi=&quot;Cambria Math&quot;/&gt;&lt;wx:font wx:val=&quot;Cambria Math&quot;/&gt;&lt;w:i/&gt;&lt;/w:rPr&gt;&lt;m:t&gt;z&lt;/m:t&gt;&lt;/m:r&gt;&lt;/m:sub&gt;&lt;/m:sSub&gt;&lt;m:r&gt;&lt;w:rPr&gt;&lt;w:rFonts w:ascii=&quot;Cambria Math&quot; w:h-ansi=&quot;Cambria Math&quot;/&gt;&lt;wx:font wx:val=&quot;Cambria Math&quot;/&gt;&lt;w:i/&gt;&lt;/w:rPr&gt;&lt;m:t&gt;脳&lt;/m:t&gt;&lt;/m:r&gt;&lt;m:sSub&gt;&lt;m:sSubPr&gt;&lt;m:ctrlPr&gt;&lt;w:rPr&gt;&lt;w:rFonts w:ascii=&quot;Cambria Math&quot; w:fareast=&quot;绛夌嚎&quot; w:h-ansi=&quot;Camb&lt;/m:ria Ma&lt;/m:th&quot;/&gt;&lt;b&gt;&lt;/wx:fonsSubt wx:vm:r&gt;al=&quot;Ca:rPrmbria w:rFMath&quot;/ts w&gt;&lt;w:i/scii&gt;&lt;w:kern w:val=&quot;0&quot;/&gt;&lt;w:sz w:val=&quot;24&quot;/&gt;&lt;w:sz-cs w:val=&quot;20&quot;/&gt;&lt;/w:rPr&gt;&lt;/m:ctrlPr&gt;&lt;/m:sSubPr&gt;&lt;m:e&gt;&lt;m:r&gt;&lt;w:rPr&gt;&lt;w:rFonts w:ascii=&quot;Cambria Math&quot; w:h-ansi=&quot;Cambria Math&quot;/&gt;&lt;wx:font wx:val=&quot;Cambria Math&quot;/&gt;&lt;w:i/&gt;&lt;/w:rPr&gt;&lt;m:t&gt;畏&lt;/m:t&gt;&lt;/rm:r&gt;&lt;/m:e&gt;F&lt;m:sub&gt;&lt;m:wr&gt;&lt;w:rPr&gt;&lt;iw:rFonts w:ascii=&quot;Cambria Math&quot; w:h-ansi=&quot;Cambria Math&quot;/&gt;&lt;wx:font wx:val=&quot;Cambria Math&quot;/&gt;&lt;w:i/&gt;&lt;/w:rPr&gt;&lt;m:t&gt;ind&lt;/m:t&gt;&lt;/m:r&gt;&lt;/m:sub&gt;&lt;/m:sSub&gt;&lt;m:r&gt;&lt;w:rPr&gt;&lt;w:rFonts w:ascii=&quot;xCambria Mabth&quot; w:h-an/si=&quot;Cambriwa Math&quot;/&gt;&lt;&gt;wx:font wx:val=&quot;Cambria Math&quot;/&gt;&lt;w:i/&gt;&lt;/w:rPr&gt;&lt;m:t&gt;脳&lt;/m:t&gt;&lt;/m:r&gt;&lt;m:sSub&gt;&lt;m:sSubPr&gt;&lt;m:ctrlPr&gt;&lt;w:rPr&gt;&lt;w:rFonts w:ascii=&quot;Cambria Math&quot; w:fareast=&quot;绛夌嚎&quot; w:h-ansi=&quot;Cambria Math&quot;/&gt;&lt;wx:font wx:val=&quot;Cambria Math&quot;/&gt;&lt;w:i=&quot;xi/&gt;&lt;w:kern  Mabw:val=&quot;0&quot;/&gt;-an/&lt;w:sz w:valbriw=&quot;24&quot;/&gt;&lt;w:s/&gt;&lt;&gt;z-cs w:val= wx:&quot;20&quot;/&gt;&lt;/w:rmbriPr&gt;&lt;/m:ctrl/&gt;&lt;wPr&gt;&lt;/m:sSub:rPrPr&gt;&lt;m:e&gt;&lt;m:r&gt;&lt;w:rPr&gt;&lt;w:rFonts w:ascii=&quot;Cambria Math&quot; w:h-ansi=&quot;Cambria Math&quot;/&gt;&lt;wx:font wx:val=&quot;Cambria Math&quot;/&gt;&lt;w:i/&gt;&lt;/w:rPr&gt;&lt;m:t&gt;畏&lt;/m:xt&gt;&lt;/m:r&gt;&lt;/m:e&gt;&lt;bm:sub&gt;&lt;m:r&gt;&lt;w:r/Pr&gt;&lt;w:rFonts w:wascii=&quot;Cambria &gt;Math&quot; w:h-ansi=:&quot;Cambria Math&quot;/i&gt;&lt;wx:font wx:vawl=&quot;Cambria Mathr&quot;/&gt;&lt;w:i/&gt;&lt;/w:rPr&gt;&lt;m:t&gt;e&lt;/m:t&gt;&lt;/m:r&gt;&lt;/m:sub&gt;&lt;/m:sSub&gt;&lt;m:r&gt;&lt;w:rPr&gt;&lt;w:rFonts w:ascii=&quot;Cambria Math&quot; w:h-ansi=&quot;Cambria Math&quot;/&gt;&lt;wx:font wx:val=&quot;Cambria Math&quot;/&gt;&lt;w:i/&gt;&lt;/w:rPr&gt;&lt;m:t&gt;(1-&lt;/m:t&gt;&lt;/m:r&gt;&lt;m:sSub&gt;&lt;m:sSubPr&gt;&lt;m:ctrlPr&gt;&lt;w:rPr&gt;&lt;w:rFonts w:ascii=&quot;Cambria Math&quot; w:fareast=&quot;绛夌嚎&quot; w:h-ansi=&quot;Cambria Math&quot;/&gt;&lt;wx:font wx:val=&quot;Cambria Math&quot;/&gt;&lt;w:i/&gt;&lt;w:kern w:val=&quot;0&quot;/&gt;&lt;w:sz w:val=&quot;24&quot;/&gt;&lt;w:sz-cx:fs w:val=&quot;20&quot;/&gt;&lt;/ambw:rPr&gt;&lt;/m:ctrlPr:i/&gt;&lt;/m:sSubPr&gt;&lt;m:e&gt;(1&gt;&lt;m:r&gt;&lt;w:rPr&gt;&lt;w:&lt;m:rFonts w:ascii=&quot;r&gt;&lt;Cambria Math&quot; w:Pr&gt;h-ansi=&quot;Cambria sciMath&quot;/&gt;&lt;wx:font th&quot;wx:val=&quot;Cambria Math&quot;/&gt;&lt;w:i/&gt;&lt;/w:rPr&gt;&lt;m:t&gt;Eff&lt;/m:t&gt;&lt;/m:r&gt;&lt;/m:e&gt;&lt;m:sub&gt;&lt;m:r&gt;&lt;w:rPr&gt;&lt;w:rFonts w:ascii=&quot;Cambria Math&quot; w:h-ansi=&quot;Cambria Math&quot;/&gt;&lt;wx:font wx:val=&quot;Cambria Math&quot;/&gt;&lt;w:i/&gt;&lt;/w:rPr&gt;&lt;m:t&gt;e&lt;/m:t&gt;&lt;/m:r&gt;&lt;/m:sub&gt;&lt;/m:sSub&gt;&lt;m:r&gt;&lt;w:rPr&gt;&lt;w:rFonts w:ascii=&quot;Cambria Math&quot; w:h-ansi=&quot;Cambria Math&quot;/&gt;&lt;wx:font wx:val=&quot;Cambria Math&quot;/&gt;&lt;w:i/&gt;&lt;/w:rPr&gt;&lt;m:t&gt;)脳&lt;/m:t&gt;&lt;/m:r&gt;&lt;am:sSub&gt;&lt;m:sSubPr&gt;&lt;ms:ctrlPr&gt;&lt;w:rPr&gt;&lt;w:r&lt;Fonts w:ascii=&quot;Cambmria Math&quot; w:fareast&lt;=&quot;绛夌嚎&quot; w:h-ansi=m:t&gt;&quot;Cambria Math&quot;/&gt;&lt;wx/m:s:font wx:val=&quot;Cambr&gt;&lt;w:ia Math&quot;/&gt;&lt;w:i/&gt;&lt;w:&quot;Camkern w:val=&quot;0&quot;/&gt;&lt;w:sz w:val=&quot;24&quot;/&gt;&lt;w:sz-cs w:val=&quot;20&quot;/&gt;&lt;/w:rPr&gt;&lt;/m:ctrlPr&gt;&lt;/m:sSubP&gt;&lt;ar&gt;&lt;m:e&gt;&lt;m:r&gt;&lt;w:rPr&gt;&lt;&lt;msw:rFonts w:ascii=&quot;Ca:r&lt;mbria Math&quot; w:h-ansimbm=&quot;Cambria Math&quot;/&gt;&lt;wxst&lt;:font wx:val=&quot;Cambria Math&quot;/&gt;&lt;w:i/&gt;&lt;/w:rPr&gt;&lt;m:t&gt;畏&lt;/m:t&gt;&lt;/m:r&gt;&lt;/m:e&gt;&lt;:m:sub&gt;&lt;m:r&gt;&lt;w:rPr&gt;&lt;w:rFmonts w:ascii=&quot;Cambria Math&quot; w:h-ansi=&quot;Cambria Math&quot;/&gt;&lt;wx:font wx:val=a&quot;Cambria Math&quot;/&gt;&lt;w:i/&gt;&lt;s/w:rPr&gt;&lt;m:t&gt;low&lt;/m:t&gt;&lt;/&lt;m:r&gt;&lt;/m:sub&gt;&lt;/m:sSub&gt;&lt;/mm:oMath&gt;&lt;/m:oMathPara&gt;&lt;&lt;/w:p&gt;&lt;w:sectPr wsp:rsidM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instrText xml:space="preserve"> </w:instrText>
      </w:r>
      <w:r>
        <w:fldChar w:fldCharType="separate"/>
      </w:r>
      <w:r>
        <w:rPr>
          <w:position w:val="-24"/>
        </w:rPr>
        <w:pict>
          <v:shape id="_x0000_i1026" o:spt="75" type="#_x0000_t75" style="height:31.3pt;width:169.0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2F6ADD&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33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B2653&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039C3&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5CF5&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2F6ADD&quot; wsp:rsidP=&quot;002F6ADD&quot;&gt;&lt;m:oMathPara&gt;&lt;m:oMath&gt;&lt;m:sSub&gt;&lt;m:sSubPr&gt;&lt;m:ctrlPr&gt;&lt;w:rPr&gt;&lt;w:rFonts w:ascii=&quot;Cambria Math&quot; w:fareast=&quot;绛夌嚎&quot; w:h-ansi=&quot;Cambria Math&quot;/&gt;&lt;wx:font wx:val=&quot;Cambria Math&quot;/&gt;&lt;w:i/&gt;&lt;w:kern w:val=&quot;0&quot;/&gt;&lt;w:sz w:val=&quot;24&quot;/&gt;&lt;w:sz-cs w:val=&quot;20&quot;/&gt;&lt;/w:rPr&gt;&lt;/m:ctrlPr&gt;&lt;/m:sSubPr&gt;&lt;m:ethPthPthPthPthPthPthPthPthP&gt;&lt;m:r&gt;&lt;w:rPr&gt;&lt;w:rFonts w:ascii=&quot;Cambria Math&quot; w:h-ansi=&quot;Cambria Math&quot;/&gt;&lt;wx:font wx:val=&quot;Cambria Math&quot;/&gt;&lt;w:i/&gt;&lt;/w:rPr&gt;&lt;m:t&gt;E&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sSub&gt;&lt;m:sSubPr&gt;&lt;m:ctrlPr&gt;&lt;w:rPr&gt;&lt;w:rFonts w:ascii=&quot;Cambria Math&quot; w:fareast=&quot;绛夌嚎&quot; w:h-ansi=&quot;Cambria Math&quot;/&gt;&lt;wx:font wx:val=&quot;Cambria Math&quot;/&gt;&lt;w:i/&gt;&lt;w:kern w:val=&quot;0&quot;/&gt;&lt;w:sz w:val=&quot;24&quot;/&gt;&lt;w:sz-cs w:val=&quot;20&quot;/&gt;&lt;/w:rPr&gt;&lt;/m:ctrlPr&gt;&lt;/m:sSubPr&gt;&lt;m:e&gt;&lt;m:r&gt;&lt;w:rPr&gt;&lt;w:rFonts w:ascii=&quot;Cambria Math&quot; w:h-ansi=&quot;Cambria Maii=th&quot;&quot;Ca w:mbrhinia t=&quot;Matfarh&quot; easw:ft&quot;/are&gt;&lt;wastx:font wx:val=&quot;Cambria Math&quot;/&gt;&lt;w:i/&gt;&lt;/w:rPr&gt;&lt;m:t&gt;E&lt;/m:t&gt;&lt;/m:r&gt;&lt;/m:e&gt;&lt;m:sub&gt;&lt;m:r&gt;&lt;w:rPr&gt;&lt;w:rFonts w:ascii=&quot;Cambria Math&quot; w:h-ansi=&quot;Cambria Math&quot;/&gt;&lt;wx:font wx:val=&quot;Cambria Math&quot;/&gt;&lt;w:i/&gt;&lt;/w:rPr&gt;&lt;m:t&gt;z&lt;/m:t&gt;&lt;/m:r&gt;&lt;/m:sub&gt;&lt;/m:sSub&gt;&lt;m:r&gt;&lt;w:rPr&gt;&lt;w:rFonts w:ascii=&quot;Cambria Math&quot; w:h-ansi=&quot;Cambria Math&quot;/&gt;&lt;wx:font wx:val=&quot;Cambria Math&quot;/&gt;&lt;w:i/&gt;&lt;/w:rPr&gt;&lt;m:t&gt;脳&lt;/m:t&gt;&lt;/m:r&gt;&lt;m:sSub&gt;&lt;m:sSubPr&gt;&lt;m:ctrlPr&gt;&lt;w:rPr&gt;&lt;w:rFonts w:ascii=&quot;Cambria Math&quot; w:fareast=&quot;绛夌嚎&quot; w:h-ansi=&quot;Camb&lt;/m:ria Ma&lt;/m:th&quot;/&gt;&lt;b&gt;&lt;/wx:fonsSubt wx:vm:r&gt;al=&quot;Ca:rPrmbria w:rFMath&quot;/ts w&gt;&lt;w:i/scii&gt;&lt;w:kern w:val=&quot;0&quot;/&gt;&lt;w:sz w:val=&quot;24&quot;/&gt;&lt;w:sz-cs w:val=&quot;20&quot;/&gt;&lt;/w:rPr&gt;&lt;/m:ctrlPr&gt;&lt;/m:sSubPr&gt;&lt;m:e&gt;&lt;m:r&gt;&lt;w:rPr&gt;&lt;w:rFonts w:ascii=&quot;Cambria Math&quot; w:h-ansi=&quot;Cambria Math&quot;/&gt;&lt;wx:font wx:val=&quot;Cambria Math&quot;/&gt;&lt;w:i/&gt;&lt;/w:rPr&gt;&lt;m:t&gt;畏&lt;/m:t&gt;&lt;/rm:r&gt;&lt;/m:e&gt;F&lt;m:sub&gt;&lt;m:wr&gt;&lt;w:rPr&gt;&lt;iw:rFonts w:ascii=&quot;Cambria Math&quot; w:h-ansi=&quot;Cambria Math&quot;/&gt;&lt;wx:font wx:val=&quot;Cambria Math&quot;/&gt;&lt;w:i/&gt;&lt;/w:rPr&gt;&lt;m:t&gt;ind&lt;/m:t&gt;&lt;/m:r&gt;&lt;/m:sub&gt;&lt;/m:sSub&gt;&lt;m:r&gt;&lt;w:rPr&gt;&lt;w:rFonts w:ascii=&quot;xCambria Mabth&quot; w:h-an/si=&quot;Cambriwa Math&quot;/&gt;&lt;&gt;wx:font wx:val=&quot;Cambria Math&quot;/&gt;&lt;w:i/&gt;&lt;/w:rPr&gt;&lt;m:t&gt;脳&lt;/m:t&gt;&lt;/m:r&gt;&lt;m:sSub&gt;&lt;m:sSubPr&gt;&lt;m:ctrlPr&gt;&lt;w:rPr&gt;&lt;w:rFonts w:ascii=&quot;Cambria Math&quot; w:fareast=&quot;绛夌嚎&quot; w:h-ansi=&quot;Cambria Math&quot;/&gt;&lt;wx:font wx:val=&quot;Cambria Math&quot;/&gt;&lt;w:i=&quot;xi/&gt;&lt;w:kern  Mabw:val=&quot;0&quot;/&gt;-an/&lt;w:sz w:valbriw=&quot;24&quot;/&gt;&lt;w:s/&gt;&lt;&gt;z-cs w:val= wx:&quot;20&quot;/&gt;&lt;/w:rmbriPr&gt;&lt;/m:ctrl/&gt;&lt;wPr&gt;&lt;/m:sSub:rPrPr&gt;&lt;m:e&gt;&lt;m:r&gt;&lt;w:rPr&gt;&lt;w:rFonts w:ascii=&quot;Cambria Math&quot; w:h-ansi=&quot;Cambria Math&quot;/&gt;&lt;wx:font wx:val=&quot;Cambria Math&quot;/&gt;&lt;w:i/&gt;&lt;/w:rPr&gt;&lt;m:t&gt;畏&lt;/m:xt&gt;&lt;/m:r&gt;&lt;/m:e&gt;&lt;bm:sub&gt;&lt;m:r&gt;&lt;w:r/Pr&gt;&lt;w:rFonts w:wascii=&quot;Cambria &gt;Math&quot; w:h-ansi=:&quot;Cambria Math&quot;/i&gt;&lt;wx:font wx:vawl=&quot;Cambria Mathr&quot;/&gt;&lt;w:i/&gt;&lt;/w:rPr&gt;&lt;m:t&gt;e&lt;/m:t&gt;&lt;/m:r&gt;&lt;/m:sub&gt;&lt;/m:sSub&gt;&lt;m:r&gt;&lt;w:rPr&gt;&lt;w:rFonts w:ascii=&quot;Cambria Math&quot; w:h-ansi=&quot;Cambria Math&quot;/&gt;&lt;wx:font wx:val=&quot;Cambria Math&quot;/&gt;&lt;w:i/&gt;&lt;/w:rPr&gt;&lt;m:t&gt;(1-&lt;/m:t&gt;&lt;/m:r&gt;&lt;m:sSub&gt;&lt;m:sSubPr&gt;&lt;m:ctrlPr&gt;&lt;w:rPr&gt;&lt;w:rFonts w:ascii=&quot;Cambria Math&quot; w:fareast=&quot;绛夌嚎&quot; w:h-ansi=&quot;Cambria Math&quot;/&gt;&lt;wx:font wx:val=&quot;Cambria Math&quot;/&gt;&lt;w:i/&gt;&lt;w:kern w:val=&quot;0&quot;/&gt;&lt;w:sz w:val=&quot;24&quot;/&gt;&lt;w:sz-cx:fs w:val=&quot;20&quot;/&gt;&lt;/ambw:rPr&gt;&lt;/m:ctrlPr:i/&gt;&lt;/m:sSubPr&gt;&lt;m:e&gt;(1&gt;&lt;m:r&gt;&lt;w:rPr&gt;&lt;w:&lt;m:rFonts w:ascii=&quot;r&gt;&lt;Cambria Math&quot; w:Pr&gt;h-ansi=&quot;Cambria sciMath&quot;/&gt;&lt;wx:font th&quot;wx:val=&quot;Cambria Math&quot;/&gt;&lt;w:i/&gt;&lt;/w:rPr&gt;&lt;m:t&gt;Eff&lt;/m:t&gt;&lt;/m:r&gt;&lt;/m:e&gt;&lt;m:sub&gt;&lt;m:r&gt;&lt;w:rPr&gt;&lt;w:rFonts w:ascii=&quot;Cambria Math&quot; w:h-ansi=&quot;Cambria Math&quot;/&gt;&lt;wx:font wx:val=&quot;Cambria Math&quot;/&gt;&lt;w:i/&gt;&lt;/w:rPr&gt;&lt;m:t&gt;e&lt;/m:t&gt;&lt;/m:r&gt;&lt;/m:sub&gt;&lt;/m:sSub&gt;&lt;m:r&gt;&lt;w:rPr&gt;&lt;w:rFonts w:ascii=&quot;Cambria Math&quot; w:h-ansi=&quot;Cambria Math&quot;/&gt;&lt;wx:font wx:val=&quot;Cambria Math&quot;/&gt;&lt;w:i/&gt;&lt;/w:rPr&gt;&lt;m:t&gt;)脳&lt;/m:t&gt;&lt;/m:r&gt;&lt;am:sSub&gt;&lt;m:sSubPr&gt;&lt;ms:ctrlPr&gt;&lt;w:rPr&gt;&lt;w:r&lt;Fonts w:ascii=&quot;Cambmria Math&quot; w:fareast&lt;=&quot;绛夌嚎&quot; w:h-ansi=m:t&gt;&quot;Cambria Math&quot;/&gt;&lt;wx/m:s:font wx:val=&quot;Cambr&gt;&lt;w:ia Math&quot;/&gt;&lt;w:i/&gt;&lt;w:&quot;Camkern w:val=&quot;0&quot;/&gt;&lt;w:sz w:val=&quot;24&quot;/&gt;&lt;w:sz-cs w:val=&quot;20&quot;/&gt;&lt;/w:rPr&gt;&lt;/m:ctrlPr&gt;&lt;/m:sSubP&gt;&lt;ar&gt;&lt;m:e&gt;&lt;m:r&gt;&lt;w:rPr&gt;&lt;&lt;msw:rFonts w:ascii=&quot;Ca:r&lt;mbria Math&quot; w:h-ansimbm=&quot;Cambria Math&quot;/&gt;&lt;wxst&lt;:font wx:val=&quot;Cambria Math&quot;/&gt;&lt;w:i/&gt;&lt;/w:rPr&gt;&lt;m:t&gt;畏&lt;/m:t&gt;&lt;/m:r&gt;&lt;/m:e&gt;&lt;:m:sub&gt;&lt;m:r&gt;&lt;w:rPr&gt;&lt;w:rFmonts w:ascii=&quot;Cambria Math&quot; w:h-ansi=&quot;Cambria Math&quot;/&gt;&lt;wx:font wx:val=a&quot;Cambria Math&quot;/&gt;&lt;w:i/&gt;&lt;s/w:rPr&gt;&lt;m:t&gt;low&lt;/m:t&gt;&lt;/&lt;m:r&gt;&lt;/m:sub&gt;&lt;/m:sSub&gt;&lt;/mm:oMath&gt;&lt;/m:oMathPara&gt;&lt;&lt;/w:p&gt;&lt;w:sectPr wsp:rsidM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fldChar w:fldCharType="end"/>
      </w:r>
      <w:r>
        <w:rPr>
          <w:rFonts w:hint="eastAsia"/>
        </w:rPr>
        <w:t xml:space="preserve"> </w:t>
      </w:r>
      <w:r>
        <w:t xml:space="preserve">           </w:t>
      </w:r>
      <w:r>
        <w:rPr>
          <w:rFonts w:hint="eastAsia"/>
        </w:rPr>
        <w:t>（1）</w:t>
      </w:r>
    </w:p>
    <w:p w14:paraId="0FF7F2A0">
      <w:pPr>
        <w:pStyle w:val="141"/>
      </w:pPr>
    </w:p>
    <w:p w14:paraId="3B8D6E15">
      <w:pPr>
        <w:ind w:firstLine="560"/>
      </w:pPr>
      <w:r>
        <w:rPr>
          <w:rFonts w:hint="eastAsia"/>
        </w:rPr>
        <w:t>式中：</w:t>
      </w:r>
    </w:p>
    <w:p w14:paraId="3BC4EEF3">
      <w:pPr>
        <w:ind w:firstLine="560"/>
      </w:pPr>
      <w:r>
        <w:fldChar w:fldCharType="begin"/>
      </w:r>
      <w:r>
        <w:instrText xml:space="preserve"> QUOTE </w:instrText>
      </w:r>
      <w:r>
        <w:pict>
          <v:shape id="_x0000_i1027" o:spt="75" type="#_x0000_t75" style="height:15.65pt;width:11.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97EDE&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397EDE&quot; wsp:rsidP=&quot;00397EDE&quot;&gt;&lt;m:oMathPara&gt;&lt;m:oMath&gt;&lt;m:sSub&gt;&lt;m:sSubPr&gt;&lt;m:ctrlPr&gt;&lt;w:rPr&gt;&lt;w:rFonts w:ascii=&quot;Cambria Math&quot; w:fareast=&quot;绛夌嚎&quot; w:h-ansi=&quot;Cambria Matl=&quo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E&lt;/m:t&gt;&lt;/m:r&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instrText xml:space="preserve"> </w:instrText>
      </w:r>
      <w:r>
        <w:fldChar w:fldCharType="separate"/>
      </w:r>
      <w:r>
        <w:pict>
          <v:shape id="_x0000_i1028" o:spt="75" type="#_x0000_t75" style="height:15.65pt;width:11.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97EDE&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397EDE&quot; wsp:rsidP=&quot;00397EDE&quot;&gt;&lt;m:oMathPara&gt;&lt;m:oMath&gt;&lt;m:sSub&gt;&lt;m:sSubPr&gt;&lt;m:ctrlPr&gt;&lt;w:rPr&gt;&lt;w:rFonts w:ascii=&quot;Cambria Math&quot; w:fareast=&quot;绛夌嚎&quot; w:h-ansi=&quot;Cambria Matl=&quo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E&lt;/m:t&gt;&lt;/m:r&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fldChar w:fldCharType="end"/>
      </w:r>
      <w:r>
        <w:t xml:space="preserve"> </w:t>
      </w:r>
      <w:r>
        <w:rPr>
          <w:rFonts w:hint="eastAsia"/>
        </w:rPr>
        <w:t>——能耗角度估算低品位工业余热总量，单位为标准煤每年或吉焦每年（</w:t>
      </w:r>
      <w:r>
        <w:t>tce/</w:t>
      </w:r>
      <w:r>
        <w:rPr>
          <w:rFonts w:hint="eastAsia"/>
        </w:rPr>
        <w:t>a</w:t>
      </w:r>
      <w:r>
        <w:t>，</w:t>
      </w:r>
      <w:r>
        <w:rPr>
          <w:rFonts w:hint="eastAsia"/>
        </w:rPr>
        <w:t>或</w:t>
      </w:r>
      <w:r>
        <w:t>GJ/</w:t>
      </w:r>
      <w:r>
        <w:rPr>
          <w:rFonts w:hint="eastAsia"/>
        </w:rPr>
        <w:t>a）；</w:t>
      </w:r>
    </w:p>
    <w:p w14:paraId="0D0FB985">
      <w:pPr>
        <w:ind w:firstLine="560"/>
      </w:pPr>
      <w:r>
        <w:fldChar w:fldCharType="begin"/>
      </w:r>
      <w:r>
        <w:instrText xml:space="preserve"> QUOTE </w:instrText>
      </w:r>
      <w:r>
        <w:pict>
          <v:shape id="_x0000_i1029" o:spt="75" type="#_x0000_t75" style="height:15.65pt;width:10.6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0B8D&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300B8D&quot; wsp:rsidP=&quot;00300B8D&quot;&gt;&lt;m:oMathPara&gt;&lt;m:oMath&gt;&lt;m:sSub&gt;&lt;m:sSubPr&gt;&lt;m:ctrlPr&gt;&lt;w:rPr&gt;&lt;w:rFonts w:ascii=&quot;Cambria Math&quot; w:fareast=&quot;绛夌嚎&quot; w:h-ansi=&quot;Cambria Matl=&quot;l=&quot;l=&quot;l=&quot;l=&quot;l=&quot;l=&quot;l=&quot;l=&quot;h&quot;/&gt;&lt;wx:font wx:val=&quot;Cambria Math&quot;/&gt;&lt;w:i/&gt;&lt;w:kern w:val=&quot;0&quot;/&gt;&lt;w:sz w:val=&quot;24&quot;/&gt;&lt;w:sz-cs w:val=&quot;20&quot;/&gt;&lt;/w:rPr&gt;&lt;/m:ctrlPr&gt;&lt;/m:sSubPr&gt;&lt;m:e&gt;&lt;m:r&gt;&lt;w:rPr&gt;&lt;w:rFonts w:ascii=&quot;Cambria Math&quot; w:h-ansi=&quot;Cambria Math&quot; w:hint=&quot;fareast&quot;/&gt;&lt;wx:font wx:val=&quot;Cambria Math&quot;/&gt;&lt;w:i/&gt;&lt;/w:rPr&gt;&lt;m:t&gt;E&lt;/m:t&gt;&lt;/m:r&gt;&lt;/m:e&gt;&lt;m:sub&gt;&lt;m:r&gt;&lt;w:rPr&gt;&lt;w:rFonts w:ascii=&quot;Cambria Math&quot; w:h-ansi=&quot;Cambria Math&quot;/&gt;&lt;wx:font wx:val=&quot;Cambria Math&quot;/&gt;&lt;w:i/&gt;&lt;/w:rPr&gt;&lt;m:t&gt;z&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8" chromakey="#FFFFFF" o:title=""/>
            <o:lock v:ext="edit" aspectratio="t"/>
            <w10:wrap type="none"/>
            <w10:anchorlock/>
          </v:shape>
        </w:pict>
      </w:r>
      <w:r>
        <w:instrText xml:space="preserve"> </w:instrText>
      </w:r>
      <w:r>
        <w:fldChar w:fldCharType="separate"/>
      </w:r>
      <w:r>
        <w:pict>
          <v:shape id="_x0000_i1030" o:spt="75" type="#_x0000_t75" style="height:15.65pt;width:10.6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0B8D&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300B8D&quot; wsp:rsidP=&quot;00300B8D&quot;&gt;&lt;m:oMathPara&gt;&lt;m:oMath&gt;&lt;m:sSub&gt;&lt;m:sSubPr&gt;&lt;m:ctrlPr&gt;&lt;w:rPr&gt;&lt;w:rFonts w:ascii=&quot;Cambria Math&quot; w:fareast=&quot;绛夌嚎&quot; w:h-ansi=&quot;Cambria Matl=&quot;l=&quot;l=&quot;l=&quot;l=&quot;l=&quot;l=&quot;l=&quot;l=&quot;h&quot;/&gt;&lt;wx:font wx:val=&quot;Cambria Math&quot;/&gt;&lt;w:i/&gt;&lt;w:kern w:val=&quot;0&quot;/&gt;&lt;w:sz w:val=&quot;24&quot;/&gt;&lt;w:sz-cs w:val=&quot;20&quot;/&gt;&lt;/w:rPr&gt;&lt;/m:ctrlPr&gt;&lt;/m:sSubPr&gt;&lt;m:e&gt;&lt;m:r&gt;&lt;w:rPr&gt;&lt;w:rFonts w:ascii=&quot;Cambria Math&quot; w:h-ansi=&quot;Cambria Math&quot; w:hint=&quot;fareast&quot;/&gt;&lt;wx:font wx:val=&quot;Cambria Math&quot;/&gt;&lt;w:i/&gt;&lt;/w:rPr&gt;&lt;m:t&gt;E&lt;/m:t&gt;&lt;/m:r&gt;&lt;/m:e&gt;&lt;m:sub&gt;&lt;m:r&gt;&lt;w:rPr&gt;&lt;w:rFonts w:ascii=&quot;Cambria Math&quot; w:h-ansi=&quot;Cambria Math&quot;/&gt;&lt;wx:font wx:val=&quot;Cambria Math&quot;/&gt;&lt;w:i/&gt;&lt;/w:rPr&gt;&lt;m:t&gt;z&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8" chromakey="#FFFFFF" o:title=""/>
            <o:lock v:ext="edit" aspectratio="t"/>
            <w10:wrap type="none"/>
            <w10:anchorlock/>
          </v:shape>
        </w:pict>
      </w:r>
      <w:r>
        <w:fldChar w:fldCharType="end"/>
      </w:r>
      <w:r>
        <w:t xml:space="preserve"> </w:t>
      </w:r>
      <w:r>
        <w:rPr>
          <w:rFonts w:hint="eastAsia"/>
        </w:rPr>
        <w:t>——</w:t>
      </w:r>
      <w:r>
        <w:t>研究区域内的基于热当量计算的社会总能耗</w:t>
      </w:r>
      <w:r>
        <w:rPr>
          <w:rFonts w:hint="eastAsia"/>
        </w:rPr>
        <w:t>，单位为标准煤每年或吉焦每年</w:t>
      </w:r>
      <w:r>
        <w:t>（tce/</w:t>
      </w:r>
      <w:r>
        <w:rPr>
          <w:rFonts w:hint="eastAsia"/>
        </w:rPr>
        <w:t>a</w:t>
      </w:r>
      <w:r>
        <w:t>，</w:t>
      </w:r>
      <w:r>
        <w:rPr>
          <w:rFonts w:hint="eastAsia"/>
        </w:rPr>
        <w:t>或</w:t>
      </w:r>
      <w:r>
        <w:t>GJ/</w:t>
      </w:r>
      <w:r>
        <w:rPr>
          <w:rFonts w:hint="eastAsia"/>
        </w:rPr>
        <w:t>a</w:t>
      </w:r>
      <w:r>
        <w:t>）</w:t>
      </w:r>
      <w:r>
        <w:rPr>
          <w:rFonts w:hint="eastAsia"/>
        </w:rPr>
        <w:t>；</w:t>
      </w:r>
    </w:p>
    <w:p w14:paraId="2F4CE39B">
      <w:pPr>
        <w:ind w:firstLine="560"/>
      </w:pPr>
      <w:r>
        <w:fldChar w:fldCharType="begin"/>
      </w:r>
      <w:r>
        <w:instrText xml:space="preserve"> QUOTE </w:instrText>
      </w:r>
      <w:r>
        <w:pict>
          <v:shape id="_x0000_i1031" o:spt="75" type="#_x0000_t75" style="height:15.65pt;width:16.9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5501C&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05501C&quot; wsp:rsidP=&quot;0005501C&quot;&gt;&lt;m:oMathPara&gt;&lt;m:oMath&gt;&lt;m:sSub&gt;&lt;m:sSubPr&gt;&lt;m:ctrlPr&gt;&lt;w:rPr&gt;&lt;w:rFonts w:ascii=&quot;Cambria Math&quot; w:fareast=&quot;绛夌嚎&quot; w:h-ansi=&quot;Cambria Matl=&quo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畏&lt;/m:t&gt;&lt;/m:r&gt;&lt;/m:e&gt;&lt;m:sub&gt;&lt;m:r&gt;&lt;w:rPr&gt;&lt;w:rFonts w:ascii=&quot;Cambria Math&quot; w:h-ansi=&quot;Cambria Math&quot;/&gt;&lt;wx:font wx:val=&quot;Cambria Math&quot;/&gt;&lt;w:i/&gt;&lt;/w:rPr&gt;&lt;m:t&gt;ind&lt;/m:t&gt;&lt;/m:r&gt;&lt;/m:sub&gt;&lt;/m:sSub&gt;&lt;/m:oMath&gt;&lt;/m:oMathPara&gt;&lt;/w:p&gt;&lt;w:sectPr wsp:rsidR=M&quot;00h000&gt;000:&quot;&gt;&lt;&gt;w:pwgSzP w:&lt;w=&quot;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instrText xml:space="preserve"> </w:instrText>
      </w:r>
      <w:r>
        <w:fldChar w:fldCharType="separate"/>
      </w:r>
      <w:r>
        <w:pict>
          <v:shape id="_x0000_i1032" o:spt="75" type="#_x0000_t75" style="height:15.65pt;width:16.9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5501C&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05501C&quot; wsp:rsidP=&quot;0005501C&quot;&gt;&lt;m:oMathPara&gt;&lt;m:oMath&gt;&lt;m:sSub&gt;&lt;m:sSubPr&gt;&lt;m:ctrlPr&gt;&lt;w:rPr&gt;&lt;w:rFonts w:ascii=&quot;Cambria Math&quot; w:fareast=&quot;绛夌嚎&quot; w:h-ansi=&quot;Cambria Matl=&quo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畏&lt;/m:t&gt;&lt;/m:r&gt;&lt;/m:e&gt;&lt;m:sub&gt;&lt;m:r&gt;&lt;w:rPr&gt;&lt;w:rFonts w:ascii=&quot;Cambria Math&quot; w:h-ansi=&quot;Cambria Math&quot;/&gt;&lt;wx:font wx:val=&quot;Cambria Math&quot;/&gt;&lt;w:i/&gt;&lt;/w:rPr&gt;&lt;m:t&gt;ind&lt;/m:t&gt;&lt;/m:r&gt;&lt;/m:sub&gt;&lt;/m:sSub&gt;&lt;/m:oMath&gt;&lt;/m:oMathPara&gt;&lt;/w:p&gt;&lt;w:sectPr wsp:rsidR=M&quot;00h000&gt;000:&quot;&gt;&lt;&gt;w:pwgSzP w:&lt;w=&quot;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fldChar w:fldCharType="end"/>
      </w:r>
      <w:r>
        <w:t xml:space="preserve"> </w:t>
      </w:r>
      <w:r>
        <w:rPr>
          <w:rFonts w:hint="eastAsia"/>
        </w:rPr>
        <w:t>——</w:t>
      </w:r>
      <w:r>
        <w:t>工业部门能耗占社会总能耗的比例</w:t>
      </w:r>
      <w:r>
        <w:rPr>
          <w:rFonts w:hint="eastAsia"/>
        </w:rPr>
        <w:t>；</w:t>
      </w:r>
    </w:p>
    <w:p w14:paraId="33C4854E">
      <w:pPr>
        <w:ind w:firstLine="560"/>
      </w:pPr>
      <w:r>
        <w:fldChar w:fldCharType="begin"/>
      </w:r>
      <w:r>
        <w:instrText xml:space="preserve"> QUOTE </w:instrText>
      </w:r>
      <w:r>
        <w:pict>
          <v:shape id="_x0000_i1033" o:spt="75" type="#_x0000_t75" style="height:15.65pt;width:9.4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65B01&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365B01&quot; wsp:rsidP=&quot;00365B01&quot;&gt;&lt;m:oMathPara&gt;&lt;m:oMath&gt;&lt;m:sSub&gt;&lt;m:sSubPr&gt;&lt;m:ctrlPr&gt;&lt;w:rPr&gt;&lt;w:rFonts w:ascii=&quot;Cambria Math&quot; w:fareast=&quot;绛夌嚎&quot; w:h-ansi=&quot;Cambria Matl=&quo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畏&lt;/m:t&gt;&lt;/m:r&gt;&lt;/m:e&gt;&lt;m:sub&gt;&lt;m:r&gt;&lt;w:rPr&gt;&lt;w:rFonts w:ascii=&quot;Cambria Math&quot; w:h-ansi=&quot;Cambria Math&quot;/&gt;&lt;wx:font wx:val=&quot;Cambria Math&quot;/&gt;&lt;w:i/&gt;&lt;/w:rPr&gt;&lt;m:t&gt;e&lt;/m:t&gt;&lt;/m:r&gt;&lt;/m:sub&gt;&lt;/m:sSub&gt;&lt;/m:oMath&gt;&lt;/m:oMathPara&gt;&lt;/w:p&gt;&lt;w:sectPr wsp:rsidR=&quot;0M000h000&gt;0&quot;&gt;:&lt;w:&gt;pgSwz wP:w=&lt;&quot;12t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instrText xml:space="preserve"> </w:instrText>
      </w:r>
      <w:r>
        <w:fldChar w:fldCharType="separate"/>
      </w:r>
      <w:r>
        <w:pict>
          <v:shape id="_x0000_i1034" o:spt="75" type="#_x0000_t75" style="height:15.65pt;width:9.4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65B01&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365B01&quot; wsp:rsidP=&quot;00365B01&quot;&gt;&lt;m:oMathPara&gt;&lt;m:oMath&gt;&lt;m:sSub&gt;&lt;m:sSubPr&gt;&lt;m:ctrlPr&gt;&lt;w:rPr&gt;&lt;w:rFonts w:ascii=&quot;Cambria Math&quot; w:fareast=&quot;绛夌嚎&quot; w:h-ansi=&quot;Cambria Matl=&quo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畏&lt;/m:t&gt;&lt;/m:r&gt;&lt;/m:e&gt;&lt;m:sub&gt;&lt;m:r&gt;&lt;w:rPr&gt;&lt;w:rFonts w:ascii=&quot;Cambria Math&quot; w:h-ansi=&quot;Cambria Math&quot;/&gt;&lt;wx:font wx:val=&quot;Cambria Math&quot;/&gt;&lt;w:i/&gt;&lt;/w:rPr&gt;&lt;m:t&gt;e&lt;/m:t&gt;&lt;/m:r&gt;&lt;/m:sub&gt;&lt;/m:sSub&gt;&lt;/m:oMath&gt;&lt;/m:oMathPara&gt;&lt;/w:p&gt;&lt;w:sectPr wsp:rsidR=&quot;0M000h000&gt;0&quot;&gt;:&lt;w:&gt;pgSwz wP:w=&lt;&quot;12t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fldChar w:fldCharType="end"/>
      </w:r>
      <w:r>
        <w:t xml:space="preserve"> </w:t>
      </w:r>
      <w:r>
        <w:rPr>
          <w:rFonts w:hint="eastAsia"/>
        </w:rPr>
        <w:t>——</w:t>
      </w:r>
      <w:r>
        <w:t>高耗能工业部门的能耗占工业部门能耗的比例</w:t>
      </w:r>
      <w:r>
        <w:rPr>
          <w:rFonts w:hint="eastAsia"/>
        </w:rPr>
        <w:t>；</w:t>
      </w:r>
    </w:p>
    <w:p w14:paraId="153ACC91">
      <w:pPr>
        <w:ind w:firstLine="560"/>
      </w:pPr>
      <w:r>
        <w:fldChar w:fldCharType="begin"/>
      </w:r>
      <w:r>
        <w:instrText xml:space="preserve"> QUOTE </w:instrText>
      </w:r>
      <w:r>
        <w:pict>
          <v:shape id="_x0000_i1035" o:spt="75" type="#_x0000_t75" style="height:31.3pt;width:22.5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152&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0F0152&quot; wsp:rsidP=&quot;000F0152&quot;&gt;&lt;m:oMathPara&gt;&lt;m:oMath&gt;&lt;m:sSub&gt;&lt;m:sSubPr&gt;&lt;m:ctrlPr&gt;&lt;w:rPr&gt;&lt;w:rFonts w:ascii=&quot;Cambria Math&quot; w:fareast=&quot;绛夌嚎&quot; w:h-ansi=&quot;Cambria Matl=&quo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Eff&lt;/m:t&gt;&lt;/m:r&gt;&lt;/m:e&gt;&lt;m:sub&gt;&lt;m:r&gt;&lt;w:rPr&gt;&lt;w:rFonts w:ascii=&quot;Cambria Math&quot; w:h-ansi=&quot;Cambria Math&quot;/&gt;&lt;wx:font wx:val=&quot;Cambria Math&quot;/&gt;&lt;w:i/&gt;&lt;/w:rPr&gt;&lt;m:t&gt;e&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instrText xml:space="preserve"> </w:instrText>
      </w:r>
      <w:r>
        <w:fldChar w:fldCharType="separate"/>
      </w:r>
      <w:r>
        <w:pict>
          <v:shape id="_x0000_i1036" o:spt="75" type="#_x0000_t75" style="height:31.3pt;width:22.5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152&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0F0152&quot; wsp:rsidP=&quot;000F0152&quot;&gt;&lt;m:oMathPara&gt;&lt;m:oMath&gt;&lt;m:sSub&gt;&lt;m:sSubPr&gt;&lt;m:ctrlPr&gt;&lt;w:rPr&gt;&lt;w:rFonts w:ascii=&quot;Cambria Math&quot; w:fareast=&quot;绛夌嚎&quot; w:h-ansi=&quot;Cambria Matl=&quo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Eff&lt;/m:t&gt;&lt;/m:r&gt;&lt;/m:e&gt;&lt;m:sub&gt;&lt;m:r&gt;&lt;w:rPr&gt;&lt;w:rFonts w:ascii=&quot;Cambria Math&quot; w:h-ansi=&quot;Cambria Math&quot;/&gt;&lt;wx:font wx:val=&quot;Cambria Math&quot;/&gt;&lt;w:i/&gt;&lt;/w:rPr&gt;&lt;m:t&gt;e&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fldChar w:fldCharType="end"/>
      </w:r>
      <w:r>
        <w:t xml:space="preserve"> </w:t>
      </w:r>
      <w:r>
        <w:rPr>
          <w:rFonts w:hint="eastAsia"/>
        </w:rPr>
        <w:t>——</w:t>
      </w:r>
      <w:r>
        <w:t>高耗能工业部门的平均热利用率</w:t>
      </w:r>
      <w:r>
        <w:rPr>
          <w:rFonts w:hint="eastAsia"/>
        </w:rPr>
        <w:t>；</w:t>
      </w:r>
    </w:p>
    <w:p w14:paraId="0BC6983E">
      <w:pPr>
        <w:ind w:firstLine="560"/>
      </w:pPr>
      <w:r>
        <w:fldChar w:fldCharType="begin"/>
      </w:r>
      <w:r>
        <w:instrText xml:space="preserve"> QUOTE </w:instrText>
      </w:r>
      <w:r>
        <w:pict>
          <v:shape id="_x0000_i1037" o:spt="75" type="#_x0000_t75" style="height:15.65pt;width:18.1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 wsp:val=&quot;00FF3F3F&quot;/&gt;&lt;/wsp:rsids&gt;&lt;/w:docPr&gt;&lt;w:body&gt;&lt;wx:sect&gt;&lt;w:p wsp:rsidR=&quot;00000000&quot; wsp:rsidRDefault=&quot;00FF3F3F&quot; wsp:rsidP=&quot;00FF3F3F&quot;&gt;&lt;m:oMathPara&gt;&lt;m:oMath&gt;&lt;m:sSub&gt;&lt;m:sSubPr&gt;&lt;m:ctrlPr&gt;&lt;w:rPr&gt;&lt;w:rFonts w:ascii=&quot;Cambria Math&quot; w:fareast=&quot;绛夌嚎&quot; w:h-ansi=&quot;Cambria Matl=&quo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畏&lt;/m:t&gt;&lt;/m:r&gt;&lt;/m:e&gt;&lt;m:sub&gt;&lt;m:r&gt;&lt;w:rPr&gt;&lt;w:rFonts w:ascii=&quot;Cambria Math&quot; w:h-ansi=&quot;Cambria Math&quot;/&gt;&lt;wx:font wx:val=&quot;Cambria Math&quot;/&gt;&lt;w:i/&gt;&lt;/w:rPr&gt;&lt;m:t&gt;low&lt;/m:t&gt;&lt;/m:r&gt;&lt;/m:sub&gt;&lt;/m:sSub&gt;&lt;/m:oMath&gt;&lt;/m:oMathPara&gt;&lt;/w:p&gt;&lt;w:sectPr wsp:rsidR=M&quot;00h000&gt;000:&quot;&gt;&lt;&gt;w:pwgSzP w:&lt;w=&quot;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instrText xml:space="preserve"> </w:instrText>
      </w:r>
      <w:r>
        <w:fldChar w:fldCharType="separate"/>
      </w:r>
      <w:r>
        <w:pict>
          <v:shape id="_x0000_i1038" o:spt="75" type="#_x0000_t75" style="height:15.65pt;width:18.1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 wsp:val=&quot;00FF3F3F&quot;/&gt;&lt;/wsp:rsids&gt;&lt;/w:docPr&gt;&lt;w:body&gt;&lt;wx:sect&gt;&lt;w:p wsp:rsidR=&quot;00000000&quot; wsp:rsidRDefault=&quot;00FF3F3F&quot; wsp:rsidP=&quot;00FF3F3F&quot;&gt;&lt;m:oMathPara&gt;&lt;m:oMath&gt;&lt;m:sSub&gt;&lt;m:sSubPr&gt;&lt;m:ctrlPr&gt;&lt;w:rPr&gt;&lt;w:rFonts w:ascii=&quot;Cambria Math&quot; w:fareast=&quot;绛夌嚎&quot; w:h-ansi=&quot;Cambria Matl=&quo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畏&lt;/m:t&gt;&lt;/m:r&gt;&lt;/m:e&gt;&lt;m:sub&gt;&lt;m:r&gt;&lt;w:rPr&gt;&lt;w:rFonts w:ascii=&quot;Cambria Math&quot; w:h-ansi=&quot;Cambria Math&quot;/&gt;&lt;wx:font wx:val=&quot;Cambria Math&quot;/&gt;&lt;w:i/&gt;&lt;/w:rPr&gt;&lt;m:t&gt;low&lt;/m:t&gt;&lt;/m:r&gt;&lt;/m:sub&gt;&lt;/m:sSub&gt;&lt;/m:oMath&gt;&lt;/m:oMathPara&gt;&lt;/w:p&gt;&lt;w:sectPr wsp:rsidR=M&quot;00h000&gt;000:&quot;&gt;&lt;&gt;w:pwgSzP w:&lt;w=&quot;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fldChar w:fldCharType="end"/>
      </w:r>
      <w:r>
        <w:t xml:space="preserve"> </w:t>
      </w:r>
      <w:r>
        <w:rPr>
          <w:rFonts w:hint="eastAsia"/>
        </w:rPr>
        <w:t>——</w:t>
      </w:r>
      <w:r>
        <w:t>高耗能工业部门余热中低品位余热所占的比例</w:t>
      </w:r>
      <w:r>
        <w:rPr>
          <w:rFonts w:hint="eastAsia"/>
        </w:rPr>
        <w:t>；</w:t>
      </w:r>
    </w:p>
    <w:p w14:paraId="5CCB3386">
      <w:pPr>
        <w:ind w:firstLine="560"/>
      </w:pPr>
      <w:r>
        <w:rPr>
          <w:rFonts w:hint="eastAsia"/>
        </w:rPr>
        <w:t>注</w:t>
      </w:r>
      <w:r>
        <w:t>1</w:t>
      </w:r>
      <w:r>
        <w:rPr>
          <w:rFonts w:hint="eastAsia"/>
        </w:rPr>
        <w:t>：</w:t>
      </w:r>
      <w:r>
        <w:fldChar w:fldCharType="begin"/>
      </w:r>
      <w:r>
        <w:instrText xml:space="preserve"> QUOTE </w:instrText>
      </w:r>
      <w:r>
        <w:pict>
          <v:shape id="_x0000_i1039" o:spt="75" type="#_x0000_t75" style="height:15.65pt;width:10.6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0B8D&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300B8D&quot; wsp:rsidP=&quot;00300B8D&quot;&gt;&lt;m:oMathPara&gt;&lt;m:oMath&gt;&lt;m:sSub&gt;&lt;m:sSubPr&gt;&lt;m:ctrlPr&gt;&lt;w:rPr&gt;&lt;w:rFonts w:ascii=&quot;Cambria Math&quot; w:fareast=&quot;绛夌嚎&quot; w:h-ansi=&quot;Cambria Matl=&quot;l=&quot;l=&quot;l=&quot;l=&quot;l=&quot;l=&quot;l=&quot;l=&quot;h&quot;/&gt;&lt;wx:font wx:val=&quot;Cambria Math&quot;/&gt;&lt;w:i/&gt;&lt;w:kern w:val=&quot;0&quot;/&gt;&lt;w:sz w:val=&quot;24&quot;/&gt;&lt;w:sz-cs w:val=&quot;20&quot;/&gt;&lt;/w:rPr&gt;&lt;/m:ctrlPr&gt;&lt;/m:sSubPr&gt;&lt;m:e&gt;&lt;m:r&gt;&lt;w:rPr&gt;&lt;w:rFonts w:ascii=&quot;Cambria Math&quot; w:h-ansi=&quot;Cambria Math&quot; w:hint=&quot;fareast&quot;/&gt;&lt;wx:font wx:val=&quot;Cambria Math&quot;/&gt;&lt;w:i/&gt;&lt;/w:rPr&gt;&lt;m:t&gt;E&lt;/m:t&gt;&lt;/m:r&gt;&lt;/m:e&gt;&lt;m:sub&gt;&lt;m:r&gt;&lt;w:rPr&gt;&lt;w:rFonts w:ascii=&quot;Cambria Math&quot; w:h-ansi=&quot;Cambria Math&quot;/&gt;&lt;wx:font wx:val=&quot;Cambria Math&quot;/&gt;&lt;w:i/&gt;&lt;/w:rPr&gt;&lt;m:t&gt;z&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8" chromakey="#FFFFFF" o:title=""/>
            <o:lock v:ext="edit" aspectratio="t"/>
            <w10:wrap type="none"/>
            <w10:anchorlock/>
          </v:shape>
        </w:pict>
      </w:r>
      <w:r>
        <w:instrText xml:space="preserve"> </w:instrText>
      </w:r>
      <w:r>
        <w:fldChar w:fldCharType="separate"/>
      </w:r>
      <w:r>
        <w:pict>
          <v:shape id="_x0000_i1040" o:spt="75" type="#_x0000_t75" style="height:15.65pt;width:10.6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0B8D&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300B8D&quot; wsp:rsidP=&quot;00300B8D&quot;&gt;&lt;m:oMathPara&gt;&lt;m:oMath&gt;&lt;m:sSub&gt;&lt;m:sSubPr&gt;&lt;m:ctrlPr&gt;&lt;w:rPr&gt;&lt;w:rFonts w:ascii=&quot;Cambria Math&quot; w:fareast=&quot;绛夌嚎&quot; w:h-ansi=&quot;Cambria Matl=&quot;l=&quot;l=&quot;l=&quot;l=&quot;l=&quot;l=&quot;l=&quot;l=&quot;h&quot;/&gt;&lt;wx:font wx:val=&quot;Cambria Math&quot;/&gt;&lt;w:i/&gt;&lt;w:kern w:val=&quot;0&quot;/&gt;&lt;w:sz w:val=&quot;24&quot;/&gt;&lt;w:sz-cs w:val=&quot;20&quot;/&gt;&lt;/w:rPr&gt;&lt;/m:ctrlPr&gt;&lt;/m:sSubPr&gt;&lt;m:e&gt;&lt;m:r&gt;&lt;w:rPr&gt;&lt;w:rFonts w:ascii=&quot;Cambria Math&quot; w:h-ansi=&quot;Cambria Math&quot; w:hint=&quot;fareast&quot;/&gt;&lt;wx:font wx:val=&quot;Cambria Math&quot;/&gt;&lt;w:i/&gt;&lt;/w:rPr&gt;&lt;m:t&gt;E&lt;/m:t&gt;&lt;/m:r&gt;&lt;/m:e&gt;&lt;m:sub&gt;&lt;m:r&gt;&lt;w:rPr&gt;&lt;w:rFonts w:ascii=&quot;Cambria Math&quot; w:h-ansi=&quot;Cambria Math&quot;/&gt;&lt;wx:font wx:val=&quot;Cambria Math&quot;/&gt;&lt;w:i/&gt;&lt;/w:rPr&gt;&lt;m:t&gt;z&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8" chromakey="#FFFFFF" o:title=""/>
            <o:lock v:ext="edit" aspectratio="t"/>
            <w10:wrap type="none"/>
            <w10:anchorlock/>
          </v:shape>
        </w:pict>
      </w:r>
      <w:r>
        <w:fldChar w:fldCharType="end"/>
      </w:r>
      <w:r>
        <w:rPr>
          <w:rFonts w:hint="eastAsia"/>
        </w:rPr>
        <w:t>、</w:t>
      </w:r>
      <w:r>
        <w:fldChar w:fldCharType="begin"/>
      </w:r>
      <w:r>
        <w:instrText xml:space="preserve"> QUOTE </w:instrText>
      </w:r>
      <w:r>
        <w:pict>
          <v:shape id="_x0000_i1041" o:spt="75" type="#_x0000_t75" style="height:15.65pt;width:16.9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5501C&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05501C&quot; wsp:rsidP=&quot;0005501C&quot;&gt;&lt;m:oMathPara&gt;&lt;m:oMath&gt;&lt;m:sSub&gt;&lt;m:sSubPr&gt;&lt;m:ctrlPr&gt;&lt;w:rPr&gt;&lt;w:rFonts w:ascii=&quot;Cambria Math&quot; w:fareast=&quot;绛夌嚎&quot; w:h-ansi=&quot;Cambria Matl=&quo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畏&lt;/m:t&gt;&lt;/m:r&gt;&lt;/m:e&gt;&lt;m:sub&gt;&lt;m:r&gt;&lt;w:rPr&gt;&lt;w:rFonts w:ascii=&quot;Cambria Math&quot; w:h-ansi=&quot;Cambria Math&quot;/&gt;&lt;wx:font wx:val=&quot;Cambria Math&quot;/&gt;&lt;w:i/&gt;&lt;/w:rPr&gt;&lt;m:t&gt;ind&lt;/m:t&gt;&lt;/m:r&gt;&lt;/m:sub&gt;&lt;/m:sSub&gt;&lt;/m:oMath&gt;&lt;/m:oMathPara&gt;&lt;/w:p&gt;&lt;w:sectPr wsp:rsidR=M&quot;00h000&gt;000:&quot;&gt;&lt;&gt;w:pwgSzP w:&lt;w=&quot;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instrText xml:space="preserve"> </w:instrText>
      </w:r>
      <w:r>
        <w:fldChar w:fldCharType="separate"/>
      </w:r>
      <w:r>
        <w:pict>
          <v:shape id="_x0000_i1042" o:spt="75" type="#_x0000_t75" style="height:15.65pt;width:16.9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5501C&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05501C&quot; wsp:rsidP=&quot;0005501C&quot;&gt;&lt;m:oMathPara&gt;&lt;m:oMath&gt;&lt;m:sSub&gt;&lt;m:sSubPr&gt;&lt;m:ctrlPr&gt;&lt;w:rPr&gt;&lt;w:rFonts w:ascii=&quot;Cambria Math&quot; w:fareast=&quot;绛夌嚎&quot; w:h-ansi=&quot;Cambria Matl=&quo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畏&lt;/m:t&gt;&lt;/m:r&gt;&lt;/m:e&gt;&lt;m:sub&gt;&lt;m:r&gt;&lt;w:rPr&gt;&lt;w:rFonts w:ascii=&quot;Cambria Math&quot; w:h-ansi=&quot;Cambria Math&quot;/&gt;&lt;wx:font wx:val=&quot;Cambria Math&quot;/&gt;&lt;w:i/&gt;&lt;/w:rPr&gt;&lt;m:t&gt;ind&lt;/m:t&gt;&lt;/m:r&gt;&lt;/m:sub&gt;&lt;/m:sSub&gt;&lt;/m:oMath&gt;&lt;/m:oMathPara&gt;&lt;/w:p&gt;&lt;w:sectPr wsp:rsidR=M&quot;00h000&gt;000:&quot;&gt;&lt;&gt;w:pwgSzP w:&lt;w=&quot;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fldChar w:fldCharType="end"/>
      </w:r>
      <w:r>
        <w:rPr>
          <w:rFonts w:hint="eastAsia"/>
        </w:rPr>
        <w:t>、</w:t>
      </w:r>
      <w:r>
        <w:fldChar w:fldCharType="begin"/>
      </w:r>
      <w:r>
        <w:instrText xml:space="preserve"> QUOTE </w:instrText>
      </w:r>
      <w:r>
        <w:pict>
          <v:shape id="_x0000_i1043" o:spt="75" type="#_x0000_t75" style="height:15.65pt;width:9.4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65B01&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365B01&quot; wsp:rsidP=&quot;00365B01&quot;&gt;&lt;m:oMathPara&gt;&lt;m:oMath&gt;&lt;m:sSub&gt;&lt;m:sSubPr&gt;&lt;m:ctrlPr&gt;&lt;w:rPr&gt;&lt;w:rFonts w:ascii=&quot;Cambria Math&quot; w:fareast=&quot;绛夌嚎&quot; w:h-ansi=&quot;Cambria Matl=&quo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畏&lt;/m:t&gt;&lt;/m:r&gt;&lt;/m:e&gt;&lt;m:sub&gt;&lt;m:r&gt;&lt;w:rPr&gt;&lt;w:rFonts w:ascii=&quot;Cambria Math&quot; w:h-ansi=&quot;Cambria Math&quot;/&gt;&lt;wx:font wx:val=&quot;Cambria Math&quot;/&gt;&lt;w:i/&gt;&lt;/w:rPr&gt;&lt;m:t&gt;e&lt;/m:t&gt;&lt;/m:r&gt;&lt;/m:sub&gt;&lt;/m:sSub&gt;&lt;/m:oMath&gt;&lt;/m:oMathPara&gt;&lt;/w:p&gt;&lt;w:sectPr wsp:rsidR=&quot;0M000h000&gt;0&quot;&gt;:&lt;w:&gt;pgSwz wP:w=&lt;&quot;12t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instrText xml:space="preserve"> </w:instrText>
      </w:r>
      <w:r>
        <w:fldChar w:fldCharType="separate"/>
      </w:r>
      <w:r>
        <w:pict>
          <v:shape id="_x0000_i1044" o:spt="75" type="#_x0000_t75" style="height:15.65pt;width:9.4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65B01&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365B01&quot; wsp:rsidP=&quot;00365B01&quot;&gt;&lt;m:oMathPara&gt;&lt;m:oMath&gt;&lt;m:sSub&gt;&lt;m:sSubPr&gt;&lt;m:ctrlPr&gt;&lt;w:rPr&gt;&lt;w:rFonts w:ascii=&quot;Cambria Math&quot; w:fareast=&quot;绛夌嚎&quot; w:h-ansi=&quot;Cambria Matl=&quot;l=&quot;l=&quot;l=&quot;l=&quot;l=&quot;l=&quot;l=&quot;l=&quot;h&quot;/&gt;&lt;wx:font wx:val=&quot;Cambria Math&quot;/&gt;&lt;w:i/&gt;&lt;w:kern w:val=&quot;0&quot;/&gt;&lt;w:sz w:val=&quot;24&quot;/&gt;&lt;w:sz-cs w:val=&quot;20&quot;/&gt;&lt;/w:rPr&gt;&lt;/m:ctrlPr&gt;&lt;/m:sSubPr&gt;&lt;m:e&gt;&lt;m:r&gt;&lt;w:rPr&gt;&lt;w:rFonts w:ascii=&quot;Cambria Math&quot; w:h-ansi=&quot;Cambria Math&quot;/&gt;&lt;wx:font wx:val=&quot;Cambria Math&quot;/&gt;&lt;w:i/&gt;&lt;/w:rPr&gt;&lt;m:t&gt;畏&lt;/m:t&gt;&lt;/m:r&gt;&lt;/m:e&gt;&lt;m:sub&gt;&lt;m:r&gt;&lt;w:rPr&gt;&lt;w:rFonts w:ascii=&quot;Cambria Math&quot; w:h-ansi=&quot;Cambria Math&quot;/&gt;&lt;wx:font wx:val=&quot;Cambria Math&quot;/&gt;&lt;w:i/&gt;&lt;/w:rPr&gt;&lt;m:t&gt;e&lt;/m:t&gt;&lt;/m:r&gt;&lt;/m:sub&gt;&lt;/m:sSub&gt;&lt;/m:oMath&gt;&lt;/m:oMathPara&gt;&lt;/w:p&gt;&lt;w:sectPr wsp:rsidR=&quot;0M000h000&gt;0&quot;&gt;:&lt;w:&gt;pgSwz wP:w=&lt;&quot;12t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fldChar w:fldCharType="end"/>
      </w:r>
      <w:r>
        <w:rPr>
          <w:rFonts w:hint="eastAsia"/>
        </w:rPr>
        <w:t>的数据可以从政府统计部分的官方出版物（如统计年鉴）中取得。</w:t>
      </w:r>
    </w:p>
    <w:p w14:paraId="7A8493F0">
      <w:pPr>
        <w:ind w:firstLine="560"/>
      </w:pPr>
      <w:r>
        <w:rPr>
          <w:rFonts w:hint="eastAsia"/>
        </w:rPr>
        <w:t>注</w:t>
      </w:r>
      <w:r>
        <w:t>2</w:t>
      </w:r>
      <w:r>
        <w:rPr>
          <w:rFonts w:hint="eastAsia"/>
        </w:rPr>
        <w:t>：</w:t>
      </w:r>
      <m:oMath>
        <m:sSub>
          <m:sSubPr>
            <m:ctrlPr>
              <w:rPr>
                <w:rFonts w:ascii="Cambria Math" w:hAnsi="Cambria Math"/>
                <w:sz w:val="22"/>
                <w:szCs w:val="16"/>
              </w:rPr>
            </m:ctrlPr>
          </m:sSubPr>
          <m:e>
            <m:r>
              <m:rPr/>
              <w:rPr>
                <w:rFonts w:ascii="Cambria Math" w:hAnsi="Cambria Math"/>
                <w:sz w:val="22"/>
                <w:szCs w:val="16"/>
              </w:rPr>
              <m:t>Eff</m:t>
            </m:r>
            <m:ctrlPr>
              <w:rPr>
                <w:rFonts w:ascii="Cambria Math" w:hAnsi="Cambria Math"/>
                <w:sz w:val="22"/>
                <w:szCs w:val="16"/>
              </w:rPr>
            </m:ctrlPr>
          </m:e>
          <m:sub>
            <m:r>
              <m:rPr/>
              <w:rPr>
                <w:rFonts w:ascii="Cambria Math" w:hAnsi="Cambria Math"/>
                <w:sz w:val="22"/>
                <w:szCs w:val="16"/>
              </w:rPr>
              <m:t>e</m:t>
            </m:r>
            <m:ctrlPr>
              <w:rPr>
                <w:rFonts w:ascii="Cambria Math" w:hAnsi="Cambria Math"/>
                <w:sz w:val="22"/>
                <w:szCs w:val="16"/>
              </w:rPr>
            </m:ctrlPr>
          </m:sub>
        </m:sSub>
      </m:oMath>
      <w:r>
        <w:rPr>
          <w:rFonts w:hint="eastAsia"/>
        </w:rPr>
        <w:t>、</w:t>
      </w:r>
      <w:r>
        <w:fldChar w:fldCharType="begin"/>
      </w:r>
      <w:r>
        <w:instrText xml:space="preserve"> QUOTE </w:instrText>
      </w:r>
      <w:r>
        <w:pict>
          <v:shape id="_x0000_i1045" o:spt="75" type="#_x0000_t75" style="height:15.65pt;width:18.1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10605&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33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310605&quot; wsp:rsidP=&quot;00310605&quot;&gt;&lt;m:oMathPara&gt;&lt;m:oMath&gt;&lt;m:sSub&gt;&lt;m:sSubPr&gt;&lt;m:ctrlPr&gt;&lt;w:rPr&gt;&lt;w:rFonts w:ascii=&quot;Cambria Math&quot; w:fareast=&quot;绛夌嚎&quot; w:h-ansi=&quot;Cambria Math&quot;/&gt;&lt;wx:font wx:val=&quot;Cambria Math&quot;/&gt;&lt;w:i/&gt;&lt;w:kern w:val=&quot;0&quot;/&gt;&lt;w:sz w:val=&quot;24&quot;/&gt;&lt;w:sz-cs w:val=&quot;20&quot;/&gt;&lt;/w:rPr&gt;&lt;/m:ctrlPr&gt;&lt;/m:sSubPr&gt;&lt;m:e&gt;&lt;m:r&gt;&lt;w:rPr&gt;&lt;w:rFonts w:ascii=&quot;Cambria Math&quot; w:h-ansi=&quot;Cambria Math&quot;/&gt;&lt;wx:font wx:val=&quot;Caastastastastastastastastastmbria Math&quot;/&gt;&lt;w:i/&gt;&lt;/w:rPr&gt;&lt;m:t&gt;畏&lt;/m:t&gt;&lt;/m:r&gt;&lt;/m:e&gt;&lt;m:sub&gt;&lt;m:r&gt;&lt;w:rPr&gt;&lt;w:rFonts w:ascii=&quot;Cambria Math&quot; w:h-ansi=&quot;Cambria Math&quot;/&gt;&lt;wx:font wx:val=&quot;Cambria Math&quot;/&gt;&lt;w:i/&gt;&lt;/w:rPr&gt;&lt;m:t&gt;low&lt;/m:t&gt;&lt;/m:r&gt;&lt;/m:sub&gt;&lt;/m:sSub&gt;&lt;/m:oMath&gt;&lt;/m:oMathtParta&gt;&lt;t/w:tp&gt;&lt;tw:stecttPr twspt: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instrText xml:space="preserve"> </w:instrText>
      </w:r>
      <w:r>
        <w:fldChar w:fldCharType="separate"/>
      </w:r>
      <w:r>
        <w:pict>
          <v:shape id="_x0000_i1046" o:spt="75" type="#_x0000_t75" style="height:15.65pt;width:18.1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10605&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33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310605&quot; wsp:rsidP=&quot;00310605&quot;&gt;&lt;m:oMathPara&gt;&lt;m:oMath&gt;&lt;m:sSub&gt;&lt;m:sSubPr&gt;&lt;m:ctrlPr&gt;&lt;w:rPr&gt;&lt;w:rFonts w:ascii=&quot;Cambria Math&quot; w:fareast=&quot;绛夌嚎&quot; w:h-ansi=&quot;Cambria Math&quot;/&gt;&lt;wx:font wx:val=&quot;Cambria Math&quot;/&gt;&lt;w:i/&gt;&lt;w:kern w:val=&quot;0&quot;/&gt;&lt;w:sz w:val=&quot;24&quot;/&gt;&lt;w:sz-cs w:val=&quot;20&quot;/&gt;&lt;/w:rPr&gt;&lt;/m:ctrlPr&gt;&lt;/m:sSubPr&gt;&lt;m:e&gt;&lt;m:r&gt;&lt;w:rPr&gt;&lt;w:rFonts w:ascii=&quot;Cambria Math&quot; w:h-ansi=&quot;Cambria Math&quot;/&gt;&lt;wx:font wx:val=&quot;Caastastastastastastastastastmbria Math&quot;/&gt;&lt;w:i/&gt;&lt;/w:rPr&gt;&lt;m:t&gt;畏&lt;/m:t&gt;&lt;/m:r&gt;&lt;/m:e&gt;&lt;m:sub&gt;&lt;m:r&gt;&lt;w:rPr&gt;&lt;w:rFonts w:ascii=&quot;Cambria Math&quot; w:h-ansi=&quot;Cambria Math&quot;/&gt;&lt;wx:font wx:val=&quot;Cambria Math&quot;/&gt;&lt;w:i/&gt;&lt;/w:rPr&gt;&lt;m:t&gt;low&lt;/m:t&gt;&lt;/m:r&gt;&lt;/m:sub&gt;&lt;/m:sSub&gt;&lt;/m:oMath&gt;&lt;/m:oMathtParta&gt;&lt;t/w:tp&gt;&lt;tw:stecttPr twspt: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fldChar w:fldCharType="end"/>
      </w:r>
      <w:r>
        <w:t>与高耗能工业部门技术水平的发展程度有关，由能源管理部门、行业协会等机构给出</w:t>
      </w:r>
      <w:r>
        <w:rPr>
          <w:rFonts w:hint="eastAsia"/>
        </w:rPr>
        <w:t>。</w:t>
      </w:r>
    </w:p>
    <w:p w14:paraId="40CD0BDE">
      <w:pPr>
        <w:ind w:firstLine="560"/>
      </w:pPr>
      <w:r>
        <w:rPr>
          <w:rFonts w:hint="eastAsia"/>
        </w:rPr>
        <w:t>（2）冷却散热水耗法</w:t>
      </w:r>
    </w:p>
    <w:p w14:paraId="03CF6579">
      <w:pPr>
        <w:ind w:firstLine="560"/>
      </w:pPr>
      <w:r>
        <w:rPr>
          <w:rFonts w:hint="eastAsia"/>
        </w:rPr>
        <w:t>工业余热的冷却介质主要是空气和水。低品位工业余热的冷却介质则以冷却循环水为主，通过水的蒸发将余热最终排放至大气中。根据工业部门用于冷却散热的水耗，也可以大致估算出低品位工业余热的总量。计算公式如下：</w:t>
      </w:r>
    </w:p>
    <w:p w14:paraId="5126D738">
      <w:pPr>
        <w:spacing w:line="400" w:lineRule="exact"/>
        <w:ind w:firstLine="560"/>
        <w:jc w:val="right"/>
      </w:pPr>
      <w:r>
        <w:fldChar w:fldCharType="begin"/>
      </w:r>
      <w:r>
        <w:instrText xml:space="preserve"> QUOTE </w:instrText>
      </w:r>
      <w:r>
        <w:rPr>
          <w:position w:val="-7"/>
        </w:rPr>
        <w:pict>
          <v:shape id="_x0000_i1047" o:spt="75" type="#_x0000_t75" style="height:15.65pt;width:110.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33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B2653&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039C3&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94DCC&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5CF5&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794DCC&quot; wsp:rsidP=&quot;00794DCC&quot;&gt;&lt;m:oMathPara&gt;&lt;m:oMath&gt;&lt;m:sSub&gt;&lt;m:sSubPr&gt;&lt;m:ctrlPr&gt;&lt;w:rPr&gt;&lt;w:rFonts w:ascii=&quot;Cambria Math&quot; w:fareast=&quot;绛夌嚎&quot; w:h-ansi=&quot;Cambria Math&quot;/&gt;&lt;wx:font wx:val=&quot;Cambria Math&quot;/&gt;&lt;w:i/&gt;&lt;w:kern w:val=&quot;0&quot;/&gt;&lt;w:sz w:val=&quot;24&quot;/&gt;&lt;w:sz-cs w:val=&quot;20&quot;/&gt;&lt;/w:rPr&gt;&lt;/m:ctrlPr&gt;&lt;/m:sSubPr&gt;&lt;m:ethPthPthPthPthPthPthPthPthP&gt;&lt;m:r&gt;&lt;w:rPr&gt;&lt;w:rFonts w:ascii=&quot;Cambria Math&quot; w:h-ansi=&quot;Cambria Math&quot;/&gt;&lt;wx:font wx:val=&quot;Cambria Math&quot;/&gt;&lt;w:i/&gt;&lt;/w:rPr&gt;&lt;m:t&gt;E&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lt;/m:t&gt;&lt;/m:r&gt;&lt;m:sSub&gt;&lt;m:sSubPr&gt;&lt;m:ctrlPr&gt;&lt;w:rPr&gt;&lt;w:rFonts w:ascii=&quot;Cambria Math&quot; w:fareast=&quot;绛夌嚎&quot; w:h-ansi=&quot;Cambria Math&quot;/&gt;&lt;wx:font wx:val=&quot;Cambria Math&quot;/&gt;&lt;w:i/&gt;&lt;w:kern w:val=&quot;0&quot;/&gt;&lt;w:sz w:val=&quot;24&quot;/&gt;&lt;w:sz-cs w:val=&quot;20&quot;/&gt;&lt;/w:rPr&gt;&lt;/m:ctrlPr&gt;&lt;/m:sSubPr&gt;&lt;m:e&gt;&lt;m:r&gt;&lt;w:rPr&gt;&lt;w:rFonts w:ascii=&quot;Cambria Math&quot; w:h-ansi=&quot;Cambria Maii=th&quot;&quot;Ca/&gt;&lt;mbrwx:ia fonMatt wh&quot; x:vw:fal=are&quot;Caastmbria Math&quot;/&gt;&lt;w:i/&gt;&lt;/w:rPr&gt;&lt;m:t&gt;G&lt;/m:t&gt;&lt;/m:r&gt;&lt;/m:e&gt;&lt;m:sub&gt;&lt;m:r&gt;&lt;w:rPr&gt;&lt;w:rFonts w:ascii=&quot;Cambria Math&quot; w:h-ansi=&quot;Cambria Math&quot;/&gt;&lt;wx:font wx:val=&quot;Cambria Math&quot;/&gt;&lt;w:i/&gt;&lt;/w:rPr&gt;&lt;m:t&gt;ind&lt;/m:t&gt;&lt;/m:r&gt;&lt;/m:sub&gt;&lt;/m:sSub&gt;&lt;m:r&gt;&lt;w:rPr&gt;&lt;w:rFonts w:ascii=&quot;Cambria Math&quot; w:h-ansi=&quot;Cambria Math&quot;/&gt;&lt;wx:font wx:val=&quot;Cambria Math&quot;/&gt;&lt;w:i/&gt;&lt;/w:rPr&gt;&lt;m:t&gt;脳&lt;/m:t&gt;&lt;/m:r&gt;&lt;m:sSub&gt;&lt;m:sSubPr&gt;&lt;m:ctrlPr&gt;&lt;w:rPr&gt;&lt;w:rFonts w:ascii=&quot;Cambria Math&quot; w:fareast=&quot;绛夌嚎&quot; w:h-ansi=&quot;Cambria Math&quot;/&gt;&lt;wx:/m:sfont wb&gt;&lt;mx:val=&gt;&lt;w:&quot;Cambrr&gt;&lt;wia MatFonth&quot;/&gt;&lt;ww:as:i/&gt;&lt;wi=&quot;C:kern briaw:val=ath&quot;&quot;0&quot;/&gt;&lt;w:sz w:val=&quot;24&quot;/&gt;&lt;w:sz-cs w:val=&quot;20&quot;/&gt;&lt;/w:rPr&gt;&lt;/m:ctrlPr&gt;&lt;/m:sSubPr&gt;&lt;m:e&gt;&lt;m:r&gt;&lt;w:rPr&gt;&lt;w:rFonts w:ascii=&quot;Cambria Math&quot; w:h-ansi=&quot;Cambria Math&quot;/&gt;&lt;wx:font wx:val=&quot;Cambria Math&quot;/&gt;&lt;w:i/&gt;&lt;/w:rPr&gt;&lt;m:t&gt;K&lt;/m:t&gt;&lt;/m:r&gt;&lt;/m:e&gt;&lt;m:sub&gt;&lt;m:r&gt;&lt;w:rPr&gt;&lt;w:rFonts w:ascii=&quot;Cambria Math&quot; w:h-ansi=&quot;Cambria Math&quot;/&gt;&lt;wx:font wx:val=&quot;Cambria Math&quot;/&gt;&lt;w:i/&gt;&lt;/w:rPr&gt;&lt;m:t&gt;e&lt;/m:t&gt;&lt;/m:r&gt;&lt;/m:sub&gt;&lt;/m:sSub&gt;&lt;m:r&gt;&lt;w:rPr&gt;&lt;w:rFonts w:ascii=&quot;Cambria Math&quot; w:h-ansi=&quot;Cambria Math&quot;/&gt;&lt;wx:font wx:val=&quot;Cambria Math&quot;/&gt;&lt;w:i/&gt;&lt;/w:rPr&gt;&lt;m:t&gt;脳n&lt;/m:t&gt;&lt;/m:ir&gt;&lt;m:sSub&gt;&lt;m:sSubPr&gt;&lt;m:ctrlPr&gt;&lt;w:rPr&gt;&lt;w:rFonts w:ascii=&quot;Cambria Math&quot; w:fareast=&quot;绛夌嚎&quot; w:h-ansi=&quot;Cambria Math&quot;/&gt;&lt;wx:font wx:val=&quot;Cambria Math&quot;/&gt;&lt;w:i/&gt;&lt;w:kern w:val=&quot;0&quot;/&gt;&lt;wansi:sz w:val=ria &quot;24&quot;/&gt;&lt;w:s&gt;&lt;wxz-cs w:valwx:v=&quot;20&quot;/&gt;&lt;/wmbri:rPr&gt;&lt;/m:c&quot;/&gt;&lt;trlPr&gt;&lt;/m:/w:rsSubPr&gt;&lt;m:e&gt;脳n&gt;&lt;m:r&gt;&lt;w:rPm:ir&gt;&lt;w:rFonts w:ascii=&quot;Cambria Math&quot; w:h-ansi=&quot;Cambria Math&quot; w:hint=&quot;fareast&quot;/&gt;&lt;wx:font wx:val=&quot;Cambria Math&quot;/&gt;&lt;w:i/&gt;&lt;/w:rPr&gt;&lt;m:t&gt;K&lt;/m:t&gt;&lt;/m:r&gt;&lt;i/m:e&gt;&lt;m:sub&gt;&lt;m :r&gt;&lt;w:rPr&gt;&lt;w:rxFonts w:ascii=v&quot;Cambria Math&quot;i w:h-ansi=&quot;Cam&lt;bria Math&quot;/&gt;&lt;wrx:font wx:val=&quot;Cambria Math&quot;/&gt;&lt;w:i/&gt;&lt;/w:rPr&gt;&lt;m:t&gt;c&lt;/m:t&gt;&lt;/m:r&gt;&lt;/m:sub&gt;&lt;/m:sSub&gt;&lt;m:r&gt;&lt;w:rPr&gt;&lt;w:rFonts w:ascii=&quot;Cambria Math&quot; w:h-ansi=&quot;Cambria Math&quot;/&gt;&lt;wx:font wx:val=&quot;Cambria Math&quot;/&gt;&lt;w:i/&gt;&lt;/w:rPr&gt;&lt;m:t&gt;脳r&lt;/m:t&gt;&lt;v/m:r&gt;&lt;/m:oMath&gt;i&lt;/m:oMathPara&gt;&lt;&lt;/w:p&gt;&lt;w:sectPr rwsp:rsidR=&quot;0000&quot;0000&quot;&gt;&lt;w:pgSz /w:w=&quot;12240&quot; w:h=&quot;15840&quot;/&gt;&lt;w:pgMar w:top=&quot;1440&quot; w:right=&quot;1800&quot; w:bottom=&quot;1440&quot; w:left=&quot;1800&quot; w:header=&quot;720&quot; w:footer=&quot;720&quot; w:gutter==&quot;0&quot;/&gt;&lt;w:cols w/:space=&quot;720&quot;/&gt;&lt;&gt;/w:sectPr&gt;&lt;/wx:sect&gt;&lt;/w:body&gt;&lt;/w:wordDocument&gt;">
            <v:path/>
            <v:fill on="f" focussize="0,0"/>
            <v:stroke on="f" joinstyle="miter"/>
            <v:imagedata r:id="rId13" chromakey="#FFFFFF" o:title=""/>
            <o:lock v:ext="edit" aspectratio="t"/>
            <w10:wrap type="none"/>
            <w10:anchorlock/>
          </v:shape>
        </w:pict>
      </w:r>
      <w:r>
        <w:instrText xml:space="preserve"> </w:instrText>
      </w:r>
      <w:r>
        <w:fldChar w:fldCharType="separate"/>
      </w:r>
      <w:r>
        <w:rPr>
          <w:position w:val="-7"/>
        </w:rPr>
        <w:pict>
          <v:shape id="_x0000_i1048" o:spt="75" type="#_x0000_t75" style="height:15.65pt;width:110.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25926&quot;/&gt;&lt;wsp:rsid wsp:val=&quot;00327A8A&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333&quot;/&gt;&lt;wsp:rsid wsp:val=&quot;00402FC1&quot;/&gt;&lt;wsp:rsid wsp:val=&quot;004051D4&quot;/&gt;&lt;wsp:rsid wsp:val=&quot;00425082&quot;/&gt;&lt;wsp:rsid wsp:val=&quot;00431DEB&quot;/&gt;&lt;wsp:rsid wsp:val=&quot;00445F14&quot;/&gt;&lt;wsp:rsid wsp:val=&quot;00446B29&quot;/&gt;&lt;wsp:rsid wsp:val=&quot;00453F9A&quot;/&gt;&lt;wsp:rsid wsp:val=&quot;00471E91&quot;/&gt;&lt;wsp:rsid wsp:val=&quot;00474675&quot;/&gt;&lt;wsp:rsid wsp:val=&quot;0047470C&quot;/&gt;&lt;wsp:rsid wsp:val=&quot;004A35F9&quot;/&gt;&lt;wsp:rsid wsp:val=&quot;004B24C1&quot;/&gt;&lt;wsp:rsid wsp:val=&quot;004B2653&quot;/&gt;&lt;wsp:rsid wsp:val=&quot;004C292F&quot;/&gt;&lt;wsp:rsid wsp:val=&quot;004C3B1E&quot;/&gt;&lt;wsp:rsid wsp:val=&quot;004C5E70&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703DE&quot;/&gt;&lt;wsp:rsid wsp:val=&quot;005749D7&quot;/&gt;&lt;wsp:rsid wsp:val=&quot;0058464E&quot;/&gt;&lt;wsp:rsid wsp:val=&quot;005A01CB&quot;/&gt;&lt;wsp:rsid wsp:val=&quot;005A58FF&quot;/&gt;&lt;wsp:rsid wsp:val=&quot;005A5EAF&quot;/&gt;&lt;wsp:rsid wsp:val=&quot;005A64C0&quot;/&gt;&lt;wsp:rsid wsp:val=&quot;005B3C11&quot;/&gt;&lt;wsp:rsid wsp:val=&quot;005C184A&quot;/&gt;&lt;wsp:rsid wsp:val=&quot;005C1C28&quot;/&gt;&lt;wsp:rsid wsp:val=&quot;005C6DB5&quot;/&gt;&lt;wsp:rsid wsp:val=&quot;005C7A7A&quot;/&gt;&lt;wsp:rsid wsp:val=&quot;005E19E7&quot;/&gt;&lt;wsp:rsid wsp:val=&quot;006039C3&quot;/&gt;&lt;wsp:rsid wsp:val=&quot;0061716C&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4EFB&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94DCC&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856D8&quot;/&gt;&lt;wsp:rsid wsp:val=&quot;00892E82&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0B3A&quot;/&gt;&lt;wsp:rsid wsp:val=&quot;00AE2914&quot;/&gt;&lt;wsp:rsid wsp:val=&quot;00AE6D15&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58D3&quot;/&gt;&lt;wsp:rsid wsp:val=&quot;00CC5CF5&quot;/&gt;&lt;wsp:rsid wsp:val=&quot;00CC784D&quot;/&gt;&lt;wsp:rsid wsp:val=&quot;00D0337B&quot;/&gt;&lt;wsp:rsid wsp:val=&quot;00D079B2&quot;/&gt;&lt;wsp:rsid wsp:val=&quot;00D114E9&quot;/&gt;&lt;wsp:rsid wsp:val=&quot;00D429C6&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F21E9&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AFB&quot;/&gt;&lt;wsp:rsid wsp:val=&quot;00FC6358&quot;/&gt;&lt;wsp:rsid wsp:val=&quot;00FD320D&quot;/&gt;&lt;wsp:rsid wsp:val=&quot;00FE23DE&quot;/&gt;&lt;/wsp:rsids&gt;&lt;/w:docPr&gt;&lt;w:body&gt;&lt;wx:sect&gt;&lt;w:p wsp:rsidR=&quot;00000000&quot; wsp:rsidRDefault=&quot;00794DCC&quot; wsp:rsidP=&quot;00794DCC&quot;&gt;&lt;m:oMathPara&gt;&lt;m:oMath&gt;&lt;m:sSub&gt;&lt;m:sSubPr&gt;&lt;m:ctrlPr&gt;&lt;w:rPr&gt;&lt;w:rFonts w:ascii=&quot;Cambria Math&quot; w:fareast=&quot;绛夌嚎&quot; w:h-ansi=&quot;Cambria Math&quot;/&gt;&lt;wx:font wx:val=&quot;Cambria Math&quot;/&gt;&lt;w:i/&gt;&lt;w:kern w:val=&quot;0&quot;/&gt;&lt;w:sz w:val=&quot;24&quot;/&gt;&lt;w:sz-cs w:val=&quot;20&quot;/&gt;&lt;/w:rPr&gt;&lt;/m:ctrlPr&gt;&lt;/m:sSubPr&gt;&lt;m:ethPthPthPthPthPthPthPthPthP&gt;&lt;m:r&gt;&lt;w:rPr&gt;&lt;w:rFonts w:ascii=&quot;Cambria Math&quot; w:h-ansi=&quot;Cambria Math&quot;/&gt;&lt;wx:font wx:val=&quot;Cambria Math&quot;/&gt;&lt;w:i/&gt;&lt;/w:rPr&gt;&lt;m:t&gt;E&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lt;/m:t&gt;&lt;/m:r&gt;&lt;m:sSub&gt;&lt;m:sSubPr&gt;&lt;m:ctrlPr&gt;&lt;w:rPr&gt;&lt;w:rFonts w:ascii=&quot;Cambria Math&quot; w:fareast=&quot;绛夌嚎&quot; w:h-ansi=&quot;Cambria Math&quot;/&gt;&lt;wx:font wx:val=&quot;Cambria Math&quot;/&gt;&lt;w:i/&gt;&lt;w:kern w:val=&quot;0&quot;/&gt;&lt;w:sz w:val=&quot;24&quot;/&gt;&lt;w:sz-cs w:val=&quot;20&quot;/&gt;&lt;/w:rPr&gt;&lt;/m:ctrlPr&gt;&lt;/m:sSubPr&gt;&lt;m:e&gt;&lt;m:r&gt;&lt;w:rPr&gt;&lt;w:rFonts w:ascii=&quot;Cambria Math&quot; w:h-ansi=&quot;Cambria Maii=th&quot;&quot;Ca/&gt;&lt;mbrwx:ia fonMatt wh&quot; x:vw:fal=are&quot;Caastmbria Math&quot;/&gt;&lt;w:i/&gt;&lt;/w:rPr&gt;&lt;m:t&gt;G&lt;/m:t&gt;&lt;/m:r&gt;&lt;/m:e&gt;&lt;m:sub&gt;&lt;m:r&gt;&lt;w:rPr&gt;&lt;w:rFonts w:ascii=&quot;Cambria Math&quot; w:h-ansi=&quot;Cambria Math&quot;/&gt;&lt;wx:font wx:val=&quot;Cambria Math&quot;/&gt;&lt;w:i/&gt;&lt;/w:rPr&gt;&lt;m:t&gt;ind&lt;/m:t&gt;&lt;/m:r&gt;&lt;/m:sub&gt;&lt;/m:sSub&gt;&lt;m:r&gt;&lt;w:rPr&gt;&lt;w:rFonts w:ascii=&quot;Cambria Math&quot; w:h-ansi=&quot;Cambria Math&quot;/&gt;&lt;wx:font wx:val=&quot;Cambria Math&quot;/&gt;&lt;w:i/&gt;&lt;/w:rPr&gt;&lt;m:t&gt;脳&lt;/m:t&gt;&lt;/m:r&gt;&lt;m:sSub&gt;&lt;m:sSubPr&gt;&lt;m:ctrlPr&gt;&lt;w:rPr&gt;&lt;w:rFonts w:ascii=&quot;Cambria Math&quot; w:fareast=&quot;绛夌嚎&quot; w:h-ansi=&quot;Cambria Math&quot;/&gt;&lt;wx:/m:sfont wb&gt;&lt;mx:val=&gt;&lt;w:&quot;Cambrr&gt;&lt;wia MatFonth&quot;/&gt;&lt;ww:as:i/&gt;&lt;wi=&quot;C:kern briaw:val=ath&quot;&quot;0&quot;/&gt;&lt;w:sz w:val=&quot;24&quot;/&gt;&lt;w:sz-cs w:val=&quot;20&quot;/&gt;&lt;/w:rPr&gt;&lt;/m:ctrlPr&gt;&lt;/m:sSubPr&gt;&lt;m:e&gt;&lt;m:r&gt;&lt;w:rPr&gt;&lt;w:rFonts w:ascii=&quot;Cambria Math&quot; w:h-ansi=&quot;Cambria Math&quot;/&gt;&lt;wx:font wx:val=&quot;Cambria Math&quot;/&gt;&lt;w:i/&gt;&lt;/w:rPr&gt;&lt;m:t&gt;K&lt;/m:t&gt;&lt;/m:r&gt;&lt;/m:e&gt;&lt;m:sub&gt;&lt;m:r&gt;&lt;w:rPr&gt;&lt;w:rFonts w:ascii=&quot;Cambria Math&quot; w:h-ansi=&quot;Cambria Math&quot;/&gt;&lt;wx:font wx:val=&quot;Cambria Math&quot;/&gt;&lt;w:i/&gt;&lt;/w:rPr&gt;&lt;m:t&gt;e&lt;/m:t&gt;&lt;/m:r&gt;&lt;/m:sub&gt;&lt;/m:sSub&gt;&lt;m:r&gt;&lt;w:rPr&gt;&lt;w:rFonts w:ascii=&quot;Cambria Math&quot; w:h-ansi=&quot;Cambria Math&quot;/&gt;&lt;wx:font wx:val=&quot;Cambria Math&quot;/&gt;&lt;w:i/&gt;&lt;/w:rPr&gt;&lt;m:t&gt;脳n&lt;/m:t&gt;&lt;/m:ir&gt;&lt;m:sSub&gt;&lt;m:sSubPr&gt;&lt;m:ctrlPr&gt;&lt;w:rPr&gt;&lt;w:rFonts w:ascii=&quot;Cambria Math&quot; w:fareast=&quot;绛夌嚎&quot; w:h-ansi=&quot;Cambria Math&quot;/&gt;&lt;wx:font wx:val=&quot;Cambria Math&quot;/&gt;&lt;w:i/&gt;&lt;w:kern w:val=&quot;0&quot;/&gt;&lt;wansi:sz w:val=ria &quot;24&quot;/&gt;&lt;w:s&gt;&lt;wxz-cs w:valwx:v=&quot;20&quot;/&gt;&lt;/wmbri:rPr&gt;&lt;/m:c&quot;/&gt;&lt;trlPr&gt;&lt;/m:/w:rsSubPr&gt;&lt;m:e&gt;脳n&gt;&lt;m:r&gt;&lt;w:rPm:ir&gt;&lt;w:rFonts w:ascii=&quot;Cambria Math&quot; w:h-ansi=&quot;Cambria Math&quot; w:hint=&quot;fareast&quot;/&gt;&lt;wx:font wx:val=&quot;Cambria Math&quot;/&gt;&lt;w:i/&gt;&lt;/w:rPr&gt;&lt;m:t&gt;K&lt;/m:t&gt;&lt;/m:r&gt;&lt;i/m:e&gt;&lt;m:sub&gt;&lt;m :r&gt;&lt;w:rPr&gt;&lt;w:rxFonts w:ascii=v&quot;Cambria Math&quot;i w:h-ansi=&quot;Cam&lt;bria Math&quot;/&gt;&lt;wrx:font wx:val=&quot;Cambria Math&quot;/&gt;&lt;w:i/&gt;&lt;/w:rPr&gt;&lt;m:t&gt;c&lt;/m:t&gt;&lt;/m:r&gt;&lt;/m:sub&gt;&lt;/m:sSub&gt;&lt;m:r&gt;&lt;w:rPr&gt;&lt;w:rFonts w:ascii=&quot;Cambria Math&quot; w:h-ansi=&quot;Cambria Math&quot;/&gt;&lt;wx:font wx:val=&quot;Cambria Math&quot;/&gt;&lt;w:i/&gt;&lt;/w:rPr&gt;&lt;m:t&gt;脳r&lt;/m:t&gt;&lt;v/m:r&gt;&lt;/m:oMath&gt;i&lt;/m:oMathPara&gt;&lt;&lt;/w:p&gt;&lt;w:sectPr rwsp:rsidR=&quot;0000&quot;0000&quot;&gt;&lt;w:pgSz /w:w=&quot;12240&quot; w:h=&quot;15840&quot;/&gt;&lt;w:pgMar w:top=&quot;1440&quot; w:right=&quot;1800&quot; w:bottom=&quot;1440&quot; w:left=&quot;1800&quot; w:header=&quot;720&quot; w:footer=&quot;720&quot; w:gutter==&quot;0&quot;/&gt;&lt;w:cols w/:space=&quot;720&quot;/&gt;&lt;&gt;/w:sectPr&gt;&lt;/wx:sect&gt;&lt;/w:body&gt;&lt;/w:wordDocument&gt;">
            <v:path/>
            <v:fill on="f" focussize="0,0"/>
            <v:stroke on="f" joinstyle="miter"/>
            <v:imagedata r:id="rId13" chromakey="#FFFFFF" o:title=""/>
            <o:lock v:ext="edit" aspectratio="t"/>
            <w10:wrap type="none"/>
            <w10:anchorlock/>
          </v:shape>
        </w:pict>
      </w:r>
      <w:r>
        <w:fldChar w:fldCharType="end"/>
      </w:r>
      <w:r>
        <w:rPr>
          <w:rFonts w:hint="eastAsia"/>
        </w:rPr>
        <w:t xml:space="preserve"> </w:t>
      </w:r>
      <w:r>
        <w:t xml:space="preserve">               </w:t>
      </w:r>
      <w:r>
        <w:rPr>
          <w:rFonts w:hint="eastAsia"/>
        </w:rPr>
        <w:t>（2）</w:t>
      </w:r>
    </w:p>
    <w:p w14:paraId="5A1B71E8">
      <w:pPr>
        <w:ind w:firstLine="560"/>
      </w:pPr>
      <w:r>
        <w:rPr>
          <w:rFonts w:hint="eastAsia"/>
        </w:rPr>
        <w:t>式中：</w:t>
      </w:r>
    </w:p>
    <w:p w14:paraId="69EDC711">
      <w:pPr>
        <w:ind w:firstLine="420"/>
      </w:pPr>
      <m:oMath>
        <m:sSub>
          <m:sSubPr>
            <m:ctrlPr>
              <w:rPr>
                <w:rFonts w:ascii="Cambria Math" w:hAnsi="Cambria Math"/>
                <w:sz w:val="21"/>
                <w:szCs w:val="15"/>
              </w:rPr>
            </m:ctrlPr>
          </m:sSubPr>
          <m:e>
            <m:r>
              <m:rPr/>
              <w:rPr>
                <w:rFonts w:ascii="Cambria Math"/>
                <w:sz w:val="21"/>
                <w:szCs w:val="15"/>
              </w:rPr>
              <m:t>E</m:t>
            </m:r>
            <m:ctrlPr>
              <w:rPr>
                <w:rFonts w:ascii="Cambria Math" w:hAnsi="Cambria Math"/>
                <w:sz w:val="21"/>
                <w:szCs w:val="15"/>
              </w:rPr>
            </m:ctrlPr>
          </m:e>
          <m:sub>
            <m:r>
              <m:rPr>
                <m:sty m:val="p"/>
              </m:rPr>
              <w:rPr>
                <w:rFonts w:ascii="Cambria Math" w:hAnsi="Cambria Math"/>
                <w:sz w:val="21"/>
                <w:szCs w:val="15"/>
              </w:rPr>
              <m:t>2</m:t>
            </m:r>
            <m:ctrlPr>
              <w:rPr>
                <w:rFonts w:ascii="Cambria Math" w:hAnsi="Cambria Math"/>
                <w:sz w:val="21"/>
                <w:szCs w:val="15"/>
              </w:rPr>
            </m:ctrlPr>
          </m:sub>
        </m:sSub>
      </m:oMath>
      <w:r>
        <w:t xml:space="preserve"> </w:t>
      </w:r>
      <w:r>
        <w:rPr>
          <w:rFonts w:hint="eastAsia"/>
        </w:rPr>
        <w:t>——水耗耗角度估算低品位工业余热总量，单位为标准煤每年或吉焦每年（</w:t>
      </w:r>
      <w:r>
        <w:t>tce/</w:t>
      </w:r>
      <w:r>
        <w:rPr>
          <w:rFonts w:hint="eastAsia"/>
        </w:rPr>
        <w:t>a</w:t>
      </w:r>
      <w:r>
        <w:t>，或GJ/</w:t>
      </w:r>
      <w:r>
        <w:rPr>
          <w:rFonts w:hint="eastAsia"/>
        </w:rPr>
        <w:t>a）；</w:t>
      </w:r>
    </w:p>
    <w:p w14:paraId="61FAC5B1">
      <w:pPr>
        <w:ind w:firstLine="420"/>
      </w:pPr>
      <m:oMath>
        <m:sSub>
          <m:sSubPr>
            <m:ctrlPr>
              <w:rPr>
                <w:rFonts w:ascii="Cambria Math" w:hAnsi="Cambria Math"/>
                <w:sz w:val="21"/>
                <w:szCs w:val="15"/>
              </w:rPr>
            </m:ctrlPr>
          </m:sSubPr>
          <m:e>
            <m:r>
              <m:rPr/>
              <w:rPr>
                <w:rFonts w:ascii="Cambria Math"/>
                <w:sz w:val="21"/>
                <w:szCs w:val="15"/>
              </w:rPr>
              <m:t>G</m:t>
            </m:r>
            <m:ctrlPr>
              <w:rPr>
                <w:rFonts w:ascii="Cambria Math" w:hAnsi="Cambria Math"/>
                <w:sz w:val="21"/>
                <w:szCs w:val="15"/>
              </w:rPr>
            </m:ctrlPr>
          </m:e>
          <m:sub>
            <m:r>
              <m:rPr/>
              <w:rPr>
                <w:rFonts w:ascii="Cambria Math" w:hAnsi="Cambria Math"/>
                <w:sz w:val="21"/>
                <w:szCs w:val="15"/>
              </w:rPr>
              <m:t>ind</m:t>
            </m:r>
            <m:ctrlPr>
              <w:rPr>
                <w:rFonts w:ascii="Cambria Math" w:hAnsi="Cambria Math"/>
                <w:sz w:val="21"/>
                <w:szCs w:val="15"/>
              </w:rPr>
            </m:ctrlPr>
          </m:sub>
        </m:sSub>
      </m:oMath>
      <w:r>
        <w:t xml:space="preserve"> </w:t>
      </w:r>
      <w:r>
        <w:rPr>
          <w:rFonts w:hint="eastAsia"/>
        </w:rPr>
        <w:t>——</w:t>
      </w:r>
      <w:r>
        <w:t>研究区域内的工业用水量</w:t>
      </w:r>
      <w:r>
        <w:rPr>
          <w:rFonts w:hint="eastAsia"/>
        </w:rPr>
        <w:t>，单位为立方米每年</w:t>
      </w:r>
      <w:r>
        <w:t>（m</w:t>
      </w:r>
      <w:r>
        <w:rPr>
          <w:rFonts w:hint="eastAsia"/>
        </w:rPr>
        <w:t>³</w:t>
      </w:r>
      <w:r>
        <w:t>/</w:t>
      </w:r>
      <w:r>
        <w:rPr>
          <w:rFonts w:hint="eastAsia"/>
        </w:rPr>
        <w:t>a</w:t>
      </w:r>
      <w:r>
        <w:t>）</w:t>
      </w:r>
      <w:r>
        <w:rPr>
          <w:rFonts w:hint="eastAsia"/>
        </w:rPr>
        <w:t>；</w:t>
      </w:r>
    </w:p>
    <w:p w14:paraId="6C7F146E">
      <w:pPr>
        <w:ind w:firstLine="420"/>
      </w:pPr>
      <m:oMath>
        <m:sSub>
          <m:sSubPr>
            <m:ctrlPr>
              <w:rPr>
                <w:rFonts w:ascii="Cambria Math" w:hAnsi="Cambria Math"/>
                <w:sz w:val="21"/>
                <w:szCs w:val="15"/>
              </w:rPr>
            </m:ctrlPr>
          </m:sSubPr>
          <m:e>
            <m:r>
              <m:rPr/>
              <w:rPr>
                <w:rFonts w:ascii="Cambria Math"/>
                <w:sz w:val="21"/>
                <w:szCs w:val="15"/>
              </w:rPr>
              <m:t>K</m:t>
            </m:r>
            <m:ctrlPr>
              <w:rPr>
                <w:rFonts w:ascii="Cambria Math" w:hAnsi="Cambria Math"/>
                <w:sz w:val="21"/>
                <w:szCs w:val="15"/>
              </w:rPr>
            </m:ctrlPr>
          </m:e>
          <m:sub>
            <m:r>
              <m:rPr/>
              <w:rPr>
                <w:rFonts w:ascii="Cambria Math" w:hAnsi="Cambria Math"/>
                <w:sz w:val="21"/>
                <w:szCs w:val="15"/>
              </w:rPr>
              <m:t>e</m:t>
            </m:r>
            <m:ctrlPr>
              <w:rPr>
                <w:rFonts w:ascii="Cambria Math" w:hAnsi="Cambria Math"/>
                <w:sz w:val="21"/>
                <w:szCs w:val="15"/>
              </w:rPr>
            </m:ctrlPr>
          </m:sub>
        </m:sSub>
      </m:oMath>
      <w:r>
        <w:t xml:space="preserve"> </w:t>
      </w:r>
      <w:r>
        <w:rPr>
          <w:rFonts w:hint="eastAsia"/>
        </w:rPr>
        <w:t>——</w:t>
      </w:r>
      <w:r>
        <w:t>高耗能工业部门用水占工业用水的比例</w:t>
      </w:r>
      <w:r>
        <w:rPr>
          <w:rFonts w:hint="eastAsia"/>
        </w:rPr>
        <w:t>；</w:t>
      </w:r>
    </w:p>
    <w:p w14:paraId="623FA6D6">
      <w:pPr>
        <w:ind w:firstLine="420"/>
      </w:pPr>
      <m:oMath>
        <m:sSub>
          <m:sSubPr>
            <m:ctrlPr>
              <w:rPr>
                <w:rFonts w:ascii="Cambria Math" w:hAnsi="Cambria Math"/>
                <w:sz w:val="21"/>
                <w:szCs w:val="15"/>
              </w:rPr>
            </m:ctrlPr>
          </m:sSubPr>
          <m:e>
            <m:r>
              <m:rPr/>
              <w:rPr>
                <w:rFonts w:hint="eastAsia" w:ascii="Cambria Math"/>
                <w:sz w:val="21"/>
                <w:szCs w:val="15"/>
              </w:rPr>
              <m:t>K</m:t>
            </m:r>
            <m:ctrlPr>
              <w:rPr>
                <w:rFonts w:ascii="Cambria Math" w:hAnsi="Cambria Math"/>
                <w:sz w:val="21"/>
                <w:szCs w:val="15"/>
              </w:rPr>
            </m:ctrlPr>
          </m:e>
          <m:sub>
            <m:r>
              <m:rPr/>
              <w:rPr>
                <w:rFonts w:ascii="Cambria Math" w:hAnsi="Cambria Math"/>
                <w:sz w:val="21"/>
                <w:szCs w:val="15"/>
              </w:rPr>
              <m:t>c</m:t>
            </m:r>
            <m:ctrlPr>
              <w:rPr>
                <w:rFonts w:ascii="Cambria Math" w:hAnsi="Cambria Math"/>
                <w:sz w:val="21"/>
                <w:szCs w:val="15"/>
              </w:rPr>
            </m:ctrlPr>
          </m:sub>
        </m:sSub>
      </m:oMath>
      <w:bookmarkStart w:id="0" w:name="_Hlk172217672"/>
      <w:r>
        <w:t xml:space="preserve"> </w:t>
      </w:r>
      <w:r>
        <w:rPr>
          <w:rFonts w:hint="eastAsia"/>
        </w:rPr>
        <w:t>——</w:t>
      </w:r>
      <w:bookmarkEnd w:id="0"/>
      <w:r>
        <w:t>高耗能工业部门用于冷却的水耗占比</w:t>
      </w:r>
      <w:r>
        <w:rPr>
          <w:rFonts w:hint="eastAsia"/>
        </w:rPr>
        <w:t>；</w:t>
      </w:r>
    </w:p>
    <w:p w14:paraId="3EF048B8">
      <w:pPr>
        <w:ind w:firstLine="420"/>
      </w:pPr>
      <m:oMath>
        <m:r>
          <m:rPr/>
          <w:rPr>
            <w:rFonts w:ascii="Cambria Math" w:hAnsi="Cambria Math"/>
            <w:sz w:val="21"/>
            <w:szCs w:val="15"/>
          </w:rPr>
          <m:t>r</m:t>
        </m:r>
      </m:oMath>
      <w:r>
        <w:t xml:space="preserve"> </w:t>
      </w:r>
      <w:r>
        <w:rPr>
          <w:rFonts w:hint="eastAsia"/>
        </w:rPr>
        <w:t>——是环境温度下水的汽化潜热，单位为千焦每千克（kJ/kg）；</w:t>
      </w:r>
    </w:p>
    <w:p w14:paraId="37772A28">
      <w:pPr>
        <w:ind w:firstLine="560"/>
      </w:pPr>
      <w:r>
        <w:rPr>
          <w:rFonts w:hint="eastAsia"/>
        </w:rPr>
        <w:t>注</w:t>
      </w:r>
      <w:r>
        <w:t>1</w:t>
      </w:r>
      <w:r>
        <w:rPr>
          <w:rFonts w:hint="eastAsia"/>
        </w:rPr>
        <w:t>：</w:t>
      </w:r>
      <m:oMath>
        <m:sSub>
          <m:sSubPr>
            <m:ctrlPr>
              <w:rPr>
                <w:rFonts w:ascii="Cambria Math" w:hAnsi="Cambria Math"/>
                <w:sz w:val="21"/>
                <w:szCs w:val="15"/>
              </w:rPr>
            </m:ctrlPr>
          </m:sSubPr>
          <m:e>
            <m:r>
              <m:rPr/>
              <w:rPr>
                <w:rFonts w:ascii="Cambria Math"/>
                <w:sz w:val="21"/>
                <w:szCs w:val="15"/>
              </w:rPr>
              <m:t>G</m:t>
            </m:r>
            <m:ctrlPr>
              <w:rPr>
                <w:rFonts w:ascii="Cambria Math" w:hAnsi="Cambria Math"/>
                <w:sz w:val="21"/>
                <w:szCs w:val="15"/>
              </w:rPr>
            </m:ctrlPr>
          </m:e>
          <m:sub>
            <m:r>
              <m:rPr/>
              <w:rPr>
                <w:rFonts w:ascii="Cambria Math" w:hAnsi="Cambria Math"/>
                <w:sz w:val="21"/>
                <w:szCs w:val="15"/>
              </w:rPr>
              <m:t>ind</m:t>
            </m:r>
            <m:ctrlPr>
              <w:rPr>
                <w:rFonts w:ascii="Cambria Math" w:hAnsi="Cambria Math"/>
                <w:sz w:val="21"/>
                <w:szCs w:val="15"/>
              </w:rPr>
            </m:ctrlPr>
          </m:sub>
        </m:sSub>
      </m:oMath>
      <w:r>
        <w:rPr>
          <w:rFonts w:hint="eastAsia"/>
        </w:rPr>
        <w:t>、</w:t>
      </w:r>
      <m:oMath>
        <m:sSub>
          <m:sSubPr>
            <m:ctrlPr>
              <w:rPr>
                <w:rFonts w:ascii="Cambria Math" w:hAnsi="Cambria Math"/>
                <w:sz w:val="21"/>
                <w:szCs w:val="15"/>
              </w:rPr>
            </m:ctrlPr>
          </m:sSubPr>
          <m:e>
            <m:r>
              <m:rPr/>
              <w:rPr>
                <w:rFonts w:ascii="Cambria Math"/>
                <w:sz w:val="21"/>
                <w:szCs w:val="15"/>
              </w:rPr>
              <m:t>K</m:t>
            </m:r>
            <m:ctrlPr>
              <w:rPr>
                <w:rFonts w:ascii="Cambria Math" w:hAnsi="Cambria Math"/>
                <w:sz w:val="21"/>
                <w:szCs w:val="15"/>
              </w:rPr>
            </m:ctrlPr>
          </m:e>
          <m:sub>
            <m:r>
              <m:rPr/>
              <w:rPr>
                <w:rFonts w:ascii="Cambria Math" w:hAnsi="Cambria Math"/>
                <w:sz w:val="21"/>
                <w:szCs w:val="15"/>
              </w:rPr>
              <m:t>e</m:t>
            </m:r>
            <m:ctrlPr>
              <w:rPr>
                <w:rFonts w:ascii="Cambria Math" w:hAnsi="Cambria Math"/>
                <w:sz w:val="21"/>
                <w:szCs w:val="15"/>
              </w:rPr>
            </m:ctrlPr>
          </m:sub>
        </m:sSub>
      </m:oMath>
      <w:r>
        <w:rPr>
          <w:rFonts w:hint="eastAsia"/>
        </w:rPr>
        <w:t>的数据可以从政府统计部分的官方出版物（如统计年鉴）中取得。</w:t>
      </w:r>
    </w:p>
    <w:p w14:paraId="4EDE04B0">
      <w:pPr>
        <w:pStyle w:val="3"/>
      </w:pPr>
      <w:r>
        <w:rPr>
          <w:rFonts w:hint="eastAsia"/>
        </w:rPr>
        <w:t>2</w:t>
      </w:r>
      <w:r>
        <w:t>.2</w:t>
      </w:r>
      <w:r>
        <w:rPr>
          <w:rFonts w:hint="eastAsia"/>
        </w:rPr>
        <w:t>第二层级目标的估算方法</w:t>
      </w:r>
    </w:p>
    <w:p w14:paraId="2964F358">
      <w:pPr>
        <w:ind w:firstLine="560"/>
      </w:pPr>
      <w:r>
        <w:rPr>
          <w:rFonts w:hint="eastAsia"/>
        </w:rPr>
        <w:t>（1）第二层级目标的估算公式</w:t>
      </w:r>
    </w:p>
    <w:p w14:paraId="3BC86071">
      <w:pPr>
        <w:ind w:firstLine="560"/>
      </w:pPr>
      <w:r>
        <w:rPr>
          <w:rFonts w:hint="eastAsia"/>
        </w:rPr>
        <w:t>第二层级目标的估算方法采用实地调研与问卷调研相结合的方法，即对不同类型高耗能工业部门的典型企业进行实地调研，了解其生产工艺、余热的温度分布特征及影响余热特性的重要参数，进而估算生产单位质量产品时的低品位余热量及余热品位，计算公式为：</w:t>
      </w:r>
    </w:p>
    <w:p w14:paraId="1128AB71">
      <w:pPr>
        <w:ind w:firstLine="560"/>
        <w:jc w:val="right"/>
      </w:pPr>
      <w:r>
        <w:fldChar w:fldCharType="begin"/>
      </w:r>
      <w:r>
        <w:instrText xml:space="preserve"> QUOTE </w:instrText>
      </w:r>
      <w:r>
        <w:pict>
          <v:shape id="_x0000_i1049" o:spt="75" type="#_x0000_t75" style="height:15.65pt;width:87.6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964E9&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393E&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16ACD&quot;/&gt;&lt;wsp:rsid wsp:val=&quot;00325926&quot;/&gt;&lt;wsp:rsid wsp:val=&quot;00327A8A&quot;/&gt;&lt;wsp:rsid wsp:val=&quot;003308A7&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E5CDF&quot;/&gt;&lt;wsp:rsid wsp:val=&quot;003F4EE0&quot;/&gt;&lt;wsp:rsid wsp:val=&quot;003F6E1F&quot;/&gt;&lt;wsp:rsid wsp:val=&quot;00401A68&quot;/&gt;&lt;wsp:rsid wsp:val=&quot;00402153&quot;/&gt;&lt;wsp:rsid wsp:val=&quot;00402333&quot;/&gt;&lt;wsp:rsid wsp:val=&quot;00402FC1&quot;/&gt;&lt;wsp:rsid wsp:val=&quot;004051D4&quot;/&gt;&lt;wsp:rsid wsp:val=&quot;00425082&quot;/&gt;&lt;wsp:rsid wsp:val=&quot;00426050&quot;/&gt;&lt;wsp:rsid wsp:val=&quot;00431DEB&quot;/&gt;&lt;wsp:rsid wsp:val=&quot;004420CB&quot;/&gt;&lt;wsp:rsid wsp:val=&quot;00445F14&quot;/&gt;&lt;wsp:rsid wsp:val=&quot;00446B29&quot;/&gt;&lt;wsp:rsid wsp:val=&quot;00453F9A&quot;/&gt;&lt;wsp:rsid wsp:val=&quot;00471920&quot;/&gt;&lt;wsp:rsid wsp:val=&quot;00471E91&quot;/&gt;&lt;wsp:rsid wsp:val=&quot;00474675&quot;/&gt;&lt;wsp:rsid wsp:val=&quot;0047470C&quot;/&gt;&lt;wsp:rsid wsp:val=&quot;004A35F9&quot;/&gt;&lt;wsp:rsid wsp:val=&quot;004B24C1&quot;/&gt;&lt;wsp:rsid wsp:val=&quot;004B2653&quot;/&gt;&lt;wsp:rsid wsp:val=&quot;004C292F&quot;/&gt;&lt;wsp:rsid wsp:val=&quot;004C3B1E&quot;/&gt;&lt;wsp:rsid wsp:val=&quot;004C5E70&quot;/&gt;&lt;wsp:rsid wsp:val=&quot;004E3B66&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63772&quot;/&gt;&lt;wsp:rsid wsp:val=&quot;005703DE&quot;/&gt;&lt;wsp:rsid wsp:val=&quot;005749D7&quot;/&gt;&lt;wsp:rsid wsp:val=&quot;0058464E&quot;/&gt;&lt;wsp:rsid wsp:val=&quot;00596FF1&quot;/&gt;&lt;wsp:rsid wsp:val=&quot;005A01CB&quot;/&gt;&lt;wsp:rsid wsp:val=&quot;005A58FF&quot;/&gt;&lt;wsp:rsid wsp:val=&quot;005A5EAF&quot;/&gt;&lt;wsp:rsid wsp:val=&quot;005A64C0&quot;/&gt;&lt;wsp:rsid wsp:val=&quot;005B3C11&quot;/&gt;&lt;wsp:rsid wsp:val=&quot;005C0EE2&quot;/&gt;&lt;wsp:rsid wsp:val=&quot;005C184A&quot;/&gt;&lt;wsp:rsid wsp:val=&quot;005C1C28&quot;/&gt;&lt;wsp:rsid wsp:val=&quot;005C64AD&quot;/&gt;&lt;wsp:rsid wsp:val=&quot;005C6DB5&quot;/&gt;&lt;wsp:rsid wsp:val=&quot;005C7A7A&quot;/&gt;&lt;wsp:rsid wsp:val=&quot;005E19E7&quot;/&gt;&lt;wsp:rsid wsp:val=&quot;006039C3&quot;/&gt;&lt;wsp:rsid wsp:val=&quot;0061716C&quot;/&gt;&lt;wsp:rsid wsp:val=&quot;00620599&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72A9E&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05F3&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078D&quot;/&gt;&lt;wsp:rsid wsp:val=&quot;00724EFB&quot;/&gt;&lt;wsp:rsid wsp:val=&quot;0073259A&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29CE&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6726F&quot;/&gt;&lt;wsp:rsid wsp:val=&quot;0087198C&quot;/&gt;&lt;wsp:rsid wsp:val=&quot;00872C1F&quot;/&gt;&lt;wsp:rsid wsp:val=&quot;00873B42&quot;/&gt;&lt;wsp:rsid wsp:val=&quot;008856D8&quot;/&gt;&lt;wsp:rsid wsp:val=&quot;00892E82&quot;/&gt;&lt;wsp:rsid wsp:val=&quot;008B6A53&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48CE&quot;/&gt;&lt;wsp:rsid wsp:val=&quot;00927058&quot;/&gt;&lt;wsp:rsid wsp:val=&quot;009279DE&quot;/&gt;&lt;wsp:rsid wsp:val=&quot;00930116&quot;/&gt;&lt;wsp:rsid wsp:val=&quot;0094212C&quot;/&gt;&lt;wsp:rsid wsp:val=&quot;00942905&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4F3D&quot;/&gt;&lt;wsp:rsid wsp:val=&quot;00AA7A09&quot;/&gt;&lt;wsp:rsid wsp:val=&quot;00AB3B50&quot;/&gt;&lt;wsp:rsid wsp:val=&quot;00AC05B1&quot;/&gt;&lt;wsp:rsid wsp:val=&quot;00AD356C&quot;/&gt;&lt;wsp:rsid wsp:val=&quot;00AE0B3A&quot;/&gt;&lt;wsp:rsid wsp:val=&quot;00AE2914&quot;/&gt;&lt;wsp:rsid wsp:val=&quot;00AE6D15&quot;/&gt;&lt;wsp:rsid wsp:val=&quot;00AF31FA&quot;/&gt;&lt;wsp:rsid wsp:val=&quot;00AF6C5D&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20F4&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4B55&quot;/&gt;&lt;wsp:rsid wsp:val=&quot;00CC58D3&quot;/&gt;&lt;wsp:rsid wsp:val=&quot;00CC5CF5&quot;/&gt;&lt;wsp:rsid wsp:val=&quot;00CC784D&quot;/&gt;&lt;wsp:rsid wsp:val=&quot;00CE2364&quot;/&gt;&lt;wsp:rsid wsp:val=&quot;00D0337B&quot;/&gt;&lt;wsp:rsid wsp:val=&quot;00D03480&quot;/&gt;&lt;wsp:rsid wsp:val=&quot;00D079B2&quot;/&gt;&lt;wsp:rsid wsp:val=&quot;00D111A5&quot;/&gt;&lt;wsp:rsid wsp:val=&quot;00D114E9&quot;/&gt;&lt;wsp:rsid wsp:val=&quot;00D429C6&quot;/&gt;&lt;wsp:rsid wsp:val=&quot;00D44190&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96BEF&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E68AC&quot;/&gt;&lt;wsp:rsid wsp:val=&quot;00DF21E9&quot;/&gt;&lt;wsp:rsid wsp:val=&quot;00E00F14&quot;/&gt;&lt;wsp:rsid wsp:val=&quot;00E06386&quot;/&gt;&lt;wsp:rsid wsp:val=&quot;00E1559C&quot;/&gt;&lt;wsp:rsid wsp:val=&quot;00E24EB4&quot;/&gt;&lt;wsp:rsid wsp:val=&quot;00E320ED&quot;/&gt;&lt;wsp:rsid wsp:val=&quot;00E33AFB&quot;/&gt;&lt;wsp:rsid wsp:val=&quot;00E34218&quot;/&gt;&lt;wsp:rsid wsp:val=&quot;00E46282&quot;/&gt;&lt;wsp:rsid wsp:val=&quot;00E5216E&quot;/&gt;&lt;wsp:rsid wsp:val=&quot;00E54CA1&quot;/&gt;&lt;wsp:rsid wsp:val=&quot;00E708D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63B1A&quot;/&gt;&lt;wsp:rsid wsp:val=&quot;00F81D29&quot;/&gt;&lt;wsp:rsid wsp:val=&quot;00F91C4D&quot;/&gt;&lt;wsp:rsid wsp:val=&quot;00F92FD9&quot;/&gt;&lt;wsp:rsid wsp:val=&quot;00FA6684&quot;/&gt;&lt;wsp:rsid wsp:val=&quot;00FA731E&quot;/&gt;&lt;wsp:rsid wsp:val=&quot;00FB05EB&quot;/&gt;&lt;wsp:rsid wsp:val=&quot;00FB2B38&quot;/&gt;&lt;wsp:rsid wsp:val=&quot;00FC4AFB&quot;/&gt;&lt;wsp:rsid wsp:val=&quot;00FC6358&quot;/&gt;&lt;wsp:rsid wsp:val=&quot;00FD320D&quot;/&gt;&lt;wsp:rsid wsp:val=&quot;00FE23DE&quot;/&gt;&lt;wsp:rsid wsp:val=&quot;00FF27B4&quot;/&gt;&lt;/wsp:rsids&gt;&lt;/w:docPr&gt;&lt;w:body&gt;&lt;wx:sect&gt;&lt;w:p wsp:rsidR=&quot;00000000&quot; wsp:rsidRDefault=&quot;005C0EE2&quot; wsp:rsidP=&quot;005C0EE2&quot;&gt;&lt;m:oMathPara&gt;&lt;m:oMath&gt;&lt;m:sSub&gt;&lt;m:sSubPr&gt;&lt;m:ctrlPr&gt;&lt;w:rPr&gt;&lt;w:rFonts w:ascii=&quot;Cambria Math&quot; w:fareast=&quot;绛夌嚎&quot; w:h-ansi=&quot;Cambria Math&quot;/&gt;&lt;wx:font wx:val=&quot;Cambria Math&quot;/&gt;&lt;w:i/&gt;&lt;w:kern w:val=&quot;0&quot;/&gt;&lt;w:sz w:val=&quot;24&quot;/&gt;&lt;w:sz-cs w:val=&quot;20&quot;/&gt;&lt;/w:rPr&gt;&lt;/m:ctrlPr&gt;&lt;/m:sSubPr&gt;&lt;m:e&gt;&lt;m:r&gt;&lt;w:rPr&gt;&lt;w:&lt;m:&lt;m:&lt;m:&lt;m:&lt;m:&lt;m:&lt;m:&lt;m:&lt;m:rFonts w:ascii=&quot;Cambria Math&quot; w:h-ansi=&quot;Cambria Math&quot;/&gt;&lt;wx:font wx:val=&quot;Cambria Math&quot;/&gt;&lt;w:i/&gt;&lt;w:sz w:val=&quot;24&quot;/&gt;&lt;w:sz-cs w:val=&quot;20&quot;/&gt;&lt;/w:rPr&gt;&lt;m:t&gt;E&lt;/m:t&gt;&lt;/m:r&gt;&lt;/m:e&gt;&lt;m:sub&gt;&lt;m:r&gt;&lt;w:rPr&gt;&lt;w:rFonts w:ascii=&quot;Cambria Math&quot; w:h-ansi=&quot;Cambria Math&quot;/&gt;&lt;wx:font wx:val=&quot;Cambria Math&quot;/&gt;&lt;w:i/&gt;&lt;w:sz w:val=&quot;24&quot;/&gt;&lt;w:sz-cs w:val=&quot;20&quot;/&gt;&lt;/w:rPr&gt;&lt;m:t&gt;3&lt;/m:t&gt;&lt;/m:r&gt;&lt;/m:sub&gt;&lt;/m:sSub&gt;&lt;m:r&gt;&lt;w:rPr&gt;&lt;w:rFonts w:ascii=&quot;Cambria Math&quot; w:h-ansi=&quot;Cambria Math&quot;/&gt;&lt;wx:font wx:val=&quot;Cambria Math&quot;/&gt;&lt;w:i/&gt;&lt;w:sz w:val=&quot;24&quot;/&gt;&lt;w:sz-cs w:val=&quot;20&quot;/&gt;&lt;/w:rPr&gt;&lt;m:t&gt;=&lt;/m:t&gt;&lt;/m:r&gt;&lt;m:acc&gt;&lt;m:accPr&gt;&lt;m:chr m:val=&quot;虆&quot;/&gt;&lt;m:ctrlPr&gt;&lt;w:rPr&gt;&lt;w:rFonts w:ascii=&quot;Cambria Math&quot; w:fareast=&quot;绛夌嚎&quot; w:h-ansi=&quot;Cambria Math&quot;/&gt;&lt;wx:font wx:val=&quot;Cambria Math&quot;/&gt;&lt;w:i/&gt;&lt;w:kern w:val=&quot;0&quot;/&gt;&lt;w:sz w:val=&quot;24&quot;/&gt;&lt;w:24&quot;/sz-/&gt;&lt;wcs w:szw:vz-csal=s w:&quot;20:val&quot;/&gt;l=&quot;2&lt;/w20&quot;/:rP/&gt;&lt;/r&gt;&lt;/m:ctrlPr&gt;&lt;/m:accPr&gt;&lt;m:e&gt;&lt;m:sSub&gt;&lt;m:sSubPr&gt;&lt;m:ctrlPr&gt;&lt;w:rPr&gt;&lt;w:rFonts w:ascii=&quot;Cambria Math&quot; w:fareast=&quot;绛夌嚎&quot; w:h-ansi=&quot;Cambria Math&quot;/&gt;&lt;wx:font wx:val=&quot;Cambria Math&quot;/&gt;&lt;w:i/&gt;&lt;w:kern w:val=&quot;0&quot;/&gt;&lt;w4&quot;/:sz w:v&gt;&lt;wal=&quot;24&quot;:sz/&gt;&lt;w:sz-cs-cs w:v w:al=&quot;20&quot;val/&gt;&lt;/w:r=&quot;2Pr&gt;&lt;/m:0&quot;/ctrlPr&gt;&gt;&lt;/&lt;/m:sSubPr&gt;&lt;m:e&gt;&lt;m:r&gt;&lt;w:rPr&gt;&lt;w:rFonts w:ascii=&quot;Cambria Math&quot; w:h-ansi=&quot;Cambria Math&quot;/&gt;&lt;wx:font wx:val=&quot;Cambria Math&quot;/&gt;&lt;w:i/&gt;&lt;w:sz w:val=&quot;24&quot;/&gt;&lt;w:sz-cs w:val=&quot;20&quot;/&gt;&lt;/w:rPr&gt;&lt;m:t&gt;e&lt;/m:t&gt;&lt;/m:r&gt;&lt;/m:e&gt;&lt;m:sub&gt;&lt;m:r&gt;&lt;w:rPr&gt;&lt;w:rFonts w:ascii=&quot;Cambria Math&quot; w:h-ansi=&quot;Cambria Math&quot;/&gt;&lt;wx:font wx:val=&quot;Cambria Math&quot;/&gt;&lt;w:i/&gt;&lt;/w:rPr&gt;&lt;m:t&gt;l&lt;/m:t&gt;&lt;/m:r&gt;&lt;/m:sub&gt;&lt;/m:sSub&gt;&lt;/m:e&gt;&lt;/m:acc&gt;&lt;m:r&gt;&lt;w:rPr&gt;&lt;w:rFonts w:ascii=&quot;Cambria Math&quot; w:h-ansi=&quot;Cambria Math&quot;/&gt;&lt;wx:font wx:val=&quot;Cambria Math&quot;/&gt;&lt;w:i/&gt;&lt;w:sz w:val=&quot;24&quot;/&gt;&lt;w:sz-cs w:val=&quot;20&quot;/&gt;&lt;/w:rPr&gt;&lt;m:t&gt;脳&lt;/m:t&gt;&lt;/m:r&gt;&lt;m:sSub&gt;&lt;m:sSubPr&gt;&lt;m:ctrlPr&gt;&lt;w:rPr&gt;&lt;w:rFonts w:ascii=&quot;Cambria Math&quot; w:fareast=&quot;绛夌嚎&quot; w:h-ansi=&quot;Cambria Math&quot;/&gt;&lt;wx:font wx:val=&quot;Cambria Math&quot;/&gt;ria &lt;w:i/&gt;&lt;w:k&gt;&lt;wxern w:val=wx:v&quot;0&quot;/&gt;&lt;w:szmbri w:val=&quot;24&quot;/&gt;&lt;&quot;/&gt;&lt;w:sz-cw:szs w:val=&quot;2=&quot;240&quot;/&gt;&lt;/w:rPsz-cr&gt;&lt;/m:ctrll=&quot;2Pr&gt;&lt;/m:sSubPr&gt;&lt;m:e&gt;&lt;m:r&gt;&lt;w:rPr&gt;&lt;w:rFonts w:ascii=&quot;Cambria Math&quot; w:h-ansi=&quot;Cambria Math&quot;/&gt;&lt;wx:font wx:val=&quot;Cambria Math&quot;/&gt;&lt;w:i/&gt;&lt;w:sz w:val=&quot;24&quot;/&gt;&lt;w:sz-cs w:val=&quot;20&quot;/&gt;&lt;/w:rPr&gt;&lt;m:t&gt;P&lt;/m:t&gt;&lt;/m:r&gt;&lt;/m:e&gt;&lt;m:sub&gt;&lt;m:r&gt;&lt;w:rPr&gt;&lt;w:rFonts w:ascii=&quot;Cambria Math&quot; w:h-ansi=&quot;Cambria Math&quot;/&gt;&lt;wx:font wx:val=&quot;Cambria Math&quot;/&gt;&lt;w:i/&gt;&lt;/w:rPr&gt;&lt;m:t&gt;l&lt;/m:t&gt;&lt;/m:r&gt;&lt;/m:sub&gt;&lt;/m:sSub&gt;&lt;m:r&gt;&lt;w:rPr&gt;&lt;w:rFonts w:ascii=&quot;Cambria Math&quot; w:h-ansi=&quot;Cambria Math&quot;/&gt;&lt;wx:font wx:val=&quot;Cambria Math&quot;/&gt;&lt;w:i/&gt;&lt;/w:rPr&gt;&lt;m:t&gt;/100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4" chromakey="#FFFFFF" o:title=""/>
            <o:lock v:ext="edit" aspectratio="t"/>
            <w10:wrap type="none"/>
            <w10:anchorlock/>
          </v:shape>
        </w:pict>
      </w:r>
      <w:r>
        <w:instrText xml:space="preserve"> </w:instrText>
      </w:r>
      <w:r>
        <w:fldChar w:fldCharType="separate"/>
      </w:r>
      <w:r>
        <w:pict>
          <v:shape id="_x0000_i1050" o:spt="75" type="#_x0000_t75" style="height:15.65pt;width:87.6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964E9&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393E&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16ACD&quot;/&gt;&lt;wsp:rsid wsp:val=&quot;00325926&quot;/&gt;&lt;wsp:rsid wsp:val=&quot;00327A8A&quot;/&gt;&lt;wsp:rsid wsp:val=&quot;003308A7&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E5CDF&quot;/&gt;&lt;wsp:rsid wsp:val=&quot;003F4EE0&quot;/&gt;&lt;wsp:rsid wsp:val=&quot;003F6E1F&quot;/&gt;&lt;wsp:rsid wsp:val=&quot;00401A68&quot;/&gt;&lt;wsp:rsid wsp:val=&quot;00402153&quot;/&gt;&lt;wsp:rsid wsp:val=&quot;00402333&quot;/&gt;&lt;wsp:rsid wsp:val=&quot;00402FC1&quot;/&gt;&lt;wsp:rsid wsp:val=&quot;004051D4&quot;/&gt;&lt;wsp:rsid wsp:val=&quot;00425082&quot;/&gt;&lt;wsp:rsid wsp:val=&quot;00426050&quot;/&gt;&lt;wsp:rsid wsp:val=&quot;00431DEB&quot;/&gt;&lt;wsp:rsid wsp:val=&quot;004420CB&quot;/&gt;&lt;wsp:rsid wsp:val=&quot;00445F14&quot;/&gt;&lt;wsp:rsid wsp:val=&quot;00446B29&quot;/&gt;&lt;wsp:rsid wsp:val=&quot;00453F9A&quot;/&gt;&lt;wsp:rsid wsp:val=&quot;00471920&quot;/&gt;&lt;wsp:rsid wsp:val=&quot;00471E91&quot;/&gt;&lt;wsp:rsid wsp:val=&quot;00474675&quot;/&gt;&lt;wsp:rsid wsp:val=&quot;0047470C&quot;/&gt;&lt;wsp:rsid wsp:val=&quot;004A35F9&quot;/&gt;&lt;wsp:rsid wsp:val=&quot;004B24C1&quot;/&gt;&lt;wsp:rsid wsp:val=&quot;004B2653&quot;/&gt;&lt;wsp:rsid wsp:val=&quot;004C292F&quot;/&gt;&lt;wsp:rsid wsp:val=&quot;004C3B1E&quot;/&gt;&lt;wsp:rsid wsp:val=&quot;004C5E70&quot;/&gt;&lt;wsp:rsid wsp:val=&quot;004E3B66&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63772&quot;/&gt;&lt;wsp:rsid wsp:val=&quot;005703DE&quot;/&gt;&lt;wsp:rsid wsp:val=&quot;005749D7&quot;/&gt;&lt;wsp:rsid wsp:val=&quot;0058464E&quot;/&gt;&lt;wsp:rsid wsp:val=&quot;00596FF1&quot;/&gt;&lt;wsp:rsid wsp:val=&quot;005A01CB&quot;/&gt;&lt;wsp:rsid wsp:val=&quot;005A58FF&quot;/&gt;&lt;wsp:rsid wsp:val=&quot;005A5EAF&quot;/&gt;&lt;wsp:rsid wsp:val=&quot;005A64C0&quot;/&gt;&lt;wsp:rsid wsp:val=&quot;005B3C11&quot;/&gt;&lt;wsp:rsid wsp:val=&quot;005C0EE2&quot;/&gt;&lt;wsp:rsid wsp:val=&quot;005C184A&quot;/&gt;&lt;wsp:rsid wsp:val=&quot;005C1C28&quot;/&gt;&lt;wsp:rsid wsp:val=&quot;005C64AD&quot;/&gt;&lt;wsp:rsid wsp:val=&quot;005C6DB5&quot;/&gt;&lt;wsp:rsid wsp:val=&quot;005C7A7A&quot;/&gt;&lt;wsp:rsid wsp:val=&quot;005E19E7&quot;/&gt;&lt;wsp:rsid wsp:val=&quot;006039C3&quot;/&gt;&lt;wsp:rsid wsp:val=&quot;0061716C&quot;/&gt;&lt;wsp:rsid wsp:val=&quot;00620599&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72A9E&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05F3&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078D&quot;/&gt;&lt;wsp:rsid wsp:val=&quot;00724EFB&quot;/&gt;&lt;wsp:rsid wsp:val=&quot;0073259A&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29CE&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6726F&quot;/&gt;&lt;wsp:rsid wsp:val=&quot;0087198C&quot;/&gt;&lt;wsp:rsid wsp:val=&quot;00872C1F&quot;/&gt;&lt;wsp:rsid wsp:val=&quot;00873B42&quot;/&gt;&lt;wsp:rsid wsp:val=&quot;008856D8&quot;/&gt;&lt;wsp:rsid wsp:val=&quot;00892E82&quot;/&gt;&lt;wsp:rsid wsp:val=&quot;008B6A53&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48CE&quot;/&gt;&lt;wsp:rsid wsp:val=&quot;00927058&quot;/&gt;&lt;wsp:rsid wsp:val=&quot;009279DE&quot;/&gt;&lt;wsp:rsid wsp:val=&quot;00930116&quot;/&gt;&lt;wsp:rsid wsp:val=&quot;0094212C&quot;/&gt;&lt;wsp:rsid wsp:val=&quot;00942905&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4F3D&quot;/&gt;&lt;wsp:rsid wsp:val=&quot;00AA7A09&quot;/&gt;&lt;wsp:rsid wsp:val=&quot;00AB3B50&quot;/&gt;&lt;wsp:rsid wsp:val=&quot;00AC05B1&quot;/&gt;&lt;wsp:rsid wsp:val=&quot;00AD356C&quot;/&gt;&lt;wsp:rsid wsp:val=&quot;00AE0B3A&quot;/&gt;&lt;wsp:rsid wsp:val=&quot;00AE2914&quot;/&gt;&lt;wsp:rsid wsp:val=&quot;00AE6D15&quot;/&gt;&lt;wsp:rsid wsp:val=&quot;00AF31FA&quot;/&gt;&lt;wsp:rsid wsp:val=&quot;00AF6C5D&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20F4&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4B55&quot;/&gt;&lt;wsp:rsid wsp:val=&quot;00CC58D3&quot;/&gt;&lt;wsp:rsid wsp:val=&quot;00CC5CF5&quot;/&gt;&lt;wsp:rsid wsp:val=&quot;00CC784D&quot;/&gt;&lt;wsp:rsid wsp:val=&quot;00CE2364&quot;/&gt;&lt;wsp:rsid wsp:val=&quot;00D0337B&quot;/&gt;&lt;wsp:rsid wsp:val=&quot;00D03480&quot;/&gt;&lt;wsp:rsid wsp:val=&quot;00D079B2&quot;/&gt;&lt;wsp:rsid wsp:val=&quot;00D111A5&quot;/&gt;&lt;wsp:rsid wsp:val=&quot;00D114E9&quot;/&gt;&lt;wsp:rsid wsp:val=&quot;00D429C6&quot;/&gt;&lt;wsp:rsid wsp:val=&quot;00D44190&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96BEF&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E68AC&quot;/&gt;&lt;wsp:rsid wsp:val=&quot;00DF21E9&quot;/&gt;&lt;wsp:rsid wsp:val=&quot;00E00F14&quot;/&gt;&lt;wsp:rsid wsp:val=&quot;00E06386&quot;/&gt;&lt;wsp:rsid wsp:val=&quot;00E1559C&quot;/&gt;&lt;wsp:rsid wsp:val=&quot;00E24EB4&quot;/&gt;&lt;wsp:rsid wsp:val=&quot;00E320ED&quot;/&gt;&lt;wsp:rsid wsp:val=&quot;00E33AFB&quot;/&gt;&lt;wsp:rsid wsp:val=&quot;00E34218&quot;/&gt;&lt;wsp:rsid wsp:val=&quot;00E46282&quot;/&gt;&lt;wsp:rsid wsp:val=&quot;00E5216E&quot;/&gt;&lt;wsp:rsid wsp:val=&quot;00E54CA1&quot;/&gt;&lt;wsp:rsid wsp:val=&quot;00E708D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63B1A&quot;/&gt;&lt;wsp:rsid wsp:val=&quot;00F81D29&quot;/&gt;&lt;wsp:rsid wsp:val=&quot;00F91C4D&quot;/&gt;&lt;wsp:rsid wsp:val=&quot;00F92FD9&quot;/&gt;&lt;wsp:rsid wsp:val=&quot;00FA6684&quot;/&gt;&lt;wsp:rsid wsp:val=&quot;00FA731E&quot;/&gt;&lt;wsp:rsid wsp:val=&quot;00FB05EB&quot;/&gt;&lt;wsp:rsid wsp:val=&quot;00FB2B38&quot;/&gt;&lt;wsp:rsid wsp:val=&quot;00FC4AFB&quot;/&gt;&lt;wsp:rsid wsp:val=&quot;00FC6358&quot;/&gt;&lt;wsp:rsid wsp:val=&quot;00FD320D&quot;/&gt;&lt;wsp:rsid wsp:val=&quot;00FE23DE&quot;/&gt;&lt;wsp:rsid wsp:val=&quot;00FF27B4&quot;/&gt;&lt;/wsp:rsids&gt;&lt;/w:docPr&gt;&lt;w:body&gt;&lt;wx:sect&gt;&lt;w:p wsp:rsidR=&quot;00000000&quot; wsp:rsidRDefault=&quot;005C0EE2&quot; wsp:rsidP=&quot;005C0EE2&quot;&gt;&lt;m:oMathPara&gt;&lt;m:oMath&gt;&lt;m:sSub&gt;&lt;m:sSubPr&gt;&lt;m:ctrlPr&gt;&lt;w:rPr&gt;&lt;w:rFonts w:ascii=&quot;Cambria Math&quot; w:fareast=&quot;绛夌嚎&quot; w:h-ansi=&quot;Cambria Math&quot;/&gt;&lt;wx:font wx:val=&quot;Cambria Math&quot;/&gt;&lt;w:i/&gt;&lt;w:kern w:val=&quot;0&quot;/&gt;&lt;w:sz w:val=&quot;24&quot;/&gt;&lt;w:sz-cs w:val=&quot;20&quot;/&gt;&lt;/w:rPr&gt;&lt;/m:ctrlPr&gt;&lt;/m:sSubPr&gt;&lt;m:e&gt;&lt;m:r&gt;&lt;w:rPr&gt;&lt;w:&lt;m:&lt;m:&lt;m:&lt;m:&lt;m:&lt;m:&lt;m:&lt;m:&lt;m:rFonts w:ascii=&quot;Cambria Math&quot; w:h-ansi=&quot;Cambria Math&quot;/&gt;&lt;wx:font wx:val=&quot;Cambria Math&quot;/&gt;&lt;w:i/&gt;&lt;w:sz w:val=&quot;24&quot;/&gt;&lt;w:sz-cs w:val=&quot;20&quot;/&gt;&lt;/w:rPr&gt;&lt;m:t&gt;E&lt;/m:t&gt;&lt;/m:r&gt;&lt;/m:e&gt;&lt;m:sub&gt;&lt;m:r&gt;&lt;w:rPr&gt;&lt;w:rFonts w:ascii=&quot;Cambria Math&quot; w:h-ansi=&quot;Cambria Math&quot;/&gt;&lt;wx:font wx:val=&quot;Cambria Math&quot;/&gt;&lt;w:i/&gt;&lt;w:sz w:val=&quot;24&quot;/&gt;&lt;w:sz-cs w:val=&quot;20&quot;/&gt;&lt;/w:rPr&gt;&lt;m:t&gt;3&lt;/m:t&gt;&lt;/m:r&gt;&lt;/m:sub&gt;&lt;/m:sSub&gt;&lt;m:r&gt;&lt;w:rPr&gt;&lt;w:rFonts w:ascii=&quot;Cambria Math&quot; w:h-ansi=&quot;Cambria Math&quot;/&gt;&lt;wx:font wx:val=&quot;Cambria Math&quot;/&gt;&lt;w:i/&gt;&lt;w:sz w:val=&quot;24&quot;/&gt;&lt;w:sz-cs w:val=&quot;20&quot;/&gt;&lt;/w:rPr&gt;&lt;m:t&gt;=&lt;/m:t&gt;&lt;/m:r&gt;&lt;m:acc&gt;&lt;m:accPr&gt;&lt;m:chr m:val=&quot;虆&quot;/&gt;&lt;m:ctrlPr&gt;&lt;w:rPr&gt;&lt;w:rFonts w:ascii=&quot;Cambria Math&quot; w:fareast=&quot;绛夌嚎&quot; w:h-ansi=&quot;Cambria Math&quot;/&gt;&lt;wx:font wx:val=&quot;Cambria Math&quot;/&gt;&lt;w:i/&gt;&lt;w:kern w:val=&quot;0&quot;/&gt;&lt;w:sz w:val=&quot;24&quot;/&gt;&lt;w:24&quot;/sz-/&gt;&lt;wcs w:szw:vz-csal=s w:&quot;20:val&quot;/&gt;l=&quot;2&lt;/w20&quot;/:rP/&gt;&lt;/r&gt;&lt;/m:ctrlPr&gt;&lt;/m:accPr&gt;&lt;m:e&gt;&lt;m:sSub&gt;&lt;m:sSubPr&gt;&lt;m:ctrlPr&gt;&lt;w:rPr&gt;&lt;w:rFonts w:ascii=&quot;Cambria Math&quot; w:fareast=&quot;绛夌嚎&quot; w:h-ansi=&quot;Cambria Math&quot;/&gt;&lt;wx:font wx:val=&quot;Cambria Math&quot;/&gt;&lt;w:i/&gt;&lt;w:kern w:val=&quot;0&quot;/&gt;&lt;w4&quot;/:sz w:v&gt;&lt;wal=&quot;24&quot;:sz/&gt;&lt;w:sz-cs-cs w:v w:al=&quot;20&quot;val/&gt;&lt;/w:r=&quot;2Pr&gt;&lt;/m:0&quot;/ctrlPr&gt;&gt;&lt;/&lt;/m:sSubPr&gt;&lt;m:e&gt;&lt;m:r&gt;&lt;w:rPr&gt;&lt;w:rFonts w:ascii=&quot;Cambria Math&quot; w:h-ansi=&quot;Cambria Math&quot;/&gt;&lt;wx:font wx:val=&quot;Cambria Math&quot;/&gt;&lt;w:i/&gt;&lt;w:sz w:val=&quot;24&quot;/&gt;&lt;w:sz-cs w:val=&quot;20&quot;/&gt;&lt;/w:rPr&gt;&lt;m:t&gt;e&lt;/m:t&gt;&lt;/m:r&gt;&lt;/m:e&gt;&lt;m:sub&gt;&lt;m:r&gt;&lt;w:rPr&gt;&lt;w:rFonts w:ascii=&quot;Cambria Math&quot; w:h-ansi=&quot;Cambria Math&quot;/&gt;&lt;wx:font wx:val=&quot;Cambria Math&quot;/&gt;&lt;w:i/&gt;&lt;/w:rPr&gt;&lt;m:t&gt;l&lt;/m:t&gt;&lt;/m:r&gt;&lt;/m:sub&gt;&lt;/m:sSub&gt;&lt;/m:e&gt;&lt;/m:acc&gt;&lt;m:r&gt;&lt;w:rPr&gt;&lt;w:rFonts w:ascii=&quot;Cambria Math&quot; w:h-ansi=&quot;Cambria Math&quot;/&gt;&lt;wx:font wx:val=&quot;Cambria Math&quot;/&gt;&lt;w:i/&gt;&lt;w:sz w:val=&quot;24&quot;/&gt;&lt;w:sz-cs w:val=&quot;20&quot;/&gt;&lt;/w:rPr&gt;&lt;m:t&gt;脳&lt;/m:t&gt;&lt;/m:r&gt;&lt;m:sSub&gt;&lt;m:sSubPr&gt;&lt;m:ctrlPr&gt;&lt;w:rPr&gt;&lt;w:rFonts w:ascii=&quot;Cambria Math&quot; w:fareast=&quot;绛夌嚎&quot; w:h-ansi=&quot;Cambria Math&quot;/&gt;&lt;wx:font wx:val=&quot;Cambria Math&quot;/&gt;ria &lt;w:i/&gt;&lt;w:k&gt;&lt;wxern w:val=wx:v&quot;0&quot;/&gt;&lt;w:szmbri w:val=&quot;24&quot;/&gt;&lt;&quot;/&gt;&lt;w:sz-cw:szs w:val=&quot;2=&quot;240&quot;/&gt;&lt;/w:rPsz-cr&gt;&lt;/m:ctrll=&quot;2Pr&gt;&lt;/m:sSubPr&gt;&lt;m:e&gt;&lt;m:r&gt;&lt;w:rPr&gt;&lt;w:rFonts w:ascii=&quot;Cambria Math&quot; w:h-ansi=&quot;Cambria Math&quot;/&gt;&lt;wx:font wx:val=&quot;Cambria Math&quot;/&gt;&lt;w:i/&gt;&lt;w:sz w:val=&quot;24&quot;/&gt;&lt;w:sz-cs w:val=&quot;20&quot;/&gt;&lt;/w:rPr&gt;&lt;m:t&gt;P&lt;/m:t&gt;&lt;/m:r&gt;&lt;/m:e&gt;&lt;m:sub&gt;&lt;m:r&gt;&lt;w:rPr&gt;&lt;w:rFonts w:ascii=&quot;Cambria Math&quot; w:h-ansi=&quot;Cambria Math&quot;/&gt;&lt;wx:font wx:val=&quot;Cambria Math&quot;/&gt;&lt;w:i/&gt;&lt;/w:rPr&gt;&lt;m:t&gt;l&lt;/m:t&gt;&lt;/m:r&gt;&lt;/m:sub&gt;&lt;/m:sSub&gt;&lt;m:r&gt;&lt;w:rPr&gt;&lt;w:rFonts w:ascii=&quot;Cambria Math&quot; w:h-ansi=&quot;Cambria Math&quot;/&gt;&lt;wx:font wx:val=&quot;Cambria Math&quot;/&gt;&lt;w:i/&gt;&lt;/w:rPr&gt;&lt;m:t&gt;/100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4" chromakey="#FFFFFF" o:title=""/>
            <o:lock v:ext="edit" aspectratio="t"/>
            <w10:wrap type="none"/>
            <w10:anchorlock/>
          </v:shape>
        </w:pict>
      </w:r>
      <w:r>
        <w:fldChar w:fldCharType="end"/>
      </w:r>
      <w:r>
        <w:rPr>
          <w:rFonts w:hint="eastAsia"/>
        </w:rPr>
        <w:t xml:space="preserve"> </w:t>
      </w:r>
      <w:r>
        <w:t xml:space="preserve">                  </w:t>
      </w:r>
      <w:r>
        <w:rPr>
          <w:rFonts w:hint="eastAsia"/>
        </w:rPr>
        <w:t>（3）</w:t>
      </w:r>
    </w:p>
    <w:p w14:paraId="6045C01A">
      <w:pPr>
        <w:ind w:firstLine="560"/>
      </w:pPr>
      <w:r>
        <w:rPr>
          <w:rFonts w:hint="eastAsia"/>
        </w:rPr>
        <w:t>式中：</w:t>
      </w:r>
    </w:p>
    <w:p w14:paraId="6EE78C2B">
      <w:pPr>
        <w:ind w:firstLine="440"/>
      </w:pPr>
      <m:oMath>
        <m:sSub>
          <m:sSubPr>
            <m:ctrlPr>
              <w:rPr>
                <w:rFonts w:ascii="Cambria Math" w:hAnsi="Cambria Math"/>
                <w:sz w:val="22"/>
                <w:szCs w:val="16"/>
              </w:rPr>
            </m:ctrlPr>
          </m:sSubPr>
          <m:e>
            <m:r>
              <m:rPr/>
              <w:rPr>
                <w:rFonts w:ascii="Cambria Math" w:hAnsi="Cambria Math"/>
                <w:sz w:val="22"/>
                <w:szCs w:val="16"/>
              </w:rPr>
              <m:t>E</m:t>
            </m:r>
            <m:ctrlPr>
              <w:rPr>
                <w:rFonts w:ascii="Cambria Math" w:hAnsi="Cambria Math"/>
                <w:sz w:val="22"/>
                <w:szCs w:val="16"/>
              </w:rPr>
            </m:ctrlPr>
          </m:e>
          <m:sub>
            <m:r>
              <m:rPr>
                <m:sty m:val="p"/>
              </m:rPr>
              <w:rPr>
                <w:rFonts w:ascii="Cambria Math" w:hAnsi="Cambria Math"/>
                <w:sz w:val="22"/>
                <w:szCs w:val="16"/>
              </w:rPr>
              <m:t>3</m:t>
            </m:r>
            <m:ctrlPr>
              <w:rPr>
                <w:rFonts w:ascii="Cambria Math" w:hAnsi="Cambria Math"/>
                <w:sz w:val="22"/>
                <w:szCs w:val="16"/>
              </w:rPr>
            </m:ctrlPr>
          </m:sub>
        </m:sSub>
      </m:oMath>
      <w:r>
        <w:t xml:space="preserve"> </w:t>
      </w:r>
      <w:r>
        <w:rPr>
          <w:rFonts w:hint="eastAsia"/>
        </w:rPr>
        <w:t>——某工业企业的低品位余热总量，单位为吉焦每年（GJ</w:t>
      </w:r>
      <w:r>
        <w:t>/</w:t>
      </w:r>
      <w:r>
        <w:rPr>
          <w:rFonts w:hint="eastAsia"/>
        </w:rPr>
        <w:t>a）；</w:t>
      </w:r>
    </w:p>
    <w:p w14:paraId="43F94EF3">
      <w:pPr>
        <w:ind w:firstLine="560"/>
      </w:pPr>
      <w:r>
        <w:fldChar w:fldCharType="begin"/>
      </w:r>
      <w:r>
        <w:instrText xml:space="preserve"> QUOTE </w:instrText>
      </w:r>
      <w:r>
        <w:pict>
          <v:shape id="_x0000_i1051" o:spt="75" type="#_x0000_t75" style="height:15.65pt;width:8.7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964E9&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393E&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16ACD&quot;/&gt;&lt;wsp:rsid wsp:val=&quot;00325926&quot;/&gt;&lt;wsp:rsid wsp:val=&quot;00327A8A&quot;/&gt;&lt;wsp:rsid wsp:val=&quot;003308A7&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E5CDF&quot;/&gt;&lt;wsp:rsid wsp:val=&quot;003F4EE0&quot;/&gt;&lt;wsp:rsid wsp:val=&quot;003F6E1F&quot;/&gt;&lt;wsp:rsid wsp:val=&quot;00401A68&quot;/&gt;&lt;wsp:rsid wsp:val=&quot;00402153&quot;/&gt;&lt;wsp:rsid wsp:val=&quot;00402333&quot;/&gt;&lt;wsp:rsid wsp:val=&quot;00402FC1&quot;/&gt;&lt;wsp:rsid wsp:val=&quot;004051D4&quot;/&gt;&lt;wsp:rsid wsp:val=&quot;00425082&quot;/&gt;&lt;wsp:rsid wsp:val=&quot;00426050&quot;/&gt;&lt;wsp:rsid wsp:val=&quot;00431DEB&quot;/&gt;&lt;wsp:rsid wsp:val=&quot;004420CB&quot;/&gt;&lt;wsp:rsid wsp:val=&quot;00445F14&quot;/&gt;&lt;wsp:rsid wsp:val=&quot;00446B29&quot;/&gt;&lt;wsp:rsid wsp:val=&quot;00453F9A&quot;/&gt;&lt;wsp:rsid wsp:val=&quot;00471920&quot;/&gt;&lt;wsp:rsid wsp:val=&quot;00471E91&quot;/&gt;&lt;wsp:rsid wsp:val=&quot;00474675&quot;/&gt;&lt;wsp:rsid wsp:val=&quot;0047470C&quot;/&gt;&lt;wsp:rsid wsp:val=&quot;004A35F9&quot;/&gt;&lt;wsp:rsid wsp:val=&quot;004B24C1&quot;/&gt;&lt;wsp:rsid wsp:val=&quot;004B2653&quot;/&gt;&lt;wsp:rsid wsp:val=&quot;004C292F&quot;/&gt;&lt;wsp:rsid wsp:val=&quot;004C3B1E&quot;/&gt;&lt;wsp:rsid wsp:val=&quot;004C5E70&quot;/&gt;&lt;wsp:rsid wsp:val=&quot;004E3B66&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63772&quot;/&gt;&lt;wsp:rsid wsp:val=&quot;005703DE&quot;/&gt;&lt;wsp:rsid wsp:val=&quot;005749D7&quot;/&gt;&lt;wsp:rsid wsp:val=&quot;0058464E&quot;/&gt;&lt;wsp:rsid wsp:val=&quot;00596FF1&quot;/&gt;&lt;wsp:rsid wsp:val=&quot;005A01CB&quot;/&gt;&lt;wsp:rsid wsp:val=&quot;005A58FF&quot;/&gt;&lt;wsp:rsid wsp:val=&quot;005A5EAF&quot;/&gt;&lt;wsp:rsid wsp:val=&quot;005A64C0&quot;/&gt;&lt;wsp:rsid wsp:val=&quot;005B3C11&quot;/&gt;&lt;wsp:rsid wsp:val=&quot;005C184A&quot;/&gt;&lt;wsp:rsid wsp:val=&quot;005C1C28&quot;/&gt;&lt;wsp:rsid wsp:val=&quot;005C64AD&quot;/&gt;&lt;wsp:rsid wsp:val=&quot;005C6DB5&quot;/&gt;&lt;wsp:rsid wsp:val=&quot;005C7A7A&quot;/&gt;&lt;wsp:rsid wsp:val=&quot;005E19E7&quot;/&gt;&lt;wsp:rsid wsp:val=&quot;006039C3&quot;/&gt;&lt;wsp:rsid wsp:val=&quot;0061716C&quot;/&gt;&lt;wsp:rsid wsp:val=&quot;00620599&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72A9E&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078D&quot;/&gt;&lt;wsp:rsid wsp:val=&quot;00724EFB&quot;/&gt;&lt;wsp:rsid wsp:val=&quot;0073259A&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29CE&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6726F&quot;/&gt;&lt;wsp:rsid wsp:val=&quot;0087198C&quot;/&gt;&lt;wsp:rsid wsp:val=&quot;00872C1F&quot;/&gt;&lt;wsp:rsid wsp:val=&quot;00873B42&quot;/&gt;&lt;wsp:rsid wsp:val=&quot;008856D8&quot;/&gt;&lt;wsp:rsid wsp:val=&quot;00892E82&quot;/&gt;&lt;wsp:rsid wsp:val=&quot;008B6A53&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48CE&quot;/&gt;&lt;wsp:rsid wsp:val=&quot;009279DE&quot;/&gt;&lt;wsp:rsid wsp:val=&quot;00930116&quot;/&gt;&lt;wsp:rsid wsp:val=&quot;0094212C&quot;/&gt;&lt;wsp:rsid wsp:val=&quot;00942905&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4F3D&quot;/&gt;&lt;wsp:rsid wsp:val=&quot;00AA7A09&quot;/&gt;&lt;wsp:rsid wsp:val=&quot;00AB3B50&quot;/&gt;&lt;wsp:rsid wsp:val=&quot;00AC05B1&quot;/&gt;&lt;wsp:rsid wsp:val=&quot;00AD356C&quot;/&gt;&lt;wsp:rsid wsp:val=&quot;00AE0B3A&quot;/&gt;&lt;wsp:rsid wsp:val=&quot;00AE2914&quot;/&gt;&lt;wsp:rsid wsp:val=&quot;00AE6D15&quot;/&gt;&lt;wsp:rsid wsp:val=&quot;00AF31FA&quot;/&gt;&lt;wsp:rsid wsp:val=&quot;00AF6C5D&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20F4&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4B55&quot;/&gt;&lt;wsp:rsid wsp:val=&quot;00CC58D3&quot;/&gt;&lt;wsp:rsid wsp:val=&quot;00CC5CF5&quot;/&gt;&lt;wsp:rsid wsp:val=&quot;00CC784D&quot;/&gt;&lt;wsp:rsid wsp:val=&quot;00CE2364&quot;/&gt;&lt;wsp:rsid wsp:val=&quot;00D0337B&quot;/&gt;&lt;wsp:rsid wsp:val=&quot;00D03480&quot;/&gt;&lt;wsp:rsid wsp:val=&quot;00D079B2&quot;/&gt;&lt;wsp:rsid wsp:val=&quot;00D111A5&quot;/&gt;&lt;wsp:rsid wsp:val=&quot;00D114E9&quot;/&gt;&lt;wsp:rsid wsp:val=&quot;00D429C6&quot;/&gt;&lt;wsp:rsid wsp:val=&quot;00D44190&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96BEF&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E68AC&quot;/&gt;&lt;wsp:rsid wsp:val=&quot;00DF21E9&quot;/&gt;&lt;wsp:rsid wsp:val=&quot;00E00F14&quot;/&gt;&lt;wsp:rsid wsp:val=&quot;00E06386&quot;/&gt;&lt;wsp:rsid wsp:val=&quot;00E1559C&quot;/&gt;&lt;wsp:rsid wsp:val=&quot;00E24EB4&quot;/&gt;&lt;wsp:rsid wsp:val=&quot;00E320ED&quot;/&gt;&lt;wsp:rsid wsp:val=&quot;00E33AFB&quot;/&gt;&lt;wsp:rsid wsp:val=&quot;00E34218&quot;/&gt;&lt;wsp:rsid wsp:val=&quot;00E46282&quot;/&gt;&lt;wsp:rsid wsp:val=&quot;00E5216E&quot;/&gt;&lt;wsp:rsid wsp:val=&quot;00E54CA1&quot;/&gt;&lt;wsp:rsid wsp:val=&quot;00E708D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35D9&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63B1A&quot;/&gt;&lt;wsp:rsid wsp:val=&quot;00F81D29&quot;/&gt;&lt;wsp:rsid wsp:val=&quot;00F91C4D&quot;/&gt;&lt;wsp:rsid wsp:val=&quot;00F92FD9&quot;/&gt;&lt;wsp:rsid wsp:val=&quot;00FA6684&quot;/&gt;&lt;wsp:rsid wsp:val=&quot;00FA731E&quot;/&gt;&lt;wsp:rsid wsp:val=&quot;00FB05EB&quot;/&gt;&lt;wsp:rsid wsp:val=&quot;00FB2B38&quot;/&gt;&lt;wsp:rsid wsp:val=&quot;00FC4AFB&quot;/&gt;&lt;wsp:rsid wsp:val=&quot;00FC6358&quot;/&gt;&lt;wsp:rsid wsp:val=&quot;00FD320D&quot;/&gt;&lt;wsp:rsid wsp:val=&quot;00FE23DE&quot;/&gt;&lt;wsp:rsid wsp:val=&quot;00FF27B4&quot;/&gt;&lt;/wsp:rsids&gt;&lt;/w:docPr&gt;&lt;w:body&gt;&lt;wx:sect&gt;&lt;w:p wsp:rsidR=&quot;00000000&quot; wsp:rsidRDefault=&quot;00EB35D9&quot; wsp:rsidP=&quot;00EB35D9&quot;&gt;&lt;m:oMathPara&gt;&lt;m:oMath&gt;&lt;m:acc&gt;&lt;m:accPr&gt;&lt;m:chr m:val=&quot;虆&quot;/&gt;&lt;m:ctrlPr&gt;&lt;w:rPr&gt;&lt;w:rFonts wppppppppp:ascii=&quot;Cambria Math&quot; w:fareast=&quot;绛夌嚎&quot; w:h-ansi=&quot;Cambria Math&quot;/&gt;&lt;wx:font wx:val=&quot;Cambria Math&quot;/&gt;&lt;w:i/&gt;&lt;w:kern w:val=&quot;0&quot;/&gt;&lt;w:sz w:val=&quot;24&quot;/&gt;&lt;w:sz-cs w:val=&quot;20&quot;/&gt;&lt;/w:rPr&gt;&lt;/m:ctrlPr&gt;&lt;/m:accPr&gt;&lt;m:e&gt;&lt;m:sSub&gt;&lt;m:sSubPr&gt;&lt;m:ctrlPr&gt;&lt;w:rPr&gt;&lt;w:rFonts w:asci wpi wp= wp&quot; wpC wpa wpm wpb wpr wpia Math&quot; w:fareast=&quot;绛夌嚎&quot; w:h-ansi=&quot;Cambria Math&quot;/&gt;&lt;wx:font wx:val=&quot;Cambria Math&quot;/&gt;&lt;w:i/&gt;&lt;w:kern w:val=&quot;0&quot;/&gt;&lt;w:sz w:val=&quot;24&quot;/&gt;&lt;w:sz-cs w:val=&quot;20&quot;/&gt;&lt;/w:rPr&gt;&lt;/m:ctrlPr&gt;&lt;/m:sSubPr&gt;&lt;m:e&gt;&lt;m:r&gt;&lt;w:rPr&gt;&lt;w:rFonts w:ascii=&quot;Cambria  wpMath wp&quot; w: wph-an wpsi=&quot; wpCamb wpria  wpMath wp&quot;/&gt;&lt; wpwx:font wx:val=&quot;Cambria Math&quot;/&gt;&lt;w:i/&gt;&lt;w:sz w:val=&quot;24&quot;/&gt;&lt;/w:rPr&gt;&lt;m:t&gt;e&lt;/m:t&gt;&lt;/m:r&gt;&lt;/m:e&gt;&lt;m:sub&gt;&lt;m:r&gt;&lt;w:rPr&gt;&lt;w:rFonts w:ascii=&quot;Cambria Math&quot; w:h-ansi=&quot;Cambria Math&quot;/&gt;&lt;wx:font wx:val=&quot;Cambria Math&quot;/&gt;&lt;w:i/&gt;&lt;/w:rPr&gt;&lt;m:t&gt;l&lt;/m:t&gt;&lt;/m:r&gt;&lt;/m:sub&gt;&lt;/m:sSub&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r>
        <w:instrText xml:space="preserve"> </w:instrText>
      </w:r>
      <w:r>
        <w:fldChar w:fldCharType="separate"/>
      </w:r>
      <w:r>
        <w:pict>
          <v:shape id="_x0000_i1052" o:spt="75" type="#_x0000_t75" style="height:15.65pt;width:8.7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964E9&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393E&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16ACD&quot;/&gt;&lt;wsp:rsid wsp:val=&quot;00325926&quot;/&gt;&lt;wsp:rsid wsp:val=&quot;00327A8A&quot;/&gt;&lt;wsp:rsid wsp:val=&quot;003308A7&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E5CDF&quot;/&gt;&lt;wsp:rsid wsp:val=&quot;003F4EE0&quot;/&gt;&lt;wsp:rsid wsp:val=&quot;003F6E1F&quot;/&gt;&lt;wsp:rsid wsp:val=&quot;00401A68&quot;/&gt;&lt;wsp:rsid wsp:val=&quot;00402153&quot;/&gt;&lt;wsp:rsid wsp:val=&quot;00402333&quot;/&gt;&lt;wsp:rsid wsp:val=&quot;00402FC1&quot;/&gt;&lt;wsp:rsid wsp:val=&quot;004051D4&quot;/&gt;&lt;wsp:rsid wsp:val=&quot;00425082&quot;/&gt;&lt;wsp:rsid wsp:val=&quot;00426050&quot;/&gt;&lt;wsp:rsid wsp:val=&quot;00431DEB&quot;/&gt;&lt;wsp:rsid wsp:val=&quot;004420CB&quot;/&gt;&lt;wsp:rsid wsp:val=&quot;00445F14&quot;/&gt;&lt;wsp:rsid wsp:val=&quot;00446B29&quot;/&gt;&lt;wsp:rsid wsp:val=&quot;00453F9A&quot;/&gt;&lt;wsp:rsid wsp:val=&quot;00471920&quot;/&gt;&lt;wsp:rsid wsp:val=&quot;00471E91&quot;/&gt;&lt;wsp:rsid wsp:val=&quot;00474675&quot;/&gt;&lt;wsp:rsid wsp:val=&quot;0047470C&quot;/&gt;&lt;wsp:rsid wsp:val=&quot;004A35F9&quot;/&gt;&lt;wsp:rsid wsp:val=&quot;004B24C1&quot;/&gt;&lt;wsp:rsid wsp:val=&quot;004B2653&quot;/&gt;&lt;wsp:rsid wsp:val=&quot;004C292F&quot;/&gt;&lt;wsp:rsid wsp:val=&quot;004C3B1E&quot;/&gt;&lt;wsp:rsid wsp:val=&quot;004C5E70&quot;/&gt;&lt;wsp:rsid wsp:val=&quot;004E3B66&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63772&quot;/&gt;&lt;wsp:rsid wsp:val=&quot;005703DE&quot;/&gt;&lt;wsp:rsid wsp:val=&quot;005749D7&quot;/&gt;&lt;wsp:rsid wsp:val=&quot;0058464E&quot;/&gt;&lt;wsp:rsid wsp:val=&quot;00596FF1&quot;/&gt;&lt;wsp:rsid wsp:val=&quot;005A01CB&quot;/&gt;&lt;wsp:rsid wsp:val=&quot;005A58FF&quot;/&gt;&lt;wsp:rsid wsp:val=&quot;005A5EAF&quot;/&gt;&lt;wsp:rsid wsp:val=&quot;005A64C0&quot;/&gt;&lt;wsp:rsid wsp:val=&quot;005B3C11&quot;/&gt;&lt;wsp:rsid wsp:val=&quot;005C184A&quot;/&gt;&lt;wsp:rsid wsp:val=&quot;005C1C28&quot;/&gt;&lt;wsp:rsid wsp:val=&quot;005C64AD&quot;/&gt;&lt;wsp:rsid wsp:val=&quot;005C6DB5&quot;/&gt;&lt;wsp:rsid wsp:val=&quot;005C7A7A&quot;/&gt;&lt;wsp:rsid wsp:val=&quot;005E19E7&quot;/&gt;&lt;wsp:rsid wsp:val=&quot;006039C3&quot;/&gt;&lt;wsp:rsid wsp:val=&quot;0061716C&quot;/&gt;&lt;wsp:rsid wsp:val=&quot;00620599&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72A9E&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078D&quot;/&gt;&lt;wsp:rsid wsp:val=&quot;00724EFB&quot;/&gt;&lt;wsp:rsid wsp:val=&quot;0073259A&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29CE&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6726F&quot;/&gt;&lt;wsp:rsid wsp:val=&quot;0087198C&quot;/&gt;&lt;wsp:rsid wsp:val=&quot;00872C1F&quot;/&gt;&lt;wsp:rsid wsp:val=&quot;00873B42&quot;/&gt;&lt;wsp:rsid wsp:val=&quot;008856D8&quot;/&gt;&lt;wsp:rsid wsp:val=&quot;00892E82&quot;/&gt;&lt;wsp:rsid wsp:val=&quot;008B6A53&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48CE&quot;/&gt;&lt;wsp:rsid wsp:val=&quot;009279DE&quot;/&gt;&lt;wsp:rsid wsp:val=&quot;00930116&quot;/&gt;&lt;wsp:rsid wsp:val=&quot;0094212C&quot;/&gt;&lt;wsp:rsid wsp:val=&quot;00942905&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A038C&quot;/&gt;&lt;wsp:rsid wsp:val=&quot;00AA4F3D&quot;/&gt;&lt;wsp:rsid wsp:val=&quot;00AA7A09&quot;/&gt;&lt;wsp:rsid wsp:val=&quot;00AB3B50&quot;/&gt;&lt;wsp:rsid wsp:val=&quot;00AC05B1&quot;/&gt;&lt;wsp:rsid wsp:val=&quot;00AD356C&quot;/&gt;&lt;wsp:rsid wsp:val=&quot;00AE0B3A&quot;/&gt;&lt;wsp:rsid wsp:val=&quot;00AE2914&quot;/&gt;&lt;wsp:rsid wsp:val=&quot;00AE6D15&quot;/&gt;&lt;wsp:rsid wsp:val=&quot;00AF31FA&quot;/&gt;&lt;wsp:rsid wsp:val=&quot;00AF6C5D&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20F4&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4B55&quot;/&gt;&lt;wsp:rsid wsp:val=&quot;00CC58D3&quot;/&gt;&lt;wsp:rsid wsp:val=&quot;00CC5CF5&quot;/&gt;&lt;wsp:rsid wsp:val=&quot;00CC784D&quot;/&gt;&lt;wsp:rsid wsp:val=&quot;00CE2364&quot;/&gt;&lt;wsp:rsid wsp:val=&quot;00D0337B&quot;/&gt;&lt;wsp:rsid wsp:val=&quot;00D03480&quot;/&gt;&lt;wsp:rsid wsp:val=&quot;00D079B2&quot;/&gt;&lt;wsp:rsid wsp:val=&quot;00D111A5&quot;/&gt;&lt;wsp:rsid wsp:val=&quot;00D114E9&quot;/&gt;&lt;wsp:rsid wsp:val=&quot;00D429C6&quot;/&gt;&lt;wsp:rsid wsp:val=&quot;00D44190&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96BEF&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E68AC&quot;/&gt;&lt;wsp:rsid wsp:val=&quot;00DF21E9&quot;/&gt;&lt;wsp:rsid wsp:val=&quot;00E00F14&quot;/&gt;&lt;wsp:rsid wsp:val=&quot;00E06386&quot;/&gt;&lt;wsp:rsid wsp:val=&quot;00E1559C&quot;/&gt;&lt;wsp:rsid wsp:val=&quot;00E24EB4&quot;/&gt;&lt;wsp:rsid wsp:val=&quot;00E320ED&quot;/&gt;&lt;wsp:rsid wsp:val=&quot;00E33AFB&quot;/&gt;&lt;wsp:rsid wsp:val=&quot;00E34218&quot;/&gt;&lt;wsp:rsid wsp:val=&quot;00E46282&quot;/&gt;&lt;wsp:rsid wsp:val=&quot;00E5216E&quot;/&gt;&lt;wsp:rsid wsp:val=&quot;00E54CA1&quot;/&gt;&lt;wsp:rsid wsp:val=&quot;00E708D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35D9&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63B1A&quot;/&gt;&lt;wsp:rsid wsp:val=&quot;00F81D29&quot;/&gt;&lt;wsp:rsid wsp:val=&quot;00F91C4D&quot;/&gt;&lt;wsp:rsid wsp:val=&quot;00F92FD9&quot;/&gt;&lt;wsp:rsid wsp:val=&quot;00FA6684&quot;/&gt;&lt;wsp:rsid wsp:val=&quot;00FA731E&quot;/&gt;&lt;wsp:rsid wsp:val=&quot;00FB05EB&quot;/&gt;&lt;wsp:rsid wsp:val=&quot;00FB2B38&quot;/&gt;&lt;wsp:rsid wsp:val=&quot;00FC4AFB&quot;/&gt;&lt;wsp:rsid wsp:val=&quot;00FC6358&quot;/&gt;&lt;wsp:rsid wsp:val=&quot;00FD320D&quot;/&gt;&lt;wsp:rsid wsp:val=&quot;00FE23DE&quot;/&gt;&lt;wsp:rsid wsp:val=&quot;00FF27B4&quot;/&gt;&lt;/wsp:rsids&gt;&lt;/w:docPr&gt;&lt;w:body&gt;&lt;wx:sect&gt;&lt;w:p wsp:rsidR=&quot;00000000&quot; wsp:rsidRDefault=&quot;00EB35D9&quot; wsp:rsidP=&quot;00EB35D9&quot;&gt;&lt;m:oMathPara&gt;&lt;m:oMath&gt;&lt;m:acc&gt;&lt;m:accPr&gt;&lt;m:chr m:val=&quot;虆&quot;/&gt;&lt;m:ctrlPr&gt;&lt;w:rPr&gt;&lt;w:rFonts wppppppppp:ascii=&quot;Cambria Math&quot; w:fareast=&quot;绛夌嚎&quot; w:h-ansi=&quot;Cambria Math&quot;/&gt;&lt;wx:font wx:val=&quot;Cambria Math&quot;/&gt;&lt;w:i/&gt;&lt;w:kern w:val=&quot;0&quot;/&gt;&lt;w:sz w:val=&quot;24&quot;/&gt;&lt;w:sz-cs w:val=&quot;20&quot;/&gt;&lt;/w:rPr&gt;&lt;/m:ctrlPr&gt;&lt;/m:accPr&gt;&lt;m:e&gt;&lt;m:sSub&gt;&lt;m:sSubPr&gt;&lt;m:ctrlPr&gt;&lt;w:rPr&gt;&lt;w:rFonts w:asci wpi wp= wp&quot; wpC wpa wpm wpb wpr wpia Math&quot; w:fareast=&quot;绛夌嚎&quot; w:h-ansi=&quot;Cambria Math&quot;/&gt;&lt;wx:font wx:val=&quot;Cambria Math&quot;/&gt;&lt;w:i/&gt;&lt;w:kern w:val=&quot;0&quot;/&gt;&lt;w:sz w:val=&quot;24&quot;/&gt;&lt;w:sz-cs w:val=&quot;20&quot;/&gt;&lt;/w:rPr&gt;&lt;/m:ctrlPr&gt;&lt;/m:sSubPr&gt;&lt;m:e&gt;&lt;m:r&gt;&lt;w:rPr&gt;&lt;w:rFonts w:ascii=&quot;Cambria  wpMath wp&quot; w: wph-an wpsi=&quot; wpCamb wpria  wpMath wp&quot;/&gt;&lt; wpwx:font wx:val=&quot;Cambria Math&quot;/&gt;&lt;w:i/&gt;&lt;w:sz w:val=&quot;24&quot;/&gt;&lt;/w:rPr&gt;&lt;m:t&gt;e&lt;/m:t&gt;&lt;/m:r&gt;&lt;/m:e&gt;&lt;m:sub&gt;&lt;m:r&gt;&lt;w:rPr&gt;&lt;w:rFonts w:ascii=&quot;Cambria Math&quot; w:h-ansi=&quot;Cambria Math&quot;/&gt;&lt;wx:font wx:val=&quot;Cambria Math&quot;/&gt;&lt;w:i/&gt;&lt;/w:rPr&gt;&lt;m:t&gt;l&lt;/m:t&gt;&lt;/m:r&gt;&lt;/m:sub&gt;&lt;/m:sSub&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r>
        <w:fldChar w:fldCharType="end"/>
      </w:r>
      <w:r>
        <w:t xml:space="preserve"> </w:t>
      </w:r>
      <w:r>
        <w:rPr>
          <w:rFonts w:hint="eastAsia"/>
        </w:rPr>
        <w:t>——该工业企业</w:t>
      </w:r>
      <m:oMath>
        <m:r>
          <m:rPr/>
          <w:rPr>
            <w:rFonts w:hint="eastAsia" w:ascii="Cambria Math" w:hAnsi="Cambria Math"/>
          </w:rPr>
          <m:t>l</m:t>
        </m:r>
      </m:oMath>
      <w:r>
        <w:rPr>
          <w:rFonts w:hint="eastAsia"/>
        </w:rPr>
        <w:t>单位质量主要产品的平均低品位余热量，单位为兆焦每年（M</w:t>
      </w:r>
      <w:r>
        <w:t>J/a</w:t>
      </w:r>
      <w:r>
        <w:rPr>
          <w:rFonts w:hint="eastAsia"/>
        </w:rPr>
        <w:t>）；</w:t>
      </w:r>
    </w:p>
    <w:p w14:paraId="0DACAF5B">
      <w:pPr>
        <w:ind w:firstLine="560"/>
      </w:pPr>
      <w:r>
        <w:fldChar w:fldCharType="begin"/>
      </w:r>
      <w:r>
        <w:instrText xml:space="preserve"> QUOTE </w:instrText>
      </w:r>
      <w:r>
        <w:pict>
          <v:shape id="_x0000_i1053" o:spt="75" type="#_x0000_t75" style="height:15.65pt;width:9.4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964E9&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393E&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16ACD&quot;/&gt;&lt;wsp:rsid wsp:val=&quot;00325926&quot;/&gt;&lt;wsp:rsid wsp:val=&quot;00327A8A&quot;/&gt;&lt;wsp:rsid wsp:val=&quot;003308A7&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E5CDF&quot;/&gt;&lt;wsp:rsid wsp:val=&quot;003F4EE0&quot;/&gt;&lt;wsp:rsid wsp:val=&quot;003F6E1F&quot;/&gt;&lt;wsp:rsid wsp:val=&quot;00401A68&quot;/&gt;&lt;wsp:rsid wsp:val=&quot;00402153&quot;/&gt;&lt;wsp:rsid wsp:val=&quot;00402333&quot;/&gt;&lt;wsp:rsid wsp:val=&quot;00402FC1&quot;/&gt;&lt;wsp:rsid wsp:val=&quot;004051D4&quot;/&gt;&lt;wsp:rsid wsp:val=&quot;00425082&quot;/&gt;&lt;wsp:rsid wsp:val=&quot;00426050&quot;/&gt;&lt;wsp:rsid wsp:val=&quot;00431DEB&quot;/&gt;&lt;wsp:rsid wsp:val=&quot;004420CB&quot;/&gt;&lt;wsp:rsid wsp:val=&quot;00445F14&quot;/&gt;&lt;wsp:rsid wsp:val=&quot;00446B29&quot;/&gt;&lt;wsp:rsid wsp:val=&quot;00453F9A&quot;/&gt;&lt;wsp:rsid wsp:val=&quot;00471920&quot;/&gt;&lt;wsp:rsid wsp:val=&quot;00471E91&quot;/&gt;&lt;wsp:rsid wsp:val=&quot;00474675&quot;/&gt;&lt;wsp:rsid wsp:val=&quot;0047470C&quot;/&gt;&lt;wsp:rsid wsp:val=&quot;004A35F9&quot;/&gt;&lt;wsp:rsid wsp:val=&quot;004B24C1&quot;/&gt;&lt;wsp:rsid wsp:val=&quot;004B2653&quot;/&gt;&lt;wsp:rsid wsp:val=&quot;004C292F&quot;/&gt;&lt;wsp:rsid wsp:val=&quot;004C3B1E&quot;/&gt;&lt;wsp:rsid wsp:val=&quot;004C5E70&quot;/&gt;&lt;wsp:rsid wsp:val=&quot;004E3B66&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63772&quot;/&gt;&lt;wsp:rsid wsp:val=&quot;005703DE&quot;/&gt;&lt;wsp:rsid wsp:val=&quot;005749D7&quot;/&gt;&lt;wsp:rsid wsp:val=&quot;0058464E&quot;/&gt;&lt;wsp:rsid wsp:val=&quot;00596FF1&quot;/&gt;&lt;wsp:rsid wsp:val=&quot;005A01CB&quot;/&gt;&lt;wsp:rsid wsp:val=&quot;005A58FF&quot;/&gt;&lt;wsp:rsid wsp:val=&quot;005A5EAF&quot;/&gt;&lt;wsp:rsid wsp:val=&quot;005A64C0&quot;/&gt;&lt;wsp:rsid wsp:val=&quot;005B3C11&quot;/&gt;&lt;wsp:rsid wsp:val=&quot;005C184A&quot;/&gt;&lt;wsp:rsid wsp:val=&quot;005C1C28&quot;/&gt;&lt;wsp:rsid wsp:val=&quot;005C64AD&quot;/&gt;&lt;wsp:rsid wsp:val=&quot;005C6DB5&quot;/&gt;&lt;wsp:rsid wsp:val=&quot;005C7A7A&quot;/&gt;&lt;wsp:rsid wsp:val=&quot;005E19E7&quot;/&gt;&lt;wsp:rsid wsp:val=&quot;006039C3&quot;/&gt;&lt;wsp:rsid wsp:val=&quot;0061716C&quot;/&gt;&lt;wsp:rsid wsp:val=&quot;00620599&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72A9E&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078D&quot;/&gt;&lt;wsp:rsid wsp:val=&quot;00724EFB&quot;/&gt;&lt;wsp:rsid wsp:val=&quot;0073259A&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29CE&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6726F&quot;/&gt;&lt;wsp:rsid wsp:val=&quot;0087198C&quot;/&gt;&lt;wsp:rsid wsp:val=&quot;00872C1F&quot;/&gt;&lt;wsp:rsid wsp:val=&quot;00873B42&quot;/&gt;&lt;wsp:rsid wsp:val=&quot;008856D8&quot;/&gt;&lt;wsp:rsid wsp:val=&quot;00892E82&quot;/&gt;&lt;wsp:rsid wsp:val=&quot;008B6A53&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48CE&quot;/&gt;&lt;wsp:rsid wsp:val=&quot;009279DE&quot;/&gt;&lt;wsp:rsid wsp:val=&quot;00930116&quot;/&gt;&lt;wsp:rsid wsp:val=&quot;0094212C&quot;/&gt;&lt;wsp:rsid wsp:val=&quot;00942905&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878DE&quot;/&gt;&lt;wsp:rsid wsp:val=&quot;00AA038C&quot;/&gt;&lt;wsp:rsid wsp:val=&quot;00AA4F3D&quot;/&gt;&lt;wsp:rsid wsp:val=&quot;00AA7A09&quot;/&gt;&lt;wsp:rsid wsp:val=&quot;00AB3B50&quot;/&gt;&lt;wsp:rsid wsp:val=&quot;00AC05B1&quot;/&gt;&lt;wsp:rsid wsp:val=&quot;00AD356C&quot;/&gt;&lt;wsp:rsid wsp:val=&quot;00AE0B3A&quot;/&gt;&lt;wsp:rsid wsp:val=&quot;00AE2914&quot;/&gt;&lt;wsp:rsid wsp:val=&quot;00AE6D15&quot;/&gt;&lt;wsp:rsid wsp:val=&quot;00AF31FA&quot;/&gt;&lt;wsp:rsid wsp:val=&quot;00AF6C5D&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20F4&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4B55&quot;/&gt;&lt;wsp:rsid wsp:val=&quot;00CC58D3&quot;/&gt;&lt;wsp:rsid wsp:val=&quot;00CC5CF5&quot;/&gt;&lt;wsp:rsid wsp:val=&quot;00CC784D&quot;/&gt;&lt;wsp:rsid wsp:val=&quot;00CE2364&quot;/&gt;&lt;wsp:rsid wsp:val=&quot;00D0337B&quot;/&gt;&lt;wsp:rsid wsp:val=&quot;00D03480&quot;/&gt;&lt;wsp:rsid wsp:val=&quot;00D079B2&quot;/&gt;&lt;wsp:rsid wsp:val=&quot;00D111A5&quot;/&gt;&lt;wsp:rsid wsp:val=&quot;00D114E9&quot;/&gt;&lt;wsp:rsid wsp:val=&quot;00D429C6&quot;/&gt;&lt;wsp:rsid wsp:val=&quot;00D44190&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96BEF&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E68AC&quot;/&gt;&lt;wsp:rsid wsp:val=&quot;00DF21E9&quot;/&gt;&lt;wsp:rsid wsp:val=&quot;00E00F14&quot;/&gt;&lt;wsp:rsid wsp:val=&quot;00E06386&quot;/&gt;&lt;wsp:rsid wsp:val=&quot;00E1559C&quot;/&gt;&lt;wsp:rsid wsp:val=&quot;00E24EB4&quot;/&gt;&lt;wsp:rsid wsp:val=&quot;00E320ED&quot;/&gt;&lt;wsp:rsid wsp:val=&quot;00E33AFB&quot;/&gt;&lt;wsp:rsid wsp:val=&quot;00E34218&quot;/&gt;&lt;wsp:rsid wsp:val=&quot;00E46282&quot;/&gt;&lt;wsp:rsid wsp:val=&quot;00E5216E&quot;/&gt;&lt;wsp:rsid wsp:val=&quot;00E54CA1&quot;/&gt;&lt;wsp:rsid wsp:val=&quot;00E708D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63B1A&quot;/&gt;&lt;wsp:rsid wsp:val=&quot;00F81D29&quot;/&gt;&lt;wsp:rsid wsp:val=&quot;00F91C4D&quot;/&gt;&lt;wsp:rsid wsp:val=&quot;00F92FD9&quot;/&gt;&lt;wsp:rsid wsp:val=&quot;00FA6684&quot;/&gt;&lt;wsp:rsid wsp:val=&quot;00FA731E&quot;/&gt;&lt;wsp:rsid wsp:val=&quot;00FB05EB&quot;/&gt;&lt;wsp:rsid wsp:val=&quot;00FB2B38&quot;/&gt;&lt;wsp:rsid wsp:val=&quot;00FC4AFB&quot;/&gt;&lt;wsp:rsid wsp:val=&quot;00FC6358&quot;/&gt;&lt;wsp:rsid wsp:val=&quot;00FD320D&quot;/&gt;&lt;wsp:rsid wsp:val=&quot;00FE23DE&quot;/&gt;&lt;wsp:rsid wsp:val=&quot;00FF27B4&quot;/&gt;&lt;/wsp:rsids&gt;&lt;/w:docPr&gt;&lt;w:body&gt;&lt;wx:sect&gt;&lt;w:p wsp:rsidR=&quot;00000000&quot; wsp:rsidRDefault=&quot;00A878DE&quot; wsp:rsidP=&quot;00A878DE&quot;&gt;&lt;m:oMathPara&gt;&lt;m:oMath&gt;&lt;m:sSub&gt;&lt;m:sSubPr&gt;&lt;m:ctrlPr&gt;&lt;w:rPr&gt;&lt;w:rFonts w:ascii=&quot;Cambria Math&quot; w:fareast=&quot;绛夌嚎&quot; w:h-ansi=&quot;Cambria Math&quot;/&gt;&lt;wx:font wx:val=&quot;Cambria Math&quot;/&gt;&lt;w:i/&gt;&lt;w:kern w:val=&quot;0&quot;/&gt;&lt;w:sz w:val=&quot;24&quot;/&gt;&lt;w:sz-cs w:val=&quot;20&quot;/&gt;&lt;/w:rPr&gt;&lt;/m:ctrlPr&gt;&lt;/m:sSubPr&gt;&lt;m:e&gt;&lt;m:r&gt;&lt;w:rPr&gt;&lt;w:rFonts w:ascii=&quot;Cambria Math&quot; w:h-ansi=&quot;Cambria Math&quot;/&gt;&lt;wx:fa Ma Ma Ma Ma Ma Ma Ma Ma Mont wx:val=&quot;Cambria Math&quot;/&gt;&lt;w:i/&gt;&lt;w:sz w:val=&quot;24&quot;/&gt;&lt;/w:rPr&gt;&lt;m:t&gt;P&lt;/m:t&gt;&lt;/m:r&gt;&lt;/m:e&gt;&lt;m:sub&gt;&lt;m:r&gt;&lt;w:rPr&gt;&lt;w:rFonts w:ascii=&quot;Cambria Math&quot; w:h-ansi=&quot;Cambria Math&quot;/&gt;&lt;wx:font wx:val=&quot;Cambria Math&quot;/&gt;&lt;w:i/&gt;&lt;/w:rPr&gt;&lt;m:t&gt;l&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r>
        <w:instrText xml:space="preserve"> </w:instrText>
      </w:r>
      <w:r>
        <w:fldChar w:fldCharType="separate"/>
      </w:r>
      <w:r>
        <w:pict>
          <v:shape id="_x0000_i1054" o:spt="75" type="#_x0000_t75" style="height:15.65pt;width:9.4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2143C&quot;/&gt;&lt;wsp:rsid wsp:val=&quot;00025480&quot;/&gt;&lt;wsp:rsid wsp:val=&quot;00025A65&quot;/&gt;&lt;wsp:rsid wsp:val=&quot;00026C31&quot;/&gt;&lt;wsp:rsid wsp:val=&quot;00027280&quot;/&gt;&lt;wsp:rsid wsp:val=&quot;000320A7&quot;/&gt;&lt;wsp:rsid wsp:val=&quot;00035925&quot;/&gt;&lt;wsp:rsid wsp:val=&quot;00054D74&quot;/&gt;&lt;wsp:rsid wsp:val=&quot;00067CDF&quot;/&gt;&lt;wsp:rsid wsp:val=&quot;00072EF0&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3D4C&quot;/&gt;&lt;wsp:rsid wsp:val=&quot;000D4F51&quot;/&gt;&lt;wsp:rsid wsp:val=&quot;000D718B&quot;/&gt;&lt;wsp:rsid wsp:val=&quot;000E0C46&quot;/&gt;&lt;wsp:rsid wsp:val=&quot;000F030C&quot;/&gt;&lt;wsp:rsid wsp:val=&quot;000F129C&quot;/&gt;&lt;wsp:rsid wsp:val=&quot;001056DE&quot;/&gt;&lt;wsp:rsid wsp:val=&quot;001124C0&quot;/&gt;&lt;wsp:rsid wsp:val=&quot;001138E7&quot;/&gt;&lt;wsp:rsid wsp:val=&quot;0013175F&quot;/&gt;&lt;wsp:rsid wsp:val=&quot;001512B4&quot;/&gt;&lt;wsp:rsid wsp:val=&quot;001620A5&quot;/&gt;&lt;wsp:rsid wsp:val=&quot;001646F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964E9&quot;/&gt;&lt;wsp:rsid wsp:val=&quot;001A26C4&quot;/&gt;&lt;wsp:rsid wsp:val=&quot;001A288E&quot;/&gt;&lt;wsp:rsid wsp:val=&quot;001B12BF&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2925&quot;/&gt;&lt;wsp:rsid wsp:val=&quot;001F3A19&quot;/&gt;&lt;wsp:rsid wsp:val=&quot;00234467&quot;/&gt;&lt;wsp:rsid wsp:val=&quot;00237D8D&quot;/&gt;&lt;wsp:rsid wsp:val=&quot;00241DA2&quot;/&gt;&lt;wsp:rsid wsp:val=&quot;00247FEE&quot;/&gt;&lt;wsp:rsid wsp:val=&quot;00250E7D&quot;/&gt;&lt;wsp:rsid wsp:val=&quot;002551A8&quot;/&gt;&lt;wsp:rsid wsp:val=&quot;002565D5&quot;/&gt;&lt;wsp:rsid wsp:val=&quot;002622C0&quot;/&gt;&lt;wsp:rsid wsp:val=&quot;00264CF7&quot;/&gt;&lt;wsp:rsid wsp:val=&quot;002778AE&quot;/&gt;&lt;wsp:rsid wsp:val=&quot;002819FB&quot;/&gt;&lt;wsp:rsid wsp:val=&quot;0028269A&quot;/&gt;&lt;wsp:rsid wsp:val=&quot;00283590&quot;/&gt;&lt;wsp:rsid wsp:val=&quot;00286973&quot;/&gt;&lt;wsp:rsid wsp:val=&quot;00294E70&quot;/&gt;&lt;wsp:rsid wsp:val=&quot;002A0820&quot;/&gt;&lt;wsp:rsid wsp:val=&quot;002A1924&quot;/&gt;&lt;wsp:rsid wsp:val=&quot;002A7420&quot;/&gt;&lt;wsp:rsid wsp:val=&quot;002B0F12&quot;/&gt;&lt;wsp:rsid wsp:val=&quot;002B1308&quot;/&gt;&lt;wsp:rsid wsp:val=&quot;002B393E&quot;/&gt;&lt;wsp:rsid wsp:val=&quot;002B4554&quot;/&gt;&lt;wsp:rsid wsp:val=&quot;002C72D8&quot;/&gt;&lt;wsp:rsid wsp:val=&quot;002D11FA&quot;/&gt;&lt;wsp:rsid wsp:val=&quot;002E0DDF&quot;/&gt;&lt;wsp:rsid wsp:val=&quot;002E2906&quot;/&gt;&lt;wsp:rsid wsp:val=&quot;002E5635&quot;/&gt;&lt;wsp:rsid wsp:val=&quot;002E64C3&quot;/&gt;&lt;wsp:rsid wsp:val=&quot;002E6A2C&quot;/&gt;&lt;wsp:rsid wsp:val=&quot;002F1D8C&quot;/&gt;&lt;wsp:rsid wsp:val=&quot;002F21DA&quot;/&gt;&lt;wsp:rsid wsp:val=&quot;002F5069&quot;/&gt;&lt;wsp:rsid wsp:val=&quot;00301F39&quot;/&gt;&lt;wsp:rsid wsp:val=&quot;00316ACD&quot;/&gt;&lt;wsp:rsid wsp:val=&quot;00325926&quot;/&gt;&lt;wsp:rsid wsp:val=&quot;00327A8A&quot;/&gt;&lt;wsp:rsid wsp:val=&quot;003308A7&quot;/&gt;&lt;wsp:rsid wsp:val=&quot;00336610&quot;/&gt;&lt;wsp:rsid wsp:val=&quot;00343F73&quot;/&gt;&lt;wsp:rsid wsp:val=&quot;00345060&quot;/&gt;&lt;wsp:rsid wsp:val=&quot;0035323B&quot;/&gt;&lt;wsp:rsid wsp:val=&quot;00357A19&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E5CDF&quot;/&gt;&lt;wsp:rsid wsp:val=&quot;003F4EE0&quot;/&gt;&lt;wsp:rsid wsp:val=&quot;003F6E1F&quot;/&gt;&lt;wsp:rsid wsp:val=&quot;00401A68&quot;/&gt;&lt;wsp:rsid wsp:val=&quot;00402153&quot;/&gt;&lt;wsp:rsid wsp:val=&quot;00402333&quot;/&gt;&lt;wsp:rsid wsp:val=&quot;00402FC1&quot;/&gt;&lt;wsp:rsid wsp:val=&quot;004051D4&quot;/&gt;&lt;wsp:rsid wsp:val=&quot;00425082&quot;/&gt;&lt;wsp:rsid wsp:val=&quot;00426050&quot;/&gt;&lt;wsp:rsid wsp:val=&quot;00431DEB&quot;/&gt;&lt;wsp:rsid wsp:val=&quot;004420CB&quot;/&gt;&lt;wsp:rsid wsp:val=&quot;00445F14&quot;/&gt;&lt;wsp:rsid wsp:val=&quot;00446B29&quot;/&gt;&lt;wsp:rsid wsp:val=&quot;00453F9A&quot;/&gt;&lt;wsp:rsid wsp:val=&quot;00471920&quot;/&gt;&lt;wsp:rsid wsp:val=&quot;00471E91&quot;/&gt;&lt;wsp:rsid wsp:val=&quot;00474675&quot;/&gt;&lt;wsp:rsid wsp:val=&quot;0047470C&quot;/&gt;&lt;wsp:rsid wsp:val=&quot;004A35F9&quot;/&gt;&lt;wsp:rsid wsp:val=&quot;004B24C1&quot;/&gt;&lt;wsp:rsid wsp:val=&quot;004B2653&quot;/&gt;&lt;wsp:rsid wsp:val=&quot;004C292F&quot;/&gt;&lt;wsp:rsid wsp:val=&quot;004C3B1E&quot;/&gt;&lt;wsp:rsid wsp:val=&quot;004C5E70&quot;/&gt;&lt;wsp:rsid wsp:val=&quot;004E3B66&quot;/&gt;&lt;wsp:rsid wsp:val=&quot;00510280&quot;/&gt;&lt;wsp:rsid wsp:val=&quot;00513D73&quot;/&gt;&lt;wsp:rsid wsp:val=&quot;00514A43&quot;/&gt;&lt;wsp:rsid wsp:val=&quot;005174E5&quot;/&gt;&lt;wsp:rsid wsp:val=&quot;00522393&quot;/&gt;&lt;wsp:rsid wsp:val=&quot;00522620&quot;/&gt;&lt;wsp:rsid wsp:val=&quot;00522EC9&quot;/&gt;&lt;wsp:rsid wsp:val=&quot;00525656&quot;/&gt;&lt;wsp:rsid wsp:val=&quot;00534C02&quot;/&gt;&lt;wsp:rsid wsp:val=&quot;0054264B&quot;/&gt;&lt;wsp:rsid wsp:val=&quot;00543786&quot;/&gt;&lt;wsp:rsid wsp:val=&quot;005533D7&quot;/&gt;&lt;wsp:rsid wsp:val=&quot;00563772&quot;/&gt;&lt;wsp:rsid wsp:val=&quot;005703DE&quot;/&gt;&lt;wsp:rsid wsp:val=&quot;005749D7&quot;/&gt;&lt;wsp:rsid wsp:val=&quot;0058464E&quot;/&gt;&lt;wsp:rsid wsp:val=&quot;00596FF1&quot;/&gt;&lt;wsp:rsid wsp:val=&quot;005A01CB&quot;/&gt;&lt;wsp:rsid wsp:val=&quot;005A58FF&quot;/&gt;&lt;wsp:rsid wsp:val=&quot;005A5EAF&quot;/&gt;&lt;wsp:rsid wsp:val=&quot;005A64C0&quot;/&gt;&lt;wsp:rsid wsp:val=&quot;005B3C11&quot;/&gt;&lt;wsp:rsid wsp:val=&quot;005C184A&quot;/&gt;&lt;wsp:rsid wsp:val=&quot;005C1C28&quot;/&gt;&lt;wsp:rsid wsp:val=&quot;005C64AD&quot;/&gt;&lt;wsp:rsid wsp:val=&quot;005C6DB5&quot;/&gt;&lt;wsp:rsid wsp:val=&quot;005C7A7A&quot;/&gt;&lt;wsp:rsid wsp:val=&quot;005E19E7&quot;/&gt;&lt;wsp:rsid wsp:val=&quot;006039C3&quot;/&gt;&lt;wsp:rsid wsp:val=&quot;0061716C&quot;/&gt;&lt;wsp:rsid wsp:val=&quot;00620599&quot;/&gt;&lt;wsp:rsid wsp:val=&quot;006243A1&quot;/&gt;&lt;wsp:rsid wsp:val=&quot;00632E56&quot;/&gt;&lt;wsp:rsid wsp:val=&quot;00635CBA&quot;/&gt;&lt;wsp:rsid wsp:val=&quot;0064338B&quot;/&gt;&lt;wsp:rsid wsp:val=&quot;00646542&quot;/&gt;&lt;wsp:rsid wsp:val=&quot;006504F4&quot;/&gt;&lt;wsp:rsid wsp:val=&quot;00654BC9&quot;/&gt;&lt;wsp:rsid wsp:val=&quot;006552FD&quot;/&gt;&lt;wsp:rsid wsp:val=&quot;00663AF3&quot;/&gt;&lt;wsp:rsid wsp:val=&quot;00666B6C&quot;/&gt;&lt;wsp:rsid wsp:val=&quot;00672A9E&quot;/&gt;&lt;wsp:rsid wsp:val=&quot;00682682&quot;/&gt;&lt;wsp:rsid wsp:val=&quot;00682702&quot;/&gt;&lt;wsp:rsid wsp:val=&quot;00684A04&quot;/&gt;&lt;wsp:rsid wsp:val=&quot;00692368&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D60&quot;/&gt;&lt;wsp:rsid wsp:val=&quot;006D1122&quot;/&gt;&lt;wsp:rsid wsp:val=&quot;006D3C00&quot;/&gt;&lt;wsp:rsid wsp:val=&quot;006E3675&quot;/&gt;&lt;wsp:rsid wsp:val=&quot;006E4A7F&quot;/&gt;&lt;wsp:rsid wsp:val=&quot;00704DF6&quot;/&gt;&lt;wsp:rsid wsp:val=&quot;0070651C&quot;/&gt;&lt;wsp:rsid wsp:val=&quot;007132A3&quot;/&gt;&lt;wsp:rsid wsp:val=&quot;00716421&quot;/&gt;&lt;wsp:rsid wsp:val=&quot;0072078D&quot;/&gt;&lt;wsp:rsid wsp:val=&quot;00724EFB&quot;/&gt;&lt;wsp:rsid wsp:val=&quot;0073259A&quot;/&gt;&lt;wsp:rsid wsp:val=&quot;007345E1&quot;/&gt;&lt;wsp:rsid wsp:val=&quot;007419C3&quot;/&gt;&lt;wsp:rsid wsp:val=&quot;007467A7&quot;/&gt;&lt;wsp:rsid wsp:val=&quot;007469DD&quot;/&gt;&lt;wsp:rsid wsp:val=&quot;0074741B&quot;/&gt;&lt;wsp:rsid wsp:val=&quot;0074759E&quot;/&gt;&lt;wsp:rsid wsp:val=&quot;007478EA&quot;/&gt;&lt;wsp:rsid wsp:val=&quot;0075415C&quot;/&gt;&lt;wsp:rsid wsp:val=&quot;00763502&quot;/&gt;&lt;wsp:rsid wsp:val=&quot;007855E8&quot;/&gt;&lt;wsp:rsid wsp:val=&quot;007913AB&quot;/&gt;&lt;wsp:rsid wsp:val=&quot;007914F7&quot;/&gt;&lt;wsp:rsid wsp:val=&quot;007B1625&quot;/&gt;&lt;wsp:rsid wsp:val=&quot;007B706E&quot;/&gt;&lt;wsp:rsid wsp:val=&quot;007B71EB&quot;/&gt;&lt;wsp:rsid wsp:val=&quot;007C6205&quot;/&gt;&lt;wsp:rsid wsp:val=&quot;007C686A&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29CE&quot;/&gt;&lt;wsp:rsid wsp:val=&quot;007F4CF1&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6726F&quot;/&gt;&lt;wsp:rsid wsp:val=&quot;0087198C&quot;/&gt;&lt;wsp:rsid wsp:val=&quot;00872C1F&quot;/&gt;&lt;wsp:rsid wsp:val=&quot;00873B42&quot;/&gt;&lt;wsp:rsid wsp:val=&quot;008856D8&quot;/&gt;&lt;wsp:rsid wsp:val=&quot;00892E82&quot;/&gt;&lt;wsp:rsid wsp:val=&quot;008B6A53&quot;/&gt;&lt;wsp:rsid wsp:val=&quot;008C1B58&quot;/&gt;&lt;wsp:rsid wsp:val=&quot;008C39AE&quot;/&gt;&lt;wsp:rsid wsp:val=&quot;008C590D&quot;/&gt;&lt;wsp:rsid wsp:val=&quot;008D77E0&quot;/&gt;&lt;wsp:rsid wsp:val=&quot;008E031B&quot;/&gt;&lt;wsp:rsid wsp:val=&quot;008E7029&quot;/&gt;&lt;wsp:rsid wsp:val=&quot;008E7EF6&quot;/&gt;&lt;wsp:rsid wsp:val=&quot;008F1F98&quot;/&gt;&lt;wsp:rsid wsp:val=&quot;008F6758&quot;/&gt;&lt;wsp:rsid wsp:val=&quot;009040DD&quot;/&gt;&lt;wsp:rsid wsp:val=&quot;00905B47&quot;/&gt;&lt;wsp:rsid wsp:val=&quot;0091331C&quot;/&gt;&lt;wsp:rsid wsp:val=&quot;00921524&quot;/&gt;&lt;wsp:rsid wsp:val=&quot;009248CE&quot;/&gt;&lt;wsp:rsid wsp:val=&quot;009279DE&quot;/&gt;&lt;wsp:rsid wsp:val=&quot;00930116&quot;/&gt;&lt;wsp:rsid wsp:val=&quot;0094212C&quot;/&gt;&lt;wsp:rsid wsp:val=&quot;00942905&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94E8F&quot;/&gt;&lt;wsp:rsid wsp:val=&quot;009951DC&quot;/&gt;&lt;wsp:rsid wsp:val=&quot;009959BB&quot;/&gt;&lt;wsp:rsid wsp:val=&quot;00997158&quot;/&gt;&lt;wsp:rsid wsp:val=&quot;009A3A7C&quot;/&gt;&lt;wsp:rsid wsp:val=&quot;009B2ADB&quot;/&gt;&lt;wsp:rsid wsp:val=&quot;009B603A&quot;/&gt;&lt;wsp:rsid wsp:val=&quot;009C2D0E&quot;/&gt;&lt;wsp:rsid wsp:val=&quot;009C3DAC&quot;/&gt;&lt;wsp:rsid wsp:val=&quot;009C42E0&quot;/&gt;&lt;wsp:rsid wsp:val=&quot;009C6251&quot;/&gt;&lt;wsp:rsid wsp:val=&quot;009D5362&quot;/&gt;&lt;wsp:rsid wsp:val=&quot;009E1415&quot;/&gt;&lt;wsp:rsid wsp:val=&quot;009E6116&quot;/&gt;&lt;wsp:rsid wsp:val=&quot;00A02E43&quot;/&gt;&lt;wsp:rsid wsp:val=&quot;00A065F9&quot;/&gt;&lt;wsp:rsid wsp:val=&quot;00A07F34&quot;/&gt;&lt;wsp:rsid wsp:val=&quot;00A12781&quot;/&gt;&lt;wsp:rsid wsp:val=&quot;00A205EB&quot;/&gt;&lt;wsp:rsid wsp:val=&quot;00A22154&quot;/&gt;&lt;wsp:rsid wsp:val=&quot;00A25C38&quot;/&gt;&lt;wsp:rsid wsp:val=&quot;00A36BBE&quot;/&gt;&lt;wsp:rsid wsp:val=&quot;00A371F2&quot;/&gt;&lt;wsp:rsid wsp:val=&quot;00A4307A&quot;/&gt;&lt;wsp:rsid wsp:val=&quot;00A43190&quot;/&gt;&lt;wsp:rsid wsp:val=&quot;00A47EBB&quot;/&gt;&lt;wsp:rsid wsp:val=&quot;00A51CDD&quot;/&gt;&lt;wsp:rsid wsp:val=&quot;00A6730D&quot;/&gt;&lt;wsp:rsid wsp:val=&quot;00A715CC&quot;/&gt;&lt;wsp:rsid wsp:val=&quot;00A71625&quot;/&gt;&lt;wsp:rsid wsp:val=&quot;00A71B9B&quot;/&gt;&lt;wsp:rsid wsp:val=&quot;00A751C7&quot;/&gt;&lt;wsp:rsid wsp:val=&quot;00A87844&quot;/&gt;&lt;wsp:rsid wsp:val=&quot;00A878DE&quot;/&gt;&lt;wsp:rsid wsp:val=&quot;00AA038C&quot;/&gt;&lt;wsp:rsid wsp:val=&quot;00AA4F3D&quot;/&gt;&lt;wsp:rsid wsp:val=&quot;00AA7A09&quot;/&gt;&lt;wsp:rsid wsp:val=&quot;00AB3B50&quot;/&gt;&lt;wsp:rsid wsp:val=&quot;00AC05B1&quot;/&gt;&lt;wsp:rsid wsp:val=&quot;00AD356C&quot;/&gt;&lt;wsp:rsid wsp:val=&quot;00AE0B3A&quot;/&gt;&lt;wsp:rsid wsp:val=&quot;00AE2914&quot;/&gt;&lt;wsp:rsid wsp:val=&quot;00AE6D15&quot;/&gt;&lt;wsp:rsid wsp:val=&quot;00AF31FA&quot;/&gt;&lt;wsp:rsid wsp:val=&quot;00AF6C5D&quot;/&gt;&lt;wsp:rsid wsp:val=&quot;00B04182&quot;/&gt;&lt;wsp:rsid wsp:val=&quot;00B07AE3&quot;/&gt;&lt;wsp:rsid wsp:val=&quot;00B11430&quot;/&gt;&lt;wsp:rsid wsp:val=&quot;00B20539&quot;/&gt;&lt;wsp:rsid wsp:val=&quot;00B353EB&quot;/&gt;&lt;wsp:rsid wsp:val=&quot;00B439C4&quot;/&gt;&lt;wsp:rsid wsp:val=&quot;00B4535E&quot;/&gt;&lt;wsp:rsid wsp:val=&quot;00B52A8C&quot;/&gt;&lt;wsp:rsid wsp:val=&quot;00B636A8&quot;/&gt;&lt;wsp:rsid wsp:val=&quot;00B64AC2&quot;/&gt;&lt;wsp:rsid wsp:val=&quot;00B665C6&quot;/&gt;&lt;wsp:rsid wsp:val=&quot;00B72383&quot;/&gt;&lt;wsp:rsid wsp:val=&quot;00B75820&quot;/&gt;&lt;wsp:rsid wsp:val=&quot;00B805AF&quot;/&gt;&lt;wsp:rsid wsp:val=&quot;00B820F4&quot;/&gt;&lt;wsp:rsid wsp:val=&quot;00B869EC&quot;/&gt;&lt;wsp:rsid wsp:val=&quot;00B9397A&quot;/&gt;&lt;wsp:rsid wsp:val=&quot;00B9633D&quot;/&gt;&lt;wsp:rsid wsp:val=&quot;00BA2EBE&quot;/&gt;&lt;wsp:rsid wsp:val=&quot;00BB0F28&quot;/&gt;&lt;wsp:rsid wsp:val=&quot;00BB458A&quot;/&gt;&lt;wsp:rsid wsp:val=&quot;00BB583C&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C0284F&quot;/&gt;&lt;wsp:rsid wsp:val=&quot;00C0379D&quot;/&gt;&lt;wsp:rsid wsp:val=&quot;00C03931&quot;/&gt;&lt;wsp:rsid wsp:val=&quot;00C05FE3&quot;/&gt;&lt;wsp:rsid wsp:val=&quot;00C10C7F&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4095D&quot;/&gt;&lt;wsp:rsid wsp:val=&quot;00C57932&quot;/&gt;&lt;wsp:rsid wsp:val=&quot;00C601D2&quot;/&gt;&lt;wsp:rsid wsp:val=&quot;00C65BCC&quot;/&gt;&lt;wsp:rsid wsp:val=&quot;00C66970&quot;/&gt;&lt;wsp:rsid wsp:val=&quot;00C8691C&quot;/&gt;&lt;wsp:rsid wsp:val=&quot;00CA168A&quot;/&gt;&lt;wsp:rsid wsp:val=&quot;00CA357E&quot;/&gt;&lt;wsp:rsid wsp:val=&quot;00CA44F9&quot;/&gt;&lt;wsp:rsid wsp:val=&quot;00CA4A69&quot;/&gt;&lt;wsp:rsid wsp:val=&quot;00CC3E0C&quot;/&gt;&lt;wsp:rsid wsp:val=&quot;00CC4B55&quot;/&gt;&lt;wsp:rsid wsp:val=&quot;00CC58D3&quot;/&gt;&lt;wsp:rsid wsp:val=&quot;00CC5CF5&quot;/&gt;&lt;wsp:rsid wsp:val=&quot;00CC784D&quot;/&gt;&lt;wsp:rsid wsp:val=&quot;00CE2364&quot;/&gt;&lt;wsp:rsid wsp:val=&quot;00D0337B&quot;/&gt;&lt;wsp:rsid wsp:val=&quot;00D03480&quot;/&gt;&lt;wsp:rsid wsp:val=&quot;00D079B2&quot;/&gt;&lt;wsp:rsid wsp:val=&quot;00D111A5&quot;/&gt;&lt;wsp:rsid wsp:val=&quot;00D114E9&quot;/&gt;&lt;wsp:rsid wsp:val=&quot;00D429C6&quot;/&gt;&lt;wsp:rsid wsp:val=&quot;00D44190&quot;/&gt;&lt;wsp:rsid wsp:val=&quot;00D47748&quot;/&gt;&lt;wsp:rsid wsp:val=&quot;00D54CC3&quot;/&gt;&lt;wsp:rsid wsp:val=&quot;00D6041A&quot;/&gt;&lt;wsp:rsid wsp:val=&quot;00D61A7C&quot;/&gt;&lt;wsp:rsid wsp:val=&quot;00D633EB&quot;/&gt;&lt;wsp:rsid wsp:val=&quot;00D82FF7&quot;/&gt;&lt;wsp:rsid wsp:val=&quot;00D847FE&quot;/&gt;&lt;wsp:rsid wsp:val=&quot;00D964EA&quot;/&gt;&lt;wsp:rsid wsp:val=&quot;00D966D0&quot;/&gt;&lt;wsp:rsid wsp:val=&quot;00D96BEF&quot;/&gt;&lt;wsp:rsid wsp:val=&quot;00DA0C59&quot;/&gt;&lt;wsp:rsid wsp:val=&quot;00DA1CBF&quot;/&gt;&lt;wsp:rsid wsp:val=&quot;00DA3991&quot;/&gt;&lt;wsp:rsid wsp:val=&quot;00DB1D1B&quot;/&gt;&lt;wsp:rsid wsp:val=&quot;00DB7E6C&quot;/&gt;&lt;wsp:rsid wsp:val=&quot;00DD3039&quot;/&gt;&lt;wsp:rsid wsp:val=&quot;00DD5A29&quot;/&gt;&lt;wsp:rsid wsp:val=&quot;00DD5D9D&quot;/&gt;&lt;wsp:rsid wsp:val=&quot;00DE35CB&quot;/&gt;&lt;wsp:rsid wsp:val=&quot;00DE68AC&quot;/&gt;&lt;wsp:rsid wsp:val=&quot;00DF21E9&quot;/&gt;&lt;wsp:rsid wsp:val=&quot;00E00F14&quot;/&gt;&lt;wsp:rsid wsp:val=&quot;00E06386&quot;/&gt;&lt;wsp:rsid wsp:val=&quot;00E1559C&quot;/&gt;&lt;wsp:rsid wsp:val=&quot;00E24EB4&quot;/&gt;&lt;wsp:rsid wsp:val=&quot;00E320ED&quot;/&gt;&lt;wsp:rsid wsp:val=&quot;00E33AFB&quot;/&gt;&lt;wsp:rsid wsp:val=&quot;00E34218&quot;/&gt;&lt;wsp:rsid wsp:val=&quot;00E46282&quot;/&gt;&lt;wsp:rsid wsp:val=&quot;00E5216E&quot;/&gt;&lt;wsp:rsid wsp:val=&quot;00E54CA1&quot;/&gt;&lt;wsp:rsid wsp:val=&quot;00E708DE&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86A&quot;/&gt;&lt;wsp:rsid wsp:val=&quot;00EC1578&quot;/&gt;&lt;wsp:rsid wsp:val=&quot;00EC1C72&quot;/&gt;&lt;wsp:rsid wsp:val=&quot;00EC3CC9&quot;/&gt;&lt;wsp:rsid wsp:val=&quot;00EC680A&quot;/&gt;&lt;wsp:rsid wsp:val=&quot;00EE2BED&quot;/&gt;&lt;wsp:rsid wsp:val=&quot;00EE374B&quot;/&gt;&lt;wsp:rsid wsp:val=&quot;00F06493&quot;/&gt;&lt;wsp:rsid wsp:val=&quot;00F11BB5&quot;/&gt;&lt;wsp:rsid wsp:val=&quot;00F1417B&quot;/&gt;&lt;wsp:rsid wsp:val=&quot;00F34B99&quot;/&gt;&lt;wsp:rsid wsp:val=&quot;00F52DAB&quot;/&gt;&lt;wsp:rsid wsp:val=&quot;00F543F0&quot;/&gt;&lt;wsp:rsid wsp:val=&quot;00F63B1A&quot;/&gt;&lt;wsp:rsid wsp:val=&quot;00F81D29&quot;/&gt;&lt;wsp:rsid wsp:val=&quot;00F91C4D&quot;/&gt;&lt;wsp:rsid wsp:val=&quot;00F92FD9&quot;/&gt;&lt;wsp:rsid wsp:val=&quot;00FA6684&quot;/&gt;&lt;wsp:rsid wsp:val=&quot;00FA731E&quot;/&gt;&lt;wsp:rsid wsp:val=&quot;00FB05EB&quot;/&gt;&lt;wsp:rsid wsp:val=&quot;00FB2B38&quot;/&gt;&lt;wsp:rsid wsp:val=&quot;00FC4AFB&quot;/&gt;&lt;wsp:rsid wsp:val=&quot;00FC6358&quot;/&gt;&lt;wsp:rsid wsp:val=&quot;00FD320D&quot;/&gt;&lt;wsp:rsid wsp:val=&quot;00FE23DE&quot;/&gt;&lt;wsp:rsid wsp:val=&quot;00FF27B4&quot;/&gt;&lt;/wsp:rsids&gt;&lt;/w:docPr&gt;&lt;w:body&gt;&lt;wx:sect&gt;&lt;w:p wsp:rsidR=&quot;00000000&quot; wsp:rsidRDefault=&quot;00A878DE&quot; wsp:rsidP=&quot;00A878DE&quot;&gt;&lt;m:oMathPara&gt;&lt;m:oMath&gt;&lt;m:sSub&gt;&lt;m:sSubPr&gt;&lt;m:ctrlPr&gt;&lt;w:rPr&gt;&lt;w:rFonts w:ascii=&quot;Cambria Math&quot; w:fareast=&quot;绛夌嚎&quot; w:h-ansi=&quot;Cambria Math&quot;/&gt;&lt;wx:font wx:val=&quot;Cambria Math&quot;/&gt;&lt;w:i/&gt;&lt;w:kern w:val=&quot;0&quot;/&gt;&lt;w:sz w:val=&quot;24&quot;/&gt;&lt;w:sz-cs w:val=&quot;20&quot;/&gt;&lt;/w:rPr&gt;&lt;/m:ctrlPr&gt;&lt;/m:sSubPr&gt;&lt;m:e&gt;&lt;m:r&gt;&lt;w:rPr&gt;&lt;w:rFonts w:ascii=&quot;Cambria Math&quot; w:h-ansi=&quot;Cambria Math&quot;/&gt;&lt;wx:fa Ma Ma Ma Ma Ma Ma Ma Ma Mont wx:val=&quot;Cambria Math&quot;/&gt;&lt;w:i/&gt;&lt;w:sz w:val=&quot;24&quot;/&gt;&lt;/w:rPr&gt;&lt;m:t&gt;P&lt;/m:t&gt;&lt;/m:r&gt;&lt;/m:e&gt;&lt;m:sub&gt;&lt;m:r&gt;&lt;w:rPr&gt;&lt;w:rFonts w:ascii=&quot;Cambria Math&quot; w:h-ansi=&quot;Cambria Math&quot;/&gt;&lt;wx:font wx:val=&quot;Cambria Math&quot;/&gt;&lt;w:i/&gt;&lt;/w:rPr&gt;&lt;m:t&gt;l&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r>
        <w:fldChar w:fldCharType="end"/>
      </w:r>
      <w:r>
        <w:t xml:space="preserve"> </w:t>
      </w:r>
      <w:r>
        <w:rPr>
          <w:rFonts w:hint="eastAsia"/>
        </w:rPr>
        <w:t>——该工业企业</w:t>
      </w:r>
      <m:oMath>
        <m:r>
          <m:rPr/>
          <w:rPr>
            <w:rFonts w:hint="eastAsia" w:ascii="Cambria Math" w:hAnsi="Cambria Math"/>
          </w:rPr>
          <m:t>l</m:t>
        </m:r>
      </m:oMath>
      <w:r>
        <w:rPr>
          <w:rFonts w:hint="eastAsia"/>
        </w:rPr>
        <w:t>的主要产品产量，单位为吨每年（t</w:t>
      </w:r>
      <w:r>
        <w:t>/</w:t>
      </w:r>
      <w:r>
        <w:rPr>
          <w:rFonts w:hint="eastAsia"/>
        </w:rPr>
        <w:t>a）。</w:t>
      </w:r>
    </w:p>
    <w:p w14:paraId="4F539E9A">
      <w:pPr>
        <w:ind w:firstLine="560"/>
      </w:pPr>
      <w:r>
        <w:rPr>
          <w:rFonts w:hint="eastAsia"/>
        </w:rPr>
        <w:t>（2）典型高能耗工业的低品位余热总量估算方法</w:t>
      </w:r>
    </w:p>
    <w:p w14:paraId="2C69D2F6">
      <w:pPr>
        <w:ind w:firstLine="560"/>
      </w:pPr>
      <w:r>
        <w:rPr>
          <w:rFonts w:hint="eastAsia"/>
        </w:rPr>
        <w:t>（一）黑色金属冶炼及压延加工业</w:t>
      </w:r>
    </w:p>
    <w:p w14:paraId="24A8EE7C">
      <w:pPr>
        <w:ind w:firstLine="560"/>
      </w:pPr>
      <w:r>
        <w:rPr>
          <w:rFonts w:hint="eastAsia"/>
        </w:rPr>
        <w:t>钢铁冶炼是黑色金属冶炼及压延加行业的代表是以石灰石、铁矿石、煤为主要原料，生产型钢、螺纹钢等钢材产品的工业部门。</w:t>
      </w:r>
    </w:p>
    <w:p w14:paraId="2DFC9B8A">
      <w:pPr>
        <w:ind w:firstLine="560"/>
      </w:pPr>
      <w:r>
        <w:drawing>
          <wp:anchor distT="0" distB="0" distL="114300" distR="114300" simplePos="0" relativeHeight="251659264" behindDoc="0" locked="0" layoutInCell="1" allowOverlap="1">
            <wp:simplePos x="0" y="0"/>
            <wp:positionH relativeFrom="column">
              <wp:posOffset>1282065</wp:posOffset>
            </wp:positionH>
            <wp:positionV relativeFrom="paragraph">
              <wp:posOffset>659130</wp:posOffset>
            </wp:positionV>
            <wp:extent cx="3054985" cy="1398270"/>
            <wp:effectExtent l="0" t="0" r="0" b="0"/>
            <wp:wrapTopAndBottom/>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7">
                      <a:extLst>
                        <a:ext uri="{28A0092B-C50C-407E-A947-70E740481C1C}">
                          <a14:useLocalDpi xmlns:a14="http://schemas.microsoft.com/office/drawing/2010/main" val="0"/>
                        </a:ext>
                      </a:extLst>
                    </a:blip>
                    <a:srcRect/>
                    <a:stretch>
                      <a:fillRect/>
                    </a:stretch>
                  </pic:blipFill>
                  <pic:spPr>
                    <a:xfrm>
                      <a:off x="0" y="0"/>
                      <a:ext cx="3054985" cy="1398270"/>
                    </a:xfrm>
                    <a:prstGeom prst="rect">
                      <a:avLst/>
                    </a:prstGeom>
                    <a:noFill/>
                  </pic:spPr>
                </pic:pic>
              </a:graphicData>
            </a:graphic>
          </wp:anchor>
        </w:drawing>
      </w:r>
      <w:r>
        <w:rPr>
          <w:rFonts w:hint="eastAsia"/>
        </w:rPr>
        <w:t>采用氧气转炉炼钢工艺的钢铁厂的典型工艺流程如图</w:t>
      </w:r>
      <w:r>
        <w:t>1</w:t>
      </w:r>
      <w:r>
        <w:rPr>
          <w:rFonts w:hint="eastAsia"/>
        </w:rPr>
        <w:t>所示。</w:t>
      </w:r>
    </w:p>
    <w:p w14:paraId="4EE7D7DF">
      <w:pPr>
        <w:ind w:firstLine="560"/>
        <w:jc w:val="center"/>
      </w:pPr>
      <w:bookmarkStart w:id="1" w:name="_Toc416277713"/>
      <w:r>
        <w:rPr>
          <w:rFonts w:hint="eastAsia"/>
        </w:rPr>
        <w:t>图</w:t>
      </w:r>
      <w:r>
        <w:t>1</w:t>
      </w:r>
      <w:r>
        <w:rPr>
          <w:rFonts w:hint="eastAsia"/>
        </w:rPr>
        <w:t>典型钢铁厂的工艺流程</w:t>
      </w:r>
      <w:bookmarkEnd w:id="1"/>
    </w:p>
    <w:p w14:paraId="5FA62210">
      <w:pPr>
        <w:ind w:firstLine="560"/>
      </w:pPr>
      <w:r>
        <w:rPr>
          <w:rFonts w:hint="eastAsia"/>
        </w:rPr>
        <w:t>煤在炼焦炉中转化为焦炭。很多钢铁厂并不生产焦炭，而是从焦化厂外购。除焦化工序外，钢铁厂生产工艺主要包括三道工序。</w:t>
      </w:r>
    </w:p>
    <w:p w14:paraId="0375B8E7">
      <w:pPr>
        <w:ind w:firstLine="560"/>
      </w:pPr>
      <w:r>
        <w:rPr>
          <w:rFonts w:hint="eastAsia"/>
        </w:rPr>
        <w:t>一是烧结工序，以焦炭（或煤）、铁矿石为主要原料，在烧结机中生产烧结矿，并排出烟气。大部分钢铁厂利用余热锅炉将烧结矿的高温余热回收用于产生低压蒸汽后发电自用，使得烧结矿从约800℃冷却至150℃。烧结烟气的温度一般低于250℃，但热量占烧结工序全部热支出的近20%。目前烧结烟气余热鲜有利用。</w:t>
      </w:r>
    </w:p>
    <w:p w14:paraId="56431769">
      <w:pPr>
        <w:ind w:firstLine="560"/>
      </w:pPr>
      <w:r>
        <w:rPr>
          <w:rFonts w:hint="eastAsia"/>
        </w:rPr>
        <w:t>二是炼铁工序，以烧结矿、煤、焦炭为主要原料，在高炉中生产铁水，同时产出两种副产物：煤气和铁渣。高炉煤气高温高压，其余压在大型钢铁厂内一般应用高炉煤气余压透平发电装置（TRT）予以回收利用，TRT出口的煤气温度约200℃。高炉煤气的化学热在一些先进钢铁厂内已经得到利用，途径包括余热发电、作为热风炉燃料、轧钢加热炉燃料等。高炉煤气作为燃料，使用前必须经过洗涤环节进行除尘。采用湿法洗涤时，煤气显热被洗涤水带走，由于洗涤水中含有大量悬浮物，且硬度高，目前煤气洗涤余热尚未利用。采用干法洗涤时，煤气显然不予利用而保持较高温度，有利于燃烧过程的实现。高炉铁渣最常见的处理方式是水淬法冲渣，通过换热的方式将冲渣水中的余热回收用于厂区或周边小区的供暖，国内已有济钢、唐钢、鞍钢、宣钢等多家大型钢铁厂进行了工程实践。为了保护高炉炉衬，常用循环工业用水冷却高炉炉壁，为了避免结垢、局部汽化等危害，绝大多数钢铁厂都尽量将冷却水温控制在40℃以内；采用软水密闭循环冷却技术，可以提高冷却水的允许温度范围，但目前采用此项技术的钢铁厂并不多。</w:t>
      </w:r>
    </w:p>
    <w:p w14:paraId="66E5F866">
      <w:pPr>
        <w:ind w:firstLine="560"/>
      </w:pPr>
      <w:r>
        <w:rPr>
          <w:rFonts w:hint="eastAsia"/>
        </w:rPr>
        <w:t>三是炼钢工序，以高炉产出的铁水为主要原料，在转炉中吹氧生成粗钢，同时产生两种副产物：钢渣与煤气。粗钢分别在连铸车间、轧钢车间经过连铸、轧钢等加工工序最终成为钢材。转炉煤气的显热余热大多被汽化冷却器（实质是余热锅炉）回收用于发电，汽化冷却器出口的煤气温度仍有约800℃；转炉煤气的化学热在绝大多数钢厂内都通过燃烧方式利用。转炉煤气作为燃料前同样需要先对其洗涤净化，转炉煤气洗涤水中的余热未被利用。转炉钢渣余热在多数钢铁厂未被利用。转炉顶部的氧枪需要冷却才可正常连续工作，该部分余热由循环冷却水带走。连铸是钢水制成钢坯的过程，连铸过程中热量大部分以水的汽化潜热形式散走，放散的蒸汽难以利用。按轧制温度，轧钢工序可分为热轧与冷轧两类。在热轧钢工序中，要求钢坯保持较高的温度，因此连铸工序得到的钢坯的显热一般不考虑利用，而应尽量设法保持其温度，以减少热轧钢工序的再热量。热轧过程的余热大多以轧制过程中钢坯、钢材向环境的高温辐射形式散失，钢材温度从约800℃降低至100℃。有研究者提出了对轧钢冷床进行改造，利用列管式换热器或热管换热器将轧钢余热回收并用于厂区洗浴或采暖用热的设计理念，但实际生产中多数钢厂并未利用这部分余热。</w:t>
      </w:r>
    </w:p>
    <w:p w14:paraId="1F77586B">
      <w:pPr>
        <w:ind w:firstLine="560"/>
      </w:pPr>
      <w:r>
        <w:rPr>
          <w:rFonts w:hint="eastAsia"/>
        </w:rPr>
        <w:t>综上所述，钢铁厂主要的低品位余热资源包括：烧结工序的烧结烟气，炼铁工序的高炉铁渣（或冲渣水）、高炉炉壁冷却循环水、高炉煤气洗涤水，炼钢工序的钢渣、转炉氧枪冷却循环水、转炉煤气洗涤水，热轧钢环节的轧钢以及余热发电环节的乏汽等。</w:t>
      </w:r>
    </w:p>
    <w:p w14:paraId="4087C1E9">
      <w:pPr>
        <w:ind w:firstLine="560"/>
      </w:pPr>
      <w:r>
        <w:rPr>
          <w:rFonts w:hint="eastAsia"/>
        </w:rPr>
        <w:t>钢铁厂生产工艺的主要特点是：工序复杂繁多；核心设备少，主体设备为“三炉”：烧结炉、高炉与转炉；核心设备之间的物料流动、能量流动单向且解耦。针对上述特点，对于钢铁厂单位质量产品的余热量（MJ/吨钢（铁））的估算采用基于核心工序及设备的热平衡估算方法，具体计算过程如下。</w:t>
      </w:r>
    </w:p>
    <w:p w14:paraId="4F115016">
      <w:pPr>
        <w:spacing w:line="300" w:lineRule="auto"/>
        <w:ind w:firstLine="560"/>
        <w:jc w:val="left"/>
        <w:rPr>
          <w:rFonts w:ascii="宋体" w:hAnsi="宋体"/>
          <w:bCs/>
          <w:sz w:val="21"/>
          <w:szCs w:val="21"/>
        </w:rPr>
      </w:pPr>
      <w:r>
        <w:rPr>
          <w:rFonts w:hint="eastAsia" w:ascii="宋体" w:hAnsi="宋体"/>
          <w:bCs/>
          <w:szCs w:val="21"/>
        </w:rPr>
        <w:t>炼焦部分包括焦炭显热，干熄焦发电乏汽余热，初冷器冷却余热以及焦炉废烟气余热。以干熄焦发电乏汽余热为例，焦炭初温为1000℃，终温为170℃，燃烧效率为73%计算：</w:t>
      </w:r>
    </w:p>
    <w:p w14:paraId="663A3741">
      <w:pPr>
        <w:spacing w:line="300" w:lineRule="auto"/>
        <w:ind w:firstLine="0" w:firstLineChars="0"/>
        <w:jc w:val="center"/>
        <w:rPr>
          <w:rFonts w:ascii="宋体" w:hAnsi="宋体"/>
          <w:bCs/>
          <w:szCs w:val="21"/>
        </w:rPr>
      </w:pPr>
      <w:r>
        <w:rPr>
          <w:rFonts w:hint="eastAsia" w:ascii="宋体" w:hAnsi="宋体"/>
          <w:bCs/>
          <w:szCs w:val="21"/>
        </w:rPr>
        <w:t>Q</w:t>
      </w:r>
      <w:r>
        <w:rPr>
          <w:rFonts w:hint="eastAsia" w:ascii="宋体" w:hAnsi="宋体"/>
          <w:bCs/>
          <w:szCs w:val="21"/>
          <w:vertAlign w:val="subscript"/>
        </w:rPr>
        <w:t>(焦炭，1000→170)</w:t>
      </w:r>
      <w:r>
        <w:rPr>
          <w:rFonts w:hint="eastAsia" w:ascii="宋体" w:hAnsi="宋体"/>
          <w:bCs/>
          <w:szCs w:val="21"/>
        </w:rPr>
        <w:t>=Q</w:t>
      </w:r>
      <w:r>
        <w:rPr>
          <w:rFonts w:hint="eastAsia" w:ascii="宋体" w:hAnsi="宋体"/>
          <w:bCs/>
          <w:szCs w:val="21"/>
          <w:vertAlign w:val="subscript"/>
        </w:rPr>
        <w:t>(焦炭，1000)</w:t>
      </w:r>
      <w:r>
        <w:rPr>
          <w:rFonts w:hint="eastAsia" w:ascii="宋体" w:hAnsi="宋体"/>
          <w:bCs/>
          <w:szCs w:val="21"/>
        </w:rPr>
        <w:t>-Q</w:t>
      </w:r>
      <w:r>
        <w:rPr>
          <w:rFonts w:hint="eastAsia" w:ascii="宋体" w:hAnsi="宋体"/>
          <w:bCs/>
          <w:szCs w:val="21"/>
          <w:vertAlign w:val="subscript"/>
        </w:rPr>
        <w:t>(焦炭，170)</w:t>
      </w:r>
    </w:p>
    <w:p w14:paraId="62669B97">
      <w:pPr>
        <w:spacing w:line="300" w:lineRule="auto"/>
        <w:ind w:firstLine="0" w:firstLineChars="0"/>
        <w:jc w:val="center"/>
        <w:rPr>
          <w:rFonts w:ascii="宋体" w:hAnsi="宋体"/>
          <w:bCs/>
          <w:szCs w:val="21"/>
        </w:rPr>
      </w:pPr>
      <w:r>
        <w:rPr>
          <w:rFonts w:hint="eastAsia" w:ascii="宋体" w:hAnsi="宋体"/>
          <w:bCs/>
          <w:szCs w:val="21"/>
        </w:rPr>
        <w:t>=1631-199.05=1431.95MJ/t焦炭</w:t>
      </w:r>
    </w:p>
    <w:p w14:paraId="156BEE0A">
      <w:pPr>
        <w:spacing w:line="300" w:lineRule="auto"/>
        <w:ind w:firstLine="0" w:firstLineChars="0"/>
        <w:jc w:val="center"/>
        <w:rPr>
          <w:rFonts w:ascii="宋体" w:hAnsi="宋体"/>
          <w:bCs/>
          <w:szCs w:val="21"/>
        </w:rPr>
      </w:pPr>
      <w:r>
        <w:rPr>
          <w:rFonts w:hint="eastAsia" w:ascii="宋体" w:hAnsi="宋体"/>
          <w:bCs/>
          <w:szCs w:val="21"/>
        </w:rPr>
        <w:t>Q=73%×Q</w:t>
      </w:r>
      <w:r>
        <w:rPr>
          <w:rFonts w:hint="eastAsia" w:ascii="宋体" w:hAnsi="宋体"/>
          <w:bCs/>
          <w:szCs w:val="21"/>
          <w:vertAlign w:val="subscript"/>
        </w:rPr>
        <w:t>(焦炭，1000→170)</w:t>
      </w:r>
      <w:r>
        <w:rPr>
          <w:rFonts w:hint="eastAsia" w:ascii="宋体" w:hAnsi="宋体"/>
          <w:bCs/>
          <w:szCs w:val="21"/>
        </w:rPr>
        <w:t>=1045.32MJ/t焦炭</w:t>
      </w:r>
    </w:p>
    <w:p w14:paraId="6897A49C">
      <w:pPr>
        <w:spacing w:line="300" w:lineRule="auto"/>
        <w:ind w:firstLine="560"/>
        <w:jc w:val="left"/>
        <w:rPr>
          <w:rFonts w:ascii="宋体" w:hAnsi="宋体"/>
          <w:bCs/>
          <w:szCs w:val="21"/>
        </w:rPr>
      </w:pPr>
      <w:r>
        <w:rPr>
          <w:rFonts w:hint="eastAsia" w:ascii="宋体" w:hAnsi="宋体"/>
          <w:bCs/>
          <w:szCs w:val="21"/>
        </w:rPr>
        <w:t>烧结部分包括烧结矿成品余热，余热锅炉烟气余热以及发电乏汽余热。以发电乏汽余热为例，按照发电效率为22%进行计算：</w:t>
      </w:r>
    </w:p>
    <w:p w14:paraId="1C92F09B">
      <w:pPr>
        <w:spacing w:line="300" w:lineRule="auto"/>
        <w:ind w:firstLine="0" w:firstLineChars="0"/>
        <w:jc w:val="center"/>
        <w:rPr>
          <w:rFonts w:ascii="宋体" w:hAnsi="宋体"/>
          <w:bCs/>
          <w:szCs w:val="21"/>
        </w:rPr>
      </w:pPr>
      <w:r>
        <w:rPr>
          <w:rFonts w:hint="eastAsia" w:ascii="宋体" w:hAnsi="宋体"/>
          <w:bCs/>
          <w:szCs w:val="21"/>
        </w:rPr>
        <w:t>Q</w:t>
      </w:r>
      <w:r>
        <w:rPr>
          <w:rFonts w:hint="eastAsia" w:ascii="宋体" w:hAnsi="宋体"/>
          <w:bCs/>
          <w:szCs w:val="21"/>
          <w:vertAlign w:val="subscript"/>
        </w:rPr>
        <w:t>汽</w:t>
      </w:r>
      <w:r>
        <w:rPr>
          <w:rFonts w:hint="eastAsia" w:ascii="宋体" w:hAnsi="宋体"/>
          <w:bCs/>
          <w:szCs w:val="21"/>
        </w:rPr>
        <w:t xml:space="preserve">=（h </w:t>
      </w:r>
      <w:r>
        <w:rPr>
          <w:rFonts w:hint="eastAsia" w:ascii="宋体" w:hAnsi="宋体"/>
          <w:bCs/>
          <w:szCs w:val="21"/>
          <w:vertAlign w:val="subscript"/>
        </w:rPr>
        <w:t>(蒸汽，360℃，1.27MPa)</w:t>
      </w:r>
      <w:r>
        <w:rPr>
          <w:rFonts w:hint="eastAsia" w:ascii="宋体" w:hAnsi="宋体"/>
          <w:bCs/>
          <w:szCs w:val="21"/>
        </w:rPr>
        <w:t>-h</w:t>
      </w:r>
      <w:r>
        <w:rPr>
          <w:rFonts w:hint="eastAsia" w:ascii="宋体" w:hAnsi="宋体"/>
          <w:bCs/>
          <w:szCs w:val="21"/>
          <w:vertAlign w:val="subscript"/>
        </w:rPr>
        <w:t>(水，45℃)</w:t>
      </w:r>
      <w:r>
        <w:rPr>
          <w:rFonts w:hint="eastAsia" w:ascii="宋体" w:hAnsi="宋体"/>
          <w:bCs/>
          <w:szCs w:val="21"/>
        </w:rPr>
        <w:t>）*m</w:t>
      </w:r>
      <w:r>
        <w:rPr>
          <w:rFonts w:hint="eastAsia" w:ascii="宋体" w:hAnsi="宋体"/>
          <w:bCs/>
          <w:szCs w:val="21"/>
          <w:vertAlign w:val="subscript"/>
        </w:rPr>
        <w:t>蒸汽</w:t>
      </w:r>
      <w:r>
        <w:rPr>
          <w:rFonts w:hint="eastAsia" w:ascii="宋体" w:hAnsi="宋体"/>
          <w:bCs/>
          <w:szCs w:val="21"/>
        </w:rPr>
        <w:t>*18=295.48MJ/t烧结矿</w:t>
      </w:r>
    </w:p>
    <w:p w14:paraId="4C252E6B">
      <w:pPr>
        <w:spacing w:line="300" w:lineRule="auto"/>
        <w:ind w:firstLine="0" w:firstLineChars="0"/>
        <w:jc w:val="center"/>
        <w:rPr>
          <w:rFonts w:ascii="宋体" w:hAnsi="宋体"/>
          <w:bCs/>
          <w:szCs w:val="21"/>
        </w:rPr>
      </w:pPr>
      <w:r>
        <w:rPr>
          <w:rFonts w:hint="eastAsia" w:ascii="宋体" w:hAnsi="宋体"/>
          <w:bCs/>
          <w:szCs w:val="21"/>
        </w:rPr>
        <w:t>Q</w:t>
      </w:r>
      <w:r>
        <w:rPr>
          <w:rFonts w:hint="eastAsia" w:ascii="宋体" w:hAnsi="宋体"/>
          <w:bCs/>
          <w:szCs w:val="21"/>
          <w:vertAlign w:val="subscript"/>
        </w:rPr>
        <w:t>乏汽</w:t>
      </w:r>
      <w:r>
        <w:rPr>
          <w:rFonts w:hint="eastAsia" w:ascii="宋体" w:hAnsi="宋体"/>
          <w:bCs/>
          <w:szCs w:val="21"/>
        </w:rPr>
        <w:t>=Q</w:t>
      </w:r>
      <w:r>
        <w:rPr>
          <w:rFonts w:hint="eastAsia" w:ascii="宋体" w:hAnsi="宋体"/>
          <w:bCs/>
          <w:szCs w:val="21"/>
          <w:vertAlign w:val="subscript"/>
        </w:rPr>
        <w:t>汽</w:t>
      </w:r>
      <w:r>
        <w:rPr>
          <w:rFonts w:hint="eastAsia" w:ascii="宋体" w:hAnsi="宋体"/>
          <w:bCs/>
          <w:szCs w:val="21"/>
        </w:rPr>
        <w:t>×78%=230.68MJ/t烧结矿</w:t>
      </w:r>
    </w:p>
    <w:p w14:paraId="49729CFB">
      <w:pPr>
        <w:spacing w:line="300" w:lineRule="auto"/>
        <w:ind w:firstLine="560"/>
        <w:jc w:val="left"/>
        <w:rPr>
          <w:rFonts w:ascii="宋体" w:hAnsi="宋体"/>
          <w:bCs/>
          <w:szCs w:val="21"/>
        </w:rPr>
      </w:pPr>
      <w:r>
        <w:rPr>
          <w:rFonts w:hint="eastAsia" w:ascii="宋体" w:hAnsi="宋体"/>
          <w:bCs/>
          <w:szCs w:val="21"/>
        </w:rPr>
        <w:t>炼铁部分包括热风炉烟气，高炉铁渣，炉壁冷却循环水等余热。</w:t>
      </w:r>
    </w:p>
    <w:p w14:paraId="4CFD286B">
      <w:pPr>
        <w:spacing w:line="300" w:lineRule="auto"/>
        <w:ind w:firstLine="560"/>
        <w:jc w:val="left"/>
        <w:rPr>
          <w:rFonts w:ascii="宋体" w:hAnsi="宋体"/>
          <w:bCs/>
          <w:szCs w:val="21"/>
        </w:rPr>
      </w:pPr>
      <w:r>
        <w:rPr>
          <w:rFonts w:hint="eastAsia" w:ascii="宋体" w:hAnsi="宋体"/>
          <w:bCs/>
          <w:szCs w:val="21"/>
        </w:rPr>
        <w:t>转炉部分包括钢渣，水冷氧枪冷却，转炉低压蒸汽发电乏汽和转炉煤气净化余热。以蒸汽发电乏汽为例，设蒸汽温度180℃，凝结水温度为45摄氏度℃进行计算：</w:t>
      </w:r>
    </w:p>
    <w:p w14:paraId="2704658B">
      <w:pPr>
        <w:spacing w:line="300" w:lineRule="auto"/>
        <w:ind w:firstLine="0" w:firstLineChars="0"/>
        <w:jc w:val="center"/>
        <w:rPr>
          <w:rFonts w:ascii="宋体" w:hAnsi="宋体"/>
          <w:bCs/>
          <w:szCs w:val="21"/>
          <w:vertAlign w:val="subscript"/>
        </w:rPr>
      </w:pPr>
      <w:r>
        <w:rPr>
          <w:rFonts w:hint="eastAsia" w:ascii="宋体" w:hAnsi="宋体"/>
          <w:bCs/>
          <w:szCs w:val="21"/>
        </w:rPr>
        <w:t>Q</w:t>
      </w:r>
      <w:r>
        <w:rPr>
          <w:rFonts w:hint="eastAsia" w:ascii="宋体" w:hAnsi="宋体"/>
          <w:bCs/>
          <w:szCs w:val="21"/>
          <w:vertAlign w:val="subscript"/>
        </w:rPr>
        <w:t>汽</w:t>
      </w:r>
      <w:r>
        <w:rPr>
          <w:rFonts w:hint="eastAsia" w:ascii="宋体" w:hAnsi="宋体"/>
          <w:bCs/>
          <w:szCs w:val="21"/>
        </w:rPr>
        <w:t>=（h</w:t>
      </w:r>
      <w:r>
        <w:rPr>
          <w:rFonts w:hint="eastAsia" w:ascii="宋体" w:hAnsi="宋体"/>
          <w:bCs/>
          <w:szCs w:val="21"/>
          <w:vertAlign w:val="subscript"/>
        </w:rPr>
        <w:t>(蒸汽，180℃,1MPa)</w:t>
      </w:r>
      <w:r>
        <w:rPr>
          <w:rFonts w:hint="eastAsia" w:ascii="宋体" w:hAnsi="宋体"/>
          <w:bCs/>
          <w:szCs w:val="21"/>
        </w:rPr>
        <w:t>-h</w:t>
      </w:r>
      <w:r>
        <w:rPr>
          <w:rFonts w:hint="eastAsia" w:ascii="宋体" w:hAnsi="宋体"/>
          <w:bCs/>
          <w:szCs w:val="21"/>
          <w:vertAlign w:val="subscript"/>
        </w:rPr>
        <w:t>(水，45℃)</w:t>
      </w:r>
      <w:r>
        <w:rPr>
          <w:rFonts w:hint="eastAsia" w:ascii="宋体" w:hAnsi="宋体"/>
          <w:bCs/>
          <w:szCs w:val="21"/>
        </w:rPr>
        <w:t>）*m</w:t>
      </w:r>
      <w:r>
        <w:rPr>
          <w:rFonts w:hint="eastAsia" w:ascii="宋体" w:hAnsi="宋体"/>
          <w:bCs/>
          <w:szCs w:val="21"/>
          <w:vertAlign w:val="subscript"/>
        </w:rPr>
        <w:t>蒸汽</w:t>
      </w:r>
    </w:p>
    <w:p w14:paraId="6EB842B6">
      <w:pPr>
        <w:spacing w:line="300" w:lineRule="auto"/>
        <w:ind w:firstLine="0" w:firstLineChars="0"/>
        <w:jc w:val="center"/>
        <w:rPr>
          <w:rFonts w:ascii="宋体" w:hAnsi="宋体"/>
          <w:bCs/>
          <w:szCs w:val="21"/>
        </w:rPr>
      </w:pPr>
      <w:r>
        <w:rPr>
          <w:rFonts w:hint="eastAsia" w:ascii="宋体" w:hAnsi="宋体"/>
          <w:bCs/>
          <w:szCs w:val="21"/>
        </w:rPr>
        <w:t>=（2777.3-188.95）*80/1000</w:t>
      </w:r>
    </w:p>
    <w:p w14:paraId="2DE42951">
      <w:pPr>
        <w:spacing w:line="300" w:lineRule="auto"/>
        <w:ind w:firstLine="0" w:firstLineChars="0"/>
        <w:jc w:val="center"/>
        <w:rPr>
          <w:rFonts w:ascii="宋体" w:hAnsi="宋体"/>
          <w:bCs/>
          <w:szCs w:val="21"/>
        </w:rPr>
      </w:pPr>
      <w:r>
        <w:rPr>
          <w:rFonts w:hint="eastAsia" w:ascii="宋体" w:hAnsi="宋体"/>
          <w:bCs/>
          <w:szCs w:val="21"/>
        </w:rPr>
        <w:t>=207.06MJ/t钢</w:t>
      </w:r>
    </w:p>
    <w:p w14:paraId="2511E32A">
      <w:pPr>
        <w:spacing w:line="300" w:lineRule="auto"/>
        <w:ind w:firstLine="0" w:firstLineChars="0"/>
        <w:jc w:val="center"/>
        <w:rPr>
          <w:rFonts w:ascii="宋体" w:hAnsi="宋体"/>
          <w:bCs/>
          <w:szCs w:val="21"/>
        </w:rPr>
      </w:pPr>
      <w:r>
        <w:rPr>
          <w:rFonts w:hint="eastAsia" w:ascii="宋体" w:hAnsi="宋体"/>
          <w:bCs/>
          <w:szCs w:val="21"/>
        </w:rPr>
        <w:t>Q</w:t>
      </w:r>
      <w:r>
        <w:rPr>
          <w:rFonts w:hint="eastAsia" w:ascii="宋体" w:hAnsi="宋体"/>
          <w:bCs/>
          <w:szCs w:val="21"/>
          <w:vertAlign w:val="subscript"/>
        </w:rPr>
        <w:t>乏汽</w:t>
      </w:r>
      <w:r>
        <w:rPr>
          <w:rFonts w:hint="eastAsia" w:ascii="宋体" w:hAnsi="宋体"/>
          <w:bCs/>
          <w:szCs w:val="21"/>
        </w:rPr>
        <w:t>=Q</w:t>
      </w:r>
      <w:r>
        <w:rPr>
          <w:rFonts w:hint="eastAsia" w:ascii="宋体" w:hAnsi="宋体"/>
          <w:bCs/>
          <w:szCs w:val="21"/>
          <w:vertAlign w:val="subscript"/>
        </w:rPr>
        <w:t>汽</w:t>
      </w:r>
      <w:r>
        <w:rPr>
          <w:rFonts w:hint="eastAsia" w:ascii="宋体" w:hAnsi="宋体"/>
          <w:bCs/>
          <w:szCs w:val="21"/>
        </w:rPr>
        <w:t>*80%=165.65MJ/t钢</w:t>
      </w:r>
    </w:p>
    <w:p w14:paraId="3A449AD3">
      <w:pPr>
        <w:spacing w:line="300" w:lineRule="auto"/>
        <w:ind w:firstLine="560"/>
        <w:jc w:val="left"/>
        <w:rPr>
          <w:rFonts w:ascii="宋体" w:hAnsi="宋体"/>
          <w:bCs/>
          <w:szCs w:val="21"/>
        </w:rPr>
      </w:pPr>
      <w:r>
        <w:rPr>
          <w:rFonts w:hint="eastAsia" w:ascii="宋体" w:hAnsi="宋体"/>
          <w:bCs/>
          <w:szCs w:val="21"/>
        </w:rPr>
        <w:t>轧钢部分包括钢坯余热，加热炉炉底汽化蒸汽发电乏汽余热以及加热炉烟气显热。设蒸汽温度180℃，凝结水温度为45摄氏度℃进行发电乏汽余热的计算：</w:t>
      </w:r>
    </w:p>
    <w:p w14:paraId="74F45EF3">
      <w:pPr>
        <w:spacing w:line="300" w:lineRule="auto"/>
        <w:ind w:firstLine="0" w:firstLineChars="0"/>
        <w:jc w:val="center"/>
        <w:rPr>
          <w:rFonts w:ascii="宋体" w:hAnsi="宋体"/>
          <w:bCs/>
          <w:szCs w:val="21"/>
          <w:vertAlign w:val="subscript"/>
        </w:rPr>
      </w:pPr>
      <w:r>
        <w:rPr>
          <w:rFonts w:hint="eastAsia" w:ascii="宋体" w:hAnsi="宋体"/>
          <w:bCs/>
          <w:szCs w:val="21"/>
        </w:rPr>
        <w:t>Q</w:t>
      </w:r>
      <w:r>
        <w:rPr>
          <w:rFonts w:hint="eastAsia" w:ascii="宋体" w:hAnsi="宋体"/>
          <w:bCs/>
          <w:szCs w:val="21"/>
          <w:vertAlign w:val="subscript"/>
        </w:rPr>
        <w:t>汽</w:t>
      </w:r>
      <w:r>
        <w:rPr>
          <w:rFonts w:hint="eastAsia" w:ascii="宋体" w:hAnsi="宋体"/>
          <w:bCs/>
          <w:szCs w:val="21"/>
        </w:rPr>
        <w:t>=（h</w:t>
      </w:r>
      <w:r>
        <w:rPr>
          <w:rFonts w:hint="eastAsia" w:ascii="宋体" w:hAnsi="宋体"/>
          <w:bCs/>
          <w:szCs w:val="21"/>
          <w:vertAlign w:val="subscript"/>
        </w:rPr>
        <w:t>(蒸汽，170℃,0.8MPa)</w:t>
      </w:r>
      <w:r>
        <w:rPr>
          <w:rFonts w:hint="eastAsia" w:ascii="宋体" w:hAnsi="宋体"/>
          <w:bCs/>
          <w:szCs w:val="21"/>
        </w:rPr>
        <w:t>-h</w:t>
      </w:r>
      <w:r>
        <w:rPr>
          <w:rFonts w:hint="eastAsia" w:ascii="宋体" w:hAnsi="宋体"/>
          <w:bCs/>
          <w:szCs w:val="21"/>
          <w:vertAlign w:val="subscript"/>
        </w:rPr>
        <w:t>(水，45℃)</w:t>
      </w:r>
      <w:r>
        <w:rPr>
          <w:rFonts w:hint="eastAsia" w:ascii="宋体" w:hAnsi="宋体"/>
          <w:bCs/>
          <w:szCs w:val="21"/>
        </w:rPr>
        <w:t>）*m</w:t>
      </w:r>
      <w:r>
        <w:rPr>
          <w:rFonts w:hint="eastAsia" w:ascii="宋体" w:hAnsi="宋体"/>
          <w:bCs/>
          <w:szCs w:val="21"/>
          <w:vertAlign w:val="subscript"/>
        </w:rPr>
        <w:t>蒸汽</w:t>
      </w:r>
    </w:p>
    <w:p w14:paraId="5DEB895C">
      <w:pPr>
        <w:spacing w:line="300" w:lineRule="auto"/>
        <w:ind w:firstLine="0" w:firstLineChars="0"/>
        <w:jc w:val="center"/>
        <w:rPr>
          <w:rFonts w:ascii="宋体" w:hAnsi="宋体"/>
          <w:bCs/>
          <w:szCs w:val="21"/>
        </w:rPr>
      </w:pPr>
      <w:r>
        <w:rPr>
          <w:rFonts w:hint="eastAsia" w:ascii="宋体" w:hAnsi="宋体"/>
          <w:bCs/>
          <w:szCs w:val="21"/>
        </w:rPr>
        <w:t>=（2733-188.95）*36/1000</w:t>
      </w:r>
    </w:p>
    <w:p w14:paraId="30017CA5">
      <w:pPr>
        <w:spacing w:line="300" w:lineRule="auto"/>
        <w:ind w:firstLine="0" w:firstLineChars="0"/>
        <w:jc w:val="center"/>
        <w:rPr>
          <w:rFonts w:ascii="宋体" w:hAnsi="宋体"/>
          <w:bCs/>
          <w:szCs w:val="21"/>
        </w:rPr>
      </w:pPr>
      <w:r>
        <w:rPr>
          <w:rFonts w:hint="eastAsia" w:ascii="宋体" w:hAnsi="宋体"/>
          <w:bCs/>
          <w:szCs w:val="21"/>
        </w:rPr>
        <w:t>=91.59MJ/t钢</w:t>
      </w:r>
    </w:p>
    <w:p w14:paraId="59AB33BB">
      <w:pPr>
        <w:spacing w:line="300" w:lineRule="auto"/>
        <w:ind w:firstLine="0" w:firstLineChars="0"/>
        <w:jc w:val="center"/>
        <w:rPr>
          <w:rFonts w:hint="eastAsia" w:ascii="宋体" w:hAnsi="宋体"/>
          <w:bCs/>
          <w:szCs w:val="21"/>
        </w:rPr>
      </w:pPr>
      <w:r>
        <w:rPr>
          <w:rFonts w:hint="eastAsia" w:ascii="宋体" w:hAnsi="宋体"/>
          <w:bCs/>
          <w:szCs w:val="21"/>
        </w:rPr>
        <w:t>Q</w:t>
      </w:r>
      <w:r>
        <w:rPr>
          <w:rFonts w:hint="eastAsia" w:ascii="宋体" w:hAnsi="宋体"/>
          <w:bCs/>
          <w:szCs w:val="21"/>
          <w:vertAlign w:val="subscript"/>
        </w:rPr>
        <w:t>乏汽</w:t>
      </w:r>
      <w:r>
        <w:rPr>
          <w:rFonts w:hint="eastAsia" w:ascii="宋体" w:hAnsi="宋体"/>
          <w:bCs/>
          <w:szCs w:val="21"/>
        </w:rPr>
        <w:t>=Q</w:t>
      </w:r>
      <w:r>
        <w:rPr>
          <w:rFonts w:hint="eastAsia" w:ascii="宋体" w:hAnsi="宋体"/>
          <w:bCs/>
          <w:szCs w:val="21"/>
          <w:vertAlign w:val="subscript"/>
        </w:rPr>
        <w:t>汽</w:t>
      </w:r>
      <w:r>
        <w:rPr>
          <w:rFonts w:hint="eastAsia" w:ascii="宋体" w:hAnsi="宋体"/>
          <w:bCs/>
          <w:szCs w:val="21"/>
        </w:rPr>
        <w:t>*80%=73.27MJ/t钢</w:t>
      </w:r>
    </w:p>
    <w:p w14:paraId="5F6CFA2F">
      <w:pPr>
        <w:ind w:firstLine="560"/>
      </w:pPr>
      <w:r>
        <w:rPr>
          <w:rFonts w:hint="eastAsia"/>
        </w:rPr>
        <w:t>（二）有色金属冶炼业</w:t>
      </w:r>
    </w:p>
    <w:p w14:paraId="731B43E3">
      <w:pPr>
        <w:ind w:firstLine="560"/>
      </w:pPr>
      <w:r>
        <w:rPr>
          <w:rFonts w:hint="eastAsia"/>
        </w:rPr>
        <w:t>有色金属冶炼行业类别繁多，铜冶炼是其中具有代表性的一个子行业，是以铜矿石、煤为主要原料，生产粗铜（或精铜）以及副产品工业浓硫酸的工业部门。</w:t>
      </w:r>
    </w:p>
    <w:p w14:paraId="1CBD2DEA">
      <w:pPr>
        <w:ind w:firstLine="560"/>
      </w:pPr>
      <w:r>
        <w:rPr>
          <w:rFonts w:hint="eastAsia"/>
        </w:rPr>
        <w:t>采用火法炼铜工艺的铜厂的典型工艺流程如图</w:t>
      </w:r>
      <w:r>
        <w:t>2</w:t>
      </w:r>
      <w:r>
        <w:rPr>
          <w:rFonts w:hint="eastAsia"/>
        </w:rPr>
        <w:t>所示。</w:t>
      </w:r>
      <w:r>
        <w:drawing>
          <wp:anchor distT="0" distB="0" distL="114300" distR="114300" simplePos="0" relativeHeight="251660288" behindDoc="0" locked="0" layoutInCell="1" allowOverlap="1">
            <wp:simplePos x="0" y="0"/>
            <wp:positionH relativeFrom="margin">
              <wp:align>center</wp:align>
            </wp:positionH>
            <wp:positionV relativeFrom="paragraph">
              <wp:posOffset>508635</wp:posOffset>
            </wp:positionV>
            <wp:extent cx="3738245" cy="824230"/>
            <wp:effectExtent l="0" t="0" r="0" b="0"/>
            <wp:wrapTopAndBottom/>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8">
                      <a:extLst>
                        <a:ext uri="{28A0092B-C50C-407E-A947-70E740481C1C}">
                          <a14:useLocalDpi xmlns:a14="http://schemas.microsoft.com/office/drawing/2010/main" val="0"/>
                        </a:ext>
                      </a:extLst>
                    </a:blip>
                    <a:stretch>
                      <a:fillRect/>
                    </a:stretch>
                  </pic:blipFill>
                  <pic:spPr>
                    <a:xfrm>
                      <a:off x="0" y="0"/>
                      <a:ext cx="3738245" cy="824230"/>
                    </a:xfrm>
                    <a:prstGeom prst="rect">
                      <a:avLst/>
                    </a:prstGeom>
                  </pic:spPr>
                </pic:pic>
              </a:graphicData>
            </a:graphic>
          </wp:anchor>
        </w:drawing>
      </w:r>
    </w:p>
    <w:p w14:paraId="209734DD">
      <w:pPr>
        <w:ind w:firstLine="0" w:firstLineChars="0"/>
        <w:jc w:val="center"/>
      </w:pPr>
      <w:bookmarkStart w:id="2" w:name="_Toc416277717"/>
      <w:r>
        <w:rPr>
          <w:rFonts w:hint="eastAsia"/>
        </w:rPr>
        <w:t>图</w:t>
      </w:r>
      <w:r>
        <w:t>2</w:t>
      </w:r>
      <w:r>
        <w:rPr>
          <w:rFonts w:hint="eastAsia"/>
        </w:rPr>
        <w:t>典型火法炼铜工艺流程</w:t>
      </w:r>
      <w:bookmarkEnd w:id="2"/>
    </w:p>
    <w:p w14:paraId="63D3C75E">
      <w:pPr>
        <w:ind w:firstLine="560"/>
      </w:pPr>
      <w:r>
        <w:rPr>
          <w:rFonts w:hint="eastAsia"/>
        </w:rPr>
        <w:t>反应原理：</w:t>
      </w:r>
    </w:p>
    <w:p w14:paraId="4E944D1F">
      <w:pPr>
        <w:ind w:firstLine="0" w:firstLineChars="0"/>
        <w:jc w:val="center"/>
      </w:pPr>
      <w:r>
        <w:t>2CuFeS</w:t>
      </w:r>
      <w:r>
        <w:rPr>
          <w:vertAlign w:val="subscript"/>
        </w:rPr>
        <w:t>2</w:t>
      </w:r>
      <w:r>
        <w:t>→Cu</w:t>
      </w:r>
      <w:r>
        <w:rPr>
          <w:vertAlign w:val="subscript"/>
        </w:rPr>
        <w:t>2</w:t>
      </w:r>
      <w:r>
        <w:t>S+2FeS+S</w:t>
      </w:r>
    </w:p>
    <w:p w14:paraId="2A5F6E49">
      <w:pPr>
        <w:ind w:firstLine="0" w:firstLineChars="0"/>
        <w:jc w:val="center"/>
      </w:pPr>
      <w:r>
        <w:t>Cu</w:t>
      </w:r>
      <w:r>
        <w:rPr>
          <w:vertAlign w:val="subscript"/>
        </w:rPr>
        <w:t>2</w:t>
      </w:r>
      <w:r>
        <w:t>O+FeS→Cu</w:t>
      </w:r>
      <w:r>
        <w:rPr>
          <w:vertAlign w:val="subscript"/>
        </w:rPr>
        <w:t>2</w:t>
      </w:r>
      <w:r>
        <w:t>S+FeO</w:t>
      </w:r>
    </w:p>
    <w:p w14:paraId="2A16C00F">
      <w:pPr>
        <w:ind w:firstLine="560"/>
      </w:pPr>
      <w:r>
        <w:rPr>
          <w:rFonts w:hint="eastAsia"/>
        </w:rPr>
        <w:t>铜矿石、煤或焦炭在熔炼炉内发生熔炼反应，生成冰铜、熔渣与SO</w:t>
      </w:r>
      <w:r>
        <w:rPr>
          <w:rFonts w:hint="eastAsia"/>
          <w:vertAlign w:val="subscript"/>
        </w:rPr>
        <w:t>2</w:t>
      </w:r>
      <w:r>
        <w:rPr>
          <w:rFonts w:hint="eastAsia"/>
        </w:rPr>
        <w:t>烟气，过程中放出大量热量。熔炼炉炉壁由冷却循环水负责冷却；与钢铁厂内高炉铁渣类似，熔渣通常被冲渣水带入渣池冷却。冰铜在转炉内发生吹炼反应，氧化生成粗铜，并进一步释放出SO</w:t>
      </w:r>
      <w:r>
        <w:rPr>
          <w:rFonts w:hint="eastAsia"/>
          <w:vertAlign w:val="subscript"/>
        </w:rPr>
        <w:t>2</w:t>
      </w:r>
      <w:r>
        <w:rPr>
          <w:rFonts w:hint="eastAsia"/>
        </w:rPr>
        <w:t>烟气，该过程同样释放出大量热量。吹炼炉炉壁由冷却循环水冷却。粗铜在阳极炉、电解车间内逐步精制，最终获得精铜。粗铜冷却过程中大量余热均以放散蒸汽及辐射方式散失，难以回收；而电解过程的余热较少且电解液不宜进行余热回收。</w:t>
      </w:r>
    </w:p>
    <w:p w14:paraId="45D2DB9C">
      <w:pPr>
        <w:ind w:firstLine="560"/>
      </w:pPr>
      <w:r>
        <w:rPr>
          <w:rFonts w:hint="eastAsia"/>
        </w:rPr>
        <w:t>熔炼及吹炼过程产生的SO</w:t>
      </w:r>
      <w:r>
        <w:rPr>
          <w:rFonts w:hint="eastAsia"/>
          <w:vertAlign w:val="subscript"/>
        </w:rPr>
        <w:t>2</w:t>
      </w:r>
      <w:r>
        <w:rPr>
          <w:rFonts w:hint="eastAsia"/>
        </w:rPr>
        <w:t>烟气是制酸的重要原料。烟气先经过余热锅炉，部分余热被回收；再经过洗涤环节，净化得到含水蒸汽的SO</w:t>
      </w:r>
      <w:r>
        <w:rPr>
          <w:rFonts w:hint="eastAsia"/>
          <w:vertAlign w:val="subscript"/>
        </w:rPr>
        <w:t>2</w:t>
      </w:r>
      <w:r>
        <w:rPr>
          <w:rFonts w:hint="eastAsia"/>
        </w:rPr>
        <w:t>气体；随后在干燥塔内被93%H</w:t>
      </w:r>
      <w:r>
        <w:rPr>
          <w:rFonts w:hint="eastAsia"/>
          <w:vertAlign w:val="subscript"/>
        </w:rPr>
        <w:t>2</w:t>
      </w:r>
      <w:r>
        <w:rPr>
          <w:rFonts w:hint="eastAsia"/>
        </w:rPr>
        <w:t>SO</w:t>
      </w:r>
      <w:r>
        <w:rPr>
          <w:rFonts w:hint="eastAsia"/>
          <w:vertAlign w:val="subscript"/>
        </w:rPr>
        <w:t>4</w:t>
      </w:r>
      <w:r>
        <w:rPr>
          <w:rFonts w:hint="eastAsia"/>
        </w:rPr>
        <w:t>与98%H</w:t>
      </w:r>
      <w:r>
        <w:rPr>
          <w:rFonts w:hint="eastAsia"/>
          <w:vertAlign w:val="subscript"/>
        </w:rPr>
        <w:t>2</w:t>
      </w:r>
      <w:r>
        <w:rPr>
          <w:rFonts w:hint="eastAsia"/>
        </w:rPr>
        <w:t>SO</w:t>
      </w:r>
      <w:r>
        <w:rPr>
          <w:rFonts w:hint="eastAsia"/>
          <w:vertAlign w:val="subscript"/>
        </w:rPr>
        <w:t>4</w:t>
      </w:r>
      <w:r>
        <w:rPr>
          <w:rFonts w:hint="eastAsia"/>
        </w:rPr>
        <w:t>干燥。干燥的SO</w:t>
      </w:r>
      <w:r>
        <w:rPr>
          <w:rFonts w:hint="eastAsia"/>
          <w:vertAlign w:val="subscript"/>
        </w:rPr>
        <w:t>2</w:t>
      </w:r>
      <w:r>
        <w:rPr>
          <w:rFonts w:hint="eastAsia"/>
        </w:rPr>
        <w:t>气体与空压机制得的O</w:t>
      </w:r>
      <w:r>
        <w:rPr>
          <w:rFonts w:hint="eastAsia"/>
          <w:vertAlign w:val="subscript"/>
        </w:rPr>
        <w:t>2</w:t>
      </w:r>
      <w:r>
        <w:rPr>
          <w:rFonts w:hint="eastAsia"/>
        </w:rPr>
        <w:t>在SO</w:t>
      </w:r>
      <w:r>
        <w:rPr>
          <w:rFonts w:hint="eastAsia"/>
          <w:vertAlign w:val="subscript"/>
        </w:rPr>
        <w:t>3</w:t>
      </w:r>
      <w:r>
        <w:rPr>
          <w:rFonts w:hint="eastAsia"/>
        </w:rPr>
        <w:t>转换器内发生催化反应，最终生成SO</w:t>
      </w:r>
      <w:r>
        <w:rPr>
          <w:rFonts w:hint="eastAsia"/>
          <w:vertAlign w:val="subscript"/>
        </w:rPr>
        <w:t>3</w:t>
      </w:r>
      <w:r>
        <w:rPr>
          <w:rFonts w:hint="eastAsia"/>
        </w:rPr>
        <w:t>。高温SO</w:t>
      </w:r>
      <w:r>
        <w:rPr>
          <w:rFonts w:hint="eastAsia"/>
          <w:vertAlign w:val="subscript"/>
        </w:rPr>
        <w:t>3</w:t>
      </w:r>
      <w:r>
        <w:rPr>
          <w:rFonts w:hint="eastAsia"/>
        </w:rPr>
        <w:t>预热低温的SO</w:t>
      </w:r>
      <w:r>
        <w:rPr>
          <w:rFonts w:hint="eastAsia"/>
          <w:vertAlign w:val="subscript"/>
        </w:rPr>
        <w:t>2</w:t>
      </w:r>
      <w:r>
        <w:rPr>
          <w:rFonts w:hint="eastAsia"/>
        </w:rPr>
        <w:t>气体，并进一步在空气冷却器内降温至约200℃，随后在吸收塔内被98%H</w:t>
      </w:r>
      <w:r>
        <w:rPr>
          <w:rFonts w:hint="eastAsia"/>
          <w:vertAlign w:val="subscript"/>
        </w:rPr>
        <w:t>2</w:t>
      </w:r>
      <w:r>
        <w:rPr>
          <w:rFonts w:hint="eastAsia"/>
        </w:rPr>
        <w:t>SO</w:t>
      </w:r>
      <w:r>
        <w:rPr>
          <w:rFonts w:hint="eastAsia"/>
          <w:vertAlign w:val="subscript"/>
        </w:rPr>
        <w:t>4</w:t>
      </w:r>
      <w:r>
        <w:rPr>
          <w:rFonts w:hint="eastAsia"/>
        </w:rPr>
        <w:t>吸收并产出成品浓硫酸。干燥、吸收、转换的过程都是放热过程，因此制酸过程伴随着大量热量的释放，实际生产中由空冷及水冷方式进行冷却散热。</w:t>
      </w:r>
    </w:p>
    <w:p w14:paraId="453FD98C">
      <w:pPr>
        <w:ind w:firstLine="560"/>
      </w:pPr>
      <w:r>
        <w:rPr>
          <w:rFonts w:hint="eastAsia"/>
        </w:rPr>
        <w:t>综上所述，铜厂主要的低品位余热资源包括：熔炼过程的炉壁冷却循环水、熔渣（或冲渣水）、吹炼过程的炉壁冷却循环水、SO</w:t>
      </w:r>
      <w:r>
        <w:rPr>
          <w:rFonts w:hint="eastAsia"/>
          <w:vertAlign w:val="subscript"/>
        </w:rPr>
        <w:t>2</w:t>
      </w:r>
      <w:r>
        <w:rPr>
          <w:rFonts w:hint="eastAsia"/>
        </w:rPr>
        <w:t>洗涤水、空压机冷却循环水、SO</w:t>
      </w:r>
      <w:r>
        <w:rPr>
          <w:rFonts w:hint="eastAsia"/>
          <w:vertAlign w:val="subscript"/>
        </w:rPr>
        <w:t>3</w:t>
      </w:r>
      <w:r>
        <w:rPr>
          <w:rFonts w:hint="eastAsia"/>
        </w:rPr>
        <w:t>（预热器出口至进入吸收塔前的工段）、干燥酸、吸收酸等。</w:t>
      </w:r>
    </w:p>
    <w:p w14:paraId="3D899C96">
      <w:pPr>
        <w:ind w:firstLine="560"/>
      </w:pPr>
      <w:r>
        <w:rPr>
          <w:rFonts w:hint="eastAsia"/>
        </w:rPr>
        <w:t>铜厂生产工艺的主要特点是：工序特别繁多、复杂；核心设备极多；但铜冶炼过程的主要化学反应较少。因此铜厂单位质量产品的余热量（GJ/吨粗铜）的估算采用基于主要化学反应过程的投入/产出热平衡估算方法，针对主要化学反应过程的放热特性及燃料投入，可以估算出余热总量；再结合现场调研测试，将总余热量拆分为各环节的余热量。</w:t>
      </w:r>
    </w:p>
    <w:p w14:paraId="029E8E8E">
      <w:pPr>
        <w:ind w:firstLine="560"/>
      </w:pPr>
      <w:r>
        <w:rPr>
          <w:rFonts w:hint="eastAsia"/>
        </w:rPr>
        <w:t>将典型铜厂的低品位工业余热信息归纳如表</w:t>
      </w:r>
      <w:r>
        <w:t>2</w:t>
      </w:r>
      <w:r>
        <w:rPr>
          <w:rFonts w:hint="eastAsia"/>
        </w:rPr>
        <w:t>所示。</w:t>
      </w:r>
    </w:p>
    <w:p w14:paraId="17CF909D">
      <w:pPr>
        <w:ind w:firstLine="0" w:firstLineChars="0"/>
        <w:jc w:val="center"/>
      </w:pPr>
      <w:r>
        <w:rPr>
          <w:rFonts w:hint="eastAsia"/>
        </w:rPr>
        <w:t>表</w:t>
      </w:r>
      <w:r>
        <w:t>2</w:t>
      </w:r>
      <w:r>
        <w:rPr>
          <w:rFonts w:hint="eastAsia"/>
        </w:rPr>
        <w:t>典型铜厂吨粗铜余热量小结</w:t>
      </w:r>
    </w:p>
    <w:tbl>
      <w:tblPr>
        <w:tblStyle w:val="30"/>
        <w:tblW w:w="0" w:type="auto"/>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49"/>
        <w:gridCol w:w="2612"/>
        <w:gridCol w:w="1387"/>
        <w:gridCol w:w="1523"/>
        <w:gridCol w:w="1435"/>
      </w:tblGrid>
      <w:tr w14:paraId="52AAF82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49" w:type="dxa"/>
            <w:tcBorders>
              <w:top w:val="single" w:color="auto" w:sz="12" w:space="0"/>
              <w:bottom w:val="single" w:color="auto" w:sz="8" w:space="0"/>
            </w:tcBorders>
            <w:shd w:val="clear" w:color="auto" w:fill="auto"/>
            <w:vAlign w:val="center"/>
          </w:tcPr>
          <w:p w14:paraId="10EBA544">
            <w:pPr>
              <w:ind w:firstLine="0" w:firstLineChars="0"/>
              <w:jc w:val="center"/>
              <w:rPr>
                <w:rFonts w:ascii="宋体" w:hAnsi="宋体"/>
                <w:sz w:val="18"/>
                <w:szCs w:val="18"/>
              </w:rPr>
            </w:pPr>
            <w:r>
              <w:rPr>
                <w:rFonts w:ascii="宋体" w:hAnsi="宋体"/>
                <w:sz w:val="18"/>
                <w:szCs w:val="18"/>
              </w:rPr>
              <w:t>工艺环节</w:t>
            </w:r>
          </w:p>
        </w:tc>
        <w:tc>
          <w:tcPr>
            <w:tcW w:w="2612" w:type="dxa"/>
            <w:tcBorders>
              <w:top w:val="single" w:color="auto" w:sz="12" w:space="0"/>
              <w:bottom w:val="single" w:color="auto" w:sz="8" w:space="0"/>
            </w:tcBorders>
            <w:shd w:val="clear" w:color="auto" w:fill="auto"/>
            <w:vAlign w:val="center"/>
          </w:tcPr>
          <w:p w14:paraId="3B2FDE19">
            <w:pPr>
              <w:ind w:firstLine="0" w:firstLineChars="0"/>
              <w:jc w:val="center"/>
              <w:rPr>
                <w:rFonts w:ascii="宋体" w:hAnsi="宋体"/>
                <w:sz w:val="18"/>
                <w:szCs w:val="18"/>
              </w:rPr>
            </w:pPr>
            <w:r>
              <w:rPr>
                <w:rFonts w:ascii="宋体" w:hAnsi="宋体"/>
                <w:sz w:val="18"/>
                <w:szCs w:val="18"/>
              </w:rPr>
              <w:t>余热名称</w:t>
            </w:r>
          </w:p>
        </w:tc>
        <w:tc>
          <w:tcPr>
            <w:tcW w:w="1387" w:type="dxa"/>
            <w:tcBorders>
              <w:top w:val="single" w:color="auto" w:sz="12" w:space="0"/>
              <w:bottom w:val="single" w:color="auto" w:sz="8" w:space="0"/>
            </w:tcBorders>
            <w:shd w:val="clear" w:color="auto" w:fill="auto"/>
            <w:vAlign w:val="center"/>
          </w:tcPr>
          <w:p w14:paraId="366827FE">
            <w:pPr>
              <w:ind w:firstLine="0" w:firstLineChars="0"/>
              <w:jc w:val="center"/>
              <w:rPr>
                <w:rFonts w:ascii="宋体" w:hAnsi="宋体"/>
                <w:sz w:val="18"/>
                <w:szCs w:val="18"/>
              </w:rPr>
            </w:pPr>
            <w:r>
              <w:rPr>
                <w:rFonts w:ascii="宋体" w:hAnsi="宋体"/>
                <w:sz w:val="18"/>
                <w:szCs w:val="18"/>
              </w:rPr>
              <w:t>余热量GJ/t</w:t>
            </w:r>
          </w:p>
        </w:tc>
        <w:tc>
          <w:tcPr>
            <w:tcW w:w="1523" w:type="dxa"/>
            <w:tcBorders>
              <w:top w:val="single" w:color="auto" w:sz="12" w:space="0"/>
              <w:bottom w:val="single" w:color="auto" w:sz="8" w:space="0"/>
            </w:tcBorders>
            <w:shd w:val="clear" w:color="auto" w:fill="auto"/>
            <w:vAlign w:val="center"/>
          </w:tcPr>
          <w:p w14:paraId="54D31CFB">
            <w:pPr>
              <w:ind w:firstLine="0" w:firstLineChars="0"/>
              <w:jc w:val="center"/>
              <w:rPr>
                <w:rFonts w:ascii="宋体" w:hAnsi="宋体"/>
                <w:sz w:val="18"/>
                <w:szCs w:val="18"/>
              </w:rPr>
            </w:pPr>
            <w:r>
              <w:rPr>
                <w:rFonts w:ascii="宋体" w:hAnsi="宋体"/>
                <w:sz w:val="18"/>
                <w:szCs w:val="18"/>
              </w:rPr>
              <w:t>起点温度</w:t>
            </w:r>
            <w:r>
              <w:rPr>
                <w:rFonts w:hint="eastAsia" w:ascii="宋体" w:hAnsi="宋体"/>
                <w:sz w:val="18"/>
                <w:szCs w:val="18"/>
              </w:rPr>
              <w:t>℃</w:t>
            </w:r>
          </w:p>
        </w:tc>
        <w:tc>
          <w:tcPr>
            <w:tcW w:w="1435" w:type="dxa"/>
            <w:tcBorders>
              <w:top w:val="single" w:color="auto" w:sz="12" w:space="0"/>
              <w:bottom w:val="single" w:color="auto" w:sz="8" w:space="0"/>
            </w:tcBorders>
            <w:shd w:val="clear" w:color="auto" w:fill="auto"/>
            <w:vAlign w:val="center"/>
          </w:tcPr>
          <w:p w14:paraId="420B9DA1">
            <w:pPr>
              <w:ind w:firstLine="0" w:firstLineChars="0"/>
              <w:jc w:val="center"/>
              <w:rPr>
                <w:rFonts w:ascii="宋体" w:hAnsi="宋体"/>
                <w:sz w:val="18"/>
                <w:szCs w:val="18"/>
              </w:rPr>
            </w:pPr>
            <w:r>
              <w:rPr>
                <w:rFonts w:ascii="宋体" w:hAnsi="宋体"/>
                <w:sz w:val="18"/>
                <w:szCs w:val="18"/>
              </w:rPr>
              <w:t>终点温度</w:t>
            </w:r>
            <w:r>
              <w:rPr>
                <w:rFonts w:hint="eastAsia" w:ascii="宋体" w:hAnsi="宋体"/>
                <w:sz w:val="18"/>
                <w:szCs w:val="18"/>
              </w:rPr>
              <w:t>℃</w:t>
            </w:r>
          </w:p>
        </w:tc>
      </w:tr>
      <w:tr w14:paraId="27112E5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49" w:type="dxa"/>
            <w:vMerge w:val="restart"/>
            <w:tcBorders>
              <w:top w:val="single" w:color="auto" w:sz="8" w:space="0"/>
            </w:tcBorders>
            <w:shd w:val="clear" w:color="auto" w:fill="auto"/>
            <w:vAlign w:val="center"/>
          </w:tcPr>
          <w:p w14:paraId="03FF3276">
            <w:pPr>
              <w:ind w:firstLine="0" w:firstLineChars="0"/>
              <w:jc w:val="center"/>
              <w:rPr>
                <w:rFonts w:ascii="宋体" w:hAnsi="宋体"/>
                <w:sz w:val="18"/>
                <w:szCs w:val="18"/>
              </w:rPr>
            </w:pPr>
            <w:r>
              <w:rPr>
                <w:rFonts w:ascii="宋体" w:hAnsi="宋体"/>
                <w:sz w:val="18"/>
                <w:szCs w:val="18"/>
              </w:rPr>
              <w:t>铜冶炼</w:t>
            </w:r>
          </w:p>
        </w:tc>
        <w:tc>
          <w:tcPr>
            <w:tcW w:w="2612" w:type="dxa"/>
            <w:tcBorders>
              <w:top w:val="single" w:color="auto" w:sz="8" w:space="0"/>
            </w:tcBorders>
            <w:shd w:val="clear" w:color="auto" w:fill="auto"/>
            <w:vAlign w:val="center"/>
          </w:tcPr>
          <w:p w14:paraId="703F8C1E">
            <w:pPr>
              <w:ind w:firstLine="0" w:firstLineChars="0"/>
              <w:jc w:val="center"/>
              <w:rPr>
                <w:rFonts w:ascii="宋体" w:hAnsi="宋体"/>
                <w:sz w:val="18"/>
                <w:szCs w:val="18"/>
              </w:rPr>
            </w:pPr>
            <w:r>
              <w:rPr>
                <w:rFonts w:ascii="宋体" w:hAnsi="宋体"/>
                <w:sz w:val="18"/>
                <w:szCs w:val="18"/>
              </w:rPr>
              <w:t>熔炼炉炉壁冷却循环水</w:t>
            </w:r>
          </w:p>
        </w:tc>
        <w:tc>
          <w:tcPr>
            <w:tcW w:w="1387" w:type="dxa"/>
            <w:tcBorders>
              <w:top w:val="single" w:color="auto" w:sz="8" w:space="0"/>
            </w:tcBorders>
            <w:shd w:val="clear" w:color="auto" w:fill="auto"/>
            <w:vAlign w:val="center"/>
          </w:tcPr>
          <w:p w14:paraId="50EF3E07">
            <w:pPr>
              <w:ind w:firstLine="0" w:firstLineChars="0"/>
              <w:jc w:val="center"/>
              <w:rPr>
                <w:rFonts w:ascii="宋体" w:hAnsi="宋体"/>
                <w:sz w:val="18"/>
                <w:szCs w:val="18"/>
              </w:rPr>
            </w:pPr>
            <w:r>
              <w:rPr>
                <w:rFonts w:ascii="宋体" w:hAnsi="宋体"/>
                <w:sz w:val="18"/>
                <w:szCs w:val="18"/>
              </w:rPr>
              <w:t>5.24</w:t>
            </w:r>
          </w:p>
        </w:tc>
        <w:tc>
          <w:tcPr>
            <w:tcW w:w="1523" w:type="dxa"/>
            <w:tcBorders>
              <w:top w:val="single" w:color="auto" w:sz="8" w:space="0"/>
            </w:tcBorders>
            <w:shd w:val="clear" w:color="auto" w:fill="auto"/>
            <w:vAlign w:val="center"/>
          </w:tcPr>
          <w:p w14:paraId="052B7860">
            <w:pPr>
              <w:ind w:firstLine="0" w:firstLineChars="0"/>
              <w:jc w:val="center"/>
              <w:rPr>
                <w:rFonts w:ascii="宋体" w:hAnsi="宋体"/>
                <w:sz w:val="18"/>
                <w:szCs w:val="18"/>
              </w:rPr>
            </w:pPr>
            <w:r>
              <w:rPr>
                <w:rFonts w:ascii="宋体" w:hAnsi="宋体"/>
                <w:sz w:val="18"/>
                <w:szCs w:val="18"/>
              </w:rPr>
              <w:t>30</w:t>
            </w:r>
          </w:p>
        </w:tc>
        <w:tc>
          <w:tcPr>
            <w:tcW w:w="1435" w:type="dxa"/>
            <w:tcBorders>
              <w:top w:val="single" w:color="auto" w:sz="8" w:space="0"/>
            </w:tcBorders>
            <w:shd w:val="clear" w:color="auto" w:fill="auto"/>
            <w:vAlign w:val="center"/>
          </w:tcPr>
          <w:p w14:paraId="6FB5A894">
            <w:pPr>
              <w:ind w:firstLine="0" w:firstLineChars="0"/>
              <w:jc w:val="center"/>
              <w:rPr>
                <w:rFonts w:ascii="宋体" w:hAnsi="宋体"/>
                <w:sz w:val="18"/>
                <w:szCs w:val="18"/>
              </w:rPr>
            </w:pPr>
            <w:r>
              <w:rPr>
                <w:rFonts w:ascii="宋体" w:hAnsi="宋体"/>
                <w:sz w:val="18"/>
                <w:szCs w:val="18"/>
              </w:rPr>
              <w:t>40</w:t>
            </w:r>
          </w:p>
        </w:tc>
      </w:tr>
      <w:tr w14:paraId="6054809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49" w:type="dxa"/>
            <w:vMerge w:val="continue"/>
            <w:shd w:val="clear" w:color="auto" w:fill="auto"/>
            <w:vAlign w:val="center"/>
          </w:tcPr>
          <w:p w14:paraId="592B0A08">
            <w:pPr>
              <w:ind w:firstLine="0" w:firstLineChars="0"/>
              <w:jc w:val="center"/>
              <w:rPr>
                <w:rFonts w:ascii="宋体" w:hAnsi="宋体"/>
                <w:sz w:val="18"/>
                <w:szCs w:val="18"/>
              </w:rPr>
            </w:pPr>
          </w:p>
        </w:tc>
        <w:tc>
          <w:tcPr>
            <w:tcW w:w="2612" w:type="dxa"/>
            <w:shd w:val="clear" w:color="auto" w:fill="auto"/>
            <w:vAlign w:val="center"/>
          </w:tcPr>
          <w:p w14:paraId="632CB39D">
            <w:pPr>
              <w:ind w:firstLine="0" w:firstLineChars="0"/>
              <w:jc w:val="center"/>
              <w:rPr>
                <w:rFonts w:ascii="宋体" w:hAnsi="宋体"/>
                <w:sz w:val="18"/>
                <w:szCs w:val="18"/>
              </w:rPr>
            </w:pPr>
            <w:r>
              <w:rPr>
                <w:rFonts w:ascii="宋体" w:hAnsi="宋体"/>
                <w:sz w:val="18"/>
                <w:szCs w:val="18"/>
              </w:rPr>
              <w:t>转炉炉壁冷却循环水</w:t>
            </w:r>
          </w:p>
        </w:tc>
        <w:tc>
          <w:tcPr>
            <w:tcW w:w="1387" w:type="dxa"/>
            <w:shd w:val="clear" w:color="auto" w:fill="auto"/>
            <w:vAlign w:val="center"/>
          </w:tcPr>
          <w:p w14:paraId="44F37EA7">
            <w:pPr>
              <w:ind w:firstLine="0" w:firstLineChars="0"/>
              <w:jc w:val="center"/>
              <w:rPr>
                <w:rFonts w:ascii="宋体" w:hAnsi="宋体"/>
                <w:sz w:val="18"/>
                <w:szCs w:val="18"/>
              </w:rPr>
            </w:pPr>
            <w:r>
              <w:rPr>
                <w:rFonts w:ascii="宋体" w:hAnsi="宋体"/>
                <w:sz w:val="18"/>
                <w:szCs w:val="18"/>
              </w:rPr>
              <w:t>1.31</w:t>
            </w:r>
          </w:p>
        </w:tc>
        <w:tc>
          <w:tcPr>
            <w:tcW w:w="1523" w:type="dxa"/>
            <w:shd w:val="clear" w:color="auto" w:fill="auto"/>
            <w:vAlign w:val="center"/>
          </w:tcPr>
          <w:p w14:paraId="4C4EA6BB">
            <w:pPr>
              <w:ind w:firstLine="0" w:firstLineChars="0"/>
              <w:jc w:val="center"/>
              <w:rPr>
                <w:rFonts w:ascii="宋体" w:hAnsi="宋体"/>
                <w:sz w:val="18"/>
                <w:szCs w:val="18"/>
              </w:rPr>
            </w:pPr>
            <w:r>
              <w:rPr>
                <w:rFonts w:ascii="宋体" w:hAnsi="宋体"/>
                <w:sz w:val="18"/>
                <w:szCs w:val="18"/>
              </w:rPr>
              <w:t>30</w:t>
            </w:r>
          </w:p>
        </w:tc>
        <w:tc>
          <w:tcPr>
            <w:tcW w:w="1435" w:type="dxa"/>
            <w:shd w:val="clear" w:color="auto" w:fill="auto"/>
            <w:vAlign w:val="center"/>
          </w:tcPr>
          <w:p w14:paraId="005F3A84">
            <w:pPr>
              <w:ind w:firstLine="0" w:firstLineChars="0"/>
              <w:jc w:val="center"/>
              <w:rPr>
                <w:rFonts w:ascii="宋体" w:hAnsi="宋体"/>
                <w:sz w:val="18"/>
                <w:szCs w:val="18"/>
              </w:rPr>
            </w:pPr>
            <w:r>
              <w:rPr>
                <w:rFonts w:ascii="宋体" w:hAnsi="宋体"/>
                <w:sz w:val="18"/>
                <w:szCs w:val="18"/>
              </w:rPr>
              <w:t>40</w:t>
            </w:r>
          </w:p>
        </w:tc>
      </w:tr>
      <w:tr w14:paraId="2AE9646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49" w:type="dxa"/>
            <w:vMerge w:val="continue"/>
            <w:shd w:val="clear" w:color="auto" w:fill="auto"/>
            <w:vAlign w:val="center"/>
          </w:tcPr>
          <w:p w14:paraId="24D6FCC0">
            <w:pPr>
              <w:ind w:firstLine="0" w:firstLineChars="0"/>
              <w:jc w:val="center"/>
              <w:rPr>
                <w:rFonts w:ascii="宋体" w:hAnsi="宋体"/>
                <w:sz w:val="18"/>
                <w:szCs w:val="18"/>
              </w:rPr>
            </w:pPr>
          </w:p>
        </w:tc>
        <w:tc>
          <w:tcPr>
            <w:tcW w:w="2612" w:type="dxa"/>
            <w:shd w:val="clear" w:color="auto" w:fill="auto"/>
            <w:vAlign w:val="center"/>
          </w:tcPr>
          <w:p w14:paraId="66AB2152">
            <w:pPr>
              <w:ind w:firstLine="0" w:firstLineChars="0"/>
              <w:jc w:val="center"/>
              <w:rPr>
                <w:rFonts w:ascii="宋体" w:hAnsi="宋体"/>
                <w:sz w:val="18"/>
                <w:szCs w:val="18"/>
              </w:rPr>
            </w:pPr>
            <w:r>
              <w:rPr>
                <w:rFonts w:ascii="宋体" w:hAnsi="宋体"/>
                <w:sz w:val="18"/>
                <w:szCs w:val="18"/>
              </w:rPr>
              <w:t>熔渣</w:t>
            </w:r>
          </w:p>
        </w:tc>
        <w:tc>
          <w:tcPr>
            <w:tcW w:w="1387" w:type="dxa"/>
            <w:shd w:val="clear" w:color="auto" w:fill="auto"/>
            <w:vAlign w:val="center"/>
          </w:tcPr>
          <w:p w14:paraId="4E2A433F">
            <w:pPr>
              <w:ind w:firstLine="0" w:firstLineChars="0"/>
              <w:jc w:val="center"/>
              <w:rPr>
                <w:rFonts w:ascii="宋体" w:hAnsi="宋体"/>
                <w:sz w:val="18"/>
                <w:szCs w:val="18"/>
              </w:rPr>
            </w:pPr>
            <w:r>
              <w:rPr>
                <w:rFonts w:ascii="宋体" w:hAnsi="宋体"/>
                <w:sz w:val="18"/>
                <w:szCs w:val="18"/>
              </w:rPr>
              <w:t>3.41</w:t>
            </w:r>
          </w:p>
        </w:tc>
        <w:tc>
          <w:tcPr>
            <w:tcW w:w="1523" w:type="dxa"/>
            <w:shd w:val="clear" w:color="auto" w:fill="auto"/>
            <w:vAlign w:val="center"/>
          </w:tcPr>
          <w:p w14:paraId="46629669">
            <w:pPr>
              <w:ind w:firstLine="0" w:firstLineChars="0"/>
              <w:jc w:val="center"/>
              <w:rPr>
                <w:rFonts w:ascii="宋体" w:hAnsi="宋体"/>
                <w:sz w:val="18"/>
                <w:szCs w:val="18"/>
              </w:rPr>
            </w:pPr>
            <w:r>
              <w:rPr>
                <w:rFonts w:ascii="宋体" w:hAnsi="宋体"/>
                <w:sz w:val="18"/>
                <w:szCs w:val="18"/>
              </w:rPr>
              <w:t>100</w:t>
            </w:r>
          </w:p>
        </w:tc>
        <w:tc>
          <w:tcPr>
            <w:tcW w:w="1435" w:type="dxa"/>
            <w:shd w:val="clear" w:color="auto" w:fill="auto"/>
            <w:vAlign w:val="center"/>
          </w:tcPr>
          <w:p w14:paraId="4F3121C5">
            <w:pPr>
              <w:ind w:firstLine="0" w:firstLineChars="0"/>
              <w:jc w:val="center"/>
              <w:rPr>
                <w:rFonts w:ascii="宋体" w:hAnsi="宋体"/>
                <w:sz w:val="18"/>
                <w:szCs w:val="18"/>
              </w:rPr>
            </w:pPr>
            <w:r>
              <w:rPr>
                <w:rFonts w:ascii="宋体" w:hAnsi="宋体"/>
                <w:sz w:val="18"/>
                <w:szCs w:val="18"/>
              </w:rPr>
              <w:t>1200</w:t>
            </w:r>
          </w:p>
        </w:tc>
      </w:tr>
      <w:tr w14:paraId="4B65DEE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49" w:type="dxa"/>
            <w:vMerge w:val="restart"/>
            <w:shd w:val="clear" w:color="auto" w:fill="auto"/>
            <w:vAlign w:val="center"/>
          </w:tcPr>
          <w:p w14:paraId="56BE659D">
            <w:pPr>
              <w:ind w:firstLine="0" w:firstLineChars="0"/>
              <w:jc w:val="center"/>
              <w:rPr>
                <w:rFonts w:ascii="宋体" w:hAnsi="宋体"/>
                <w:sz w:val="18"/>
                <w:szCs w:val="18"/>
              </w:rPr>
            </w:pPr>
            <w:r>
              <w:rPr>
                <w:rFonts w:ascii="宋体" w:hAnsi="宋体"/>
                <w:sz w:val="18"/>
                <w:szCs w:val="18"/>
              </w:rPr>
              <w:t>制酸</w:t>
            </w:r>
          </w:p>
        </w:tc>
        <w:tc>
          <w:tcPr>
            <w:tcW w:w="2612" w:type="dxa"/>
            <w:shd w:val="clear" w:color="auto" w:fill="auto"/>
            <w:vAlign w:val="center"/>
          </w:tcPr>
          <w:p w14:paraId="614D24D4">
            <w:pPr>
              <w:ind w:firstLine="0" w:firstLineChars="0"/>
              <w:jc w:val="center"/>
              <w:rPr>
                <w:rFonts w:ascii="宋体" w:hAnsi="宋体"/>
                <w:sz w:val="18"/>
                <w:szCs w:val="18"/>
              </w:rPr>
            </w:pPr>
            <w:r>
              <w:rPr>
                <w:rFonts w:ascii="宋体" w:hAnsi="宋体"/>
                <w:sz w:val="18"/>
                <w:szCs w:val="18"/>
              </w:rPr>
              <w:t>空压机冷却循环水</w:t>
            </w:r>
          </w:p>
        </w:tc>
        <w:tc>
          <w:tcPr>
            <w:tcW w:w="1387" w:type="dxa"/>
            <w:shd w:val="clear" w:color="auto" w:fill="auto"/>
            <w:vAlign w:val="center"/>
          </w:tcPr>
          <w:p w14:paraId="678ACF53">
            <w:pPr>
              <w:ind w:firstLine="0" w:firstLineChars="0"/>
              <w:jc w:val="center"/>
              <w:rPr>
                <w:rFonts w:ascii="宋体" w:hAnsi="宋体"/>
                <w:sz w:val="18"/>
                <w:szCs w:val="18"/>
              </w:rPr>
            </w:pPr>
            <w:r>
              <w:rPr>
                <w:rFonts w:ascii="宋体" w:hAnsi="宋体"/>
                <w:sz w:val="18"/>
                <w:szCs w:val="18"/>
              </w:rPr>
              <w:t>1.68</w:t>
            </w:r>
          </w:p>
        </w:tc>
        <w:tc>
          <w:tcPr>
            <w:tcW w:w="1523" w:type="dxa"/>
            <w:shd w:val="clear" w:color="auto" w:fill="auto"/>
            <w:vAlign w:val="center"/>
          </w:tcPr>
          <w:p w14:paraId="53409C16">
            <w:pPr>
              <w:ind w:firstLine="0" w:firstLineChars="0"/>
              <w:jc w:val="center"/>
              <w:rPr>
                <w:rFonts w:ascii="宋体" w:hAnsi="宋体"/>
                <w:sz w:val="18"/>
                <w:szCs w:val="18"/>
              </w:rPr>
            </w:pPr>
            <w:r>
              <w:rPr>
                <w:rFonts w:ascii="宋体" w:hAnsi="宋体"/>
                <w:sz w:val="18"/>
                <w:szCs w:val="18"/>
              </w:rPr>
              <w:t>30</w:t>
            </w:r>
          </w:p>
        </w:tc>
        <w:tc>
          <w:tcPr>
            <w:tcW w:w="1435" w:type="dxa"/>
            <w:shd w:val="clear" w:color="auto" w:fill="auto"/>
            <w:vAlign w:val="center"/>
          </w:tcPr>
          <w:p w14:paraId="70B0D846">
            <w:pPr>
              <w:ind w:firstLine="0" w:firstLineChars="0"/>
              <w:jc w:val="center"/>
              <w:rPr>
                <w:rFonts w:ascii="宋体" w:hAnsi="宋体"/>
                <w:sz w:val="18"/>
                <w:szCs w:val="18"/>
              </w:rPr>
            </w:pPr>
            <w:r>
              <w:rPr>
                <w:rFonts w:ascii="宋体" w:hAnsi="宋体"/>
                <w:sz w:val="18"/>
                <w:szCs w:val="18"/>
              </w:rPr>
              <w:t>40</w:t>
            </w:r>
          </w:p>
        </w:tc>
      </w:tr>
      <w:tr w14:paraId="67F6364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49" w:type="dxa"/>
            <w:vMerge w:val="continue"/>
            <w:shd w:val="clear" w:color="auto" w:fill="auto"/>
            <w:vAlign w:val="center"/>
          </w:tcPr>
          <w:p w14:paraId="1E2620B6">
            <w:pPr>
              <w:ind w:firstLine="0" w:firstLineChars="0"/>
              <w:jc w:val="center"/>
              <w:rPr>
                <w:rFonts w:ascii="宋体" w:hAnsi="宋体"/>
                <w:sz w:val="18"/>
                <w:szCs w:val="18"/>
              </w:rPr>
            </w:pPr>
          </w:p>
        </w:tc>
        <w:tc>
          <w:tcPr>
            <w:tcW w:w="2612" w:type="dxa"/>
            <w:shd w:val="clear" w:color="auto" w:fill="auto"/>
            <w:vAlign w:val="center"/>
          </w:tcPr>
          <w:p w14:paraId="37C1AE33">
            <w:pPr>
              <w:ind w:firstLine="0" w:firstLineChars="0"/>
              <w:jc w:val="center"/>
              <w:rPr>
                <w:rFonts w:ascii="宋体" w:hAnsi="宋体"/>
                <w:sz w:val="18"/>
                <w:szCs w:val="18"/>
              </w:rPr>
            </w:pPr>
            <w:r>
              <w:rPr>
                <w:rFonts w:ascii="宋体" w:hAnsi="宋体"/>
                <w:sz w:val="18"/>
                <w:szCs w:val="18"/>
              </w:rPr>
              <w:t>SO2洗涤水</w:t>
            </w:r>
          </w:p>
        </w:tc>
        <w:tc>
          <w:tcPr>
            <w:tcW w:w="1387" w:type="dxa"/>
            <w:shd w:val="clear" w:color="auto" w:fill="auto"/>
            <w:vAlign w:val="center"/>
          </w:tcPr>
          <w:p w14:paraId="1C44AA54">
            <w:pPr>
              <w:ind w:firstLine="0" w:firstLineChars="0"/>
              <w:jc w:val="center"/>
              <w:rPr>
                <w:rFonts w:ascii="宋体" w:hAnsi="宋体"/>
                <w:sz w:val="18"/>
                <w:szCs w:val="18"/>
              </w:rPr>
            </w:pPr>
            <w:r>
              <w:rPr>
                <w:rFonts w:ascii="宋体" w:hAnsi="宋体"/>
                <w:sz w:val="18"/>
                <w:szCs w:val="18"/>
              </w:rPr>
              <w:t>2.62</w:t>
            </w:r>
          </w:p>
        </w:tc>
        <w:tc>
          <w:tcPr>
            <w:tcW w:w="1523" w:type="dxa"/>
            <w:shd w:val="clear" w:color="auto" w:fill="auto"/>
            <w:vAlign w:val="center"/>
          </w:tcPr>
          <w:p w14:paraId="11471D27">
            <w:pPr>
              <w:ind w:firstLine="0" w:firstLineChars="0"/>
              <w:jc w:val="center"/>
              <w:rPr>
                <w:rFonts w:ascii="宋体" w:hAnsi="宋体"/>
                <w:sz w:val="18"/>
                <w:szCs w:val="18"/>
              </w:rPr>
            </w:pPr>
            <w:r>
              <w:rPr>
                <w:rFonts w:ascii="宋体" w:hAnsi="宋体"/>
                <w:sz w:val="18"/>
                <w:szCs w:val="18"/>
              </w:rPr>
              <w:t>30</w:t>
            </w:r>
          </w:p>
        </w:tc>
        <w:tc>
          <w:tcPr>
            <w:tcW w:w="1435" w:type="dxa"/>
            <w:shd w:val="clear" w:color="auto" w:fill="auto"/>
            <w:vAlign w:val="center"/>
          </w:tcPr>
          <w:p w14:paraId="70362354">
            <w:pPr>
              <w:ind w:firstLine="0" w:firstLineChars="0"/>
              <w:jc w:val="center"/>
              <w:rPr>
                <w:rFonts w:ascii="宋体" w:hAnsi="宋体"/>
                <w:sz w:val="18"/>
                <w:szCs w:val="18"/>
              </w:rPr>
            </w:pPr>
            <w:r>
              <w:rPr>
                <w:rFonts w:ascii="宋体" w:hAnsi="宋体"/>
                <w:sz w:val="18"/>
                <w:szCs w:val="18"/>
              </w:rPr>
              <w:t>40</w:t>
            </w:r>
          </w:p>
        </w:tc>
      </w:tr>
      <w:tr w14:paraId="0DA4551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49" w:type="dxa"/>
            <w:vMerge w:val="continue"/>
            <w:shd w:val="clear" w:color="auto" w:fill="auto"/>
            <w:vAlign w:val="center"/>
          </w:tcPr>
          <w:p w14:paraId="6B8CA624">
            <w:pPr>
              <w:ind w:firstLine="0" w:firstLineChars="0"/>
              <w:jc w:val="center"/>
              <w:rPr>
                <w:rFonts w:ascii="宋体" w:hAnsi="宋体"/>
                <w:sz w:val="18"/>
                <w:szCs w:val="18"/>
              </w:rPr>
            </w:pPr>
          </w:p>
        </w:tc>
        <w:tc>
          <w:tcPr>
            <w:tcW w:w="2612" w:type="dxa"/>
            <w:shd w:val="clear" w:color="auto" w:fill="auto"/>
            <w:vAlign w:val="center"/>
          </w:tcPr>
          <w:p w14:paraId="0DCEB24F">
            <w:pPr>
              <w:ind w:firstLine="0" w:firstLineChars="0"/>
              <w:jc w:val="center"/>
              <w:rPr>
                <w:rFonts w:ascii="宋体" w:hAnsi="宋体"/>
                <w:sz w:val="18"/>
                <w:szCs w:val="18"/>
              </w:rPr>
            </w:pPr>
            <w:r>
              <w:rPr>
                <w:rFonts w:ascii="宋体" w:hAnsi="宋体"/>
                <w:sz w:val="18"/>
                <w:szCs w:val="18"/>
              </w:rPr>
              <w:t>干燥酸</w:t>
            </w:r>
          </w:p>
        </w:tc>
        <w:tc>
          <w:tcPr>
            <w:tcW w:w="1387" w:type="dxa"/>
            <w:shd w:val="clear" w:color="auto" w:fill="auto"/>
            <w:vAlign w:val="center"/>
          </w:tcPr>
          <w:p w14:paraId="4D9B44A9">
            <w:pPr>
              <w:ind w:firstLine="0" w:firstLineChars="0"/>
              <w:jc w:val="center"/>
              <w:rPr>
                <w:rFonts w:ascii="宋体" w:hAnsi="宋体"/>
                <w:sz w:val="18"/>
                <w:szCs w:val="18"/>
              </w:rPr>
            </w:pPr>
            <w:r>
              <w:rPr>
                <w:rFonts w:ascii="宋体" w:hAnsi="宋体"/>
                <w:sz w:val="18"/>
                <w:szCs w:val="18"/>
              </w:rPr>
              <w:t>2.36</w:t>
            </w:r>
          </w:p>
        </w:tc>
        <w:tc>
          <w:tcPr>
            <w:tcW w:w="1523" w:type="dxa"/>
            <w:shd w:val="clear" w:color="auto" w:fill="auto"/>
            <w:vAlign w:val="center"/>
          </w:tcPr>
          <w:p w14:paraId="58A5D791">
            <w:pPr>
              <w:ind w:firstLine="0" w:firstLineChars="0"/>
              <w:jc w:val="center"/>
              <w:rPr>
                <w:rFonts w:ascii="宋体" w:hAnsi="宋体"/>
                <w:sz w:val="18"/>
                <w:szCs w:val="18"/>
              </w:rPr>
            </w:pPr>
            <w:r>
              <w:rPr>
                <w:rFonts w:ascii="宋体" w:hAnsi="宋体"/>
                <w:sz w:val="18"/>
                <w:szCs w:val="18"/>
              </w:rPr>
              <w:t>45</w:t>
            </w:r>
          </w:p>
        </w:tc>
        <w:tc>
          <w:tcPr>
            <w:tcW w:w="1435" w:type="dxa"/>
            <w:shd w:val="clear" w:color="auto" w:fill="auto"/>
            <w:vAlign w:val="center"/>
          </w:tcPr>
          <w:p w14:paraId="6D4BBD26">
            <w:pPr>
              <w:ind w:firstLine="0" w:firstLineChars="0"/>
              <w:jc w:val="center"/>
              <w:rPr>
                <w:rFonts w:ascii="宋体" w:hAnsi="宋体"/>
                <w:sz w:val="18"/>
                <w:szCs w:val="18"/>
              </w:rPr>
            </w:pPr>
            <w:r>
              <w:rPr>
                <w:rFonts w:ascii="宋体" w:hAnsi="宋体"/>
                <w:sz w:val="18"/>
                <w:szCs w:val="18"/>
              </w:rPr>
              <w:t>65</w:t>
            </w:r>
          </w:p>
        </w:tc>
      </w:tr>
      <w:tr w14:paraId="760CDFA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49" w:type="dxa"/>
            <w:vMerge w:val="continue"/>
            <w:shd w:val="clear" w:color="auto" w:fill="auto"/>
            <w:vAlign w:val="center"/>
          </w:tcPr>
          <w:p w14:paraId="7461179D">
            <w:pPr>
              <w:ind w:firstLine="0" w:firstLineChars="0"/>
              <w:jc w:val="center"/>
              <w:rPr>
                <w:rFonts w:ascii="宋体" w:hAnsi="宋体"/>
                <w:sz w:val="18"/>
                <w:szCs w:val="18"/>
              </w:rPr>
            </w:pPr>
          </w:p>
        </w:tc>
        <w:tc>
          <w:tcPr>
            <w:tcW w:w="2612" w:type="dxa"/>
            <w:shd w:val="clear" w:color="auto" w:fill="auto"/>
            <w:vAlign w:val="center"/>
          </w:tcPr>
          <w:p w14:paraId="4BD3CE15">
            <w:pPr>
              <w:ind w:firstLine="0" w:firstLineChars="0"/>
              <w:jc w:val="center"/>
              <w:rPr>
                <w:rFonts w:ascii="宋体" w:hAnsi="宋体"/>
                <w:sz w:val="18"/>
                <w:szCs w:val="18"/>
              </w:rPr>
            </w:pPr>
            <w:r>
              <w:rPr>
                <w:rFonts w:ascii="宋体" w:hAnsi="宋体"/>
                <w:sz w:val="18"/>
                <w:szCs w:val="18"/>
              </w:rPr>
              <w:t>吸收酸</w:t>
            </w:r>
          </w:p>
        </w:tc>
        <w:tc>
          <w:tcPr>
            <w:tcW w:w="1387" w:type="dxa"/>
            <w:shd w:val="clear" w:color="auto" w:fill="auto"/>
            <w:vAlign w:val="center"/>
          </w:tcPr>
          <w:p w14:paraId="1795D2C6">
            <w:pPr>
              <w:ind w:firstLine="0" w:firstLineChars="0"/>
              <w:jc w:val="center"/>
              <w:rPr>
                <w:rFonts w:ascii="宋体" w:hAnsi="宋体"/>
                <w:sz w:val="18"/>
                <w:szCs w:val="18"/>
              </w:rPr>
            </w:pPr>
            <w:r>
              <w:rPr>
                <w:rFonts w:ascii="宋体" w:hAnsi="宋体"/>
                <w:sz w:val="18"/>
                <w:szCs w:val="18"/>
              </w:rPr>
              <w:t>6.29</w:t>
            </w:r>
          </w:p>
        </w:tc>
        <w:tc>
          <w:tcPr>
            <w:tcW w:w="1523" w:type="dxa"/>
            <w:shd w:val="clear" w:color="auto" w:fill="auto"/>
            <w:vAlign w:val="center"/>
          </w:tcPr>
          <w:p w14:paraId="69C3B2EB">
            <w:pPr>
              <w:ind w:firstLine="0" w:firstLineChars="0"/>
              <w:jc w:val="center"/>
              <w:rPr>
                <w:rFonts w:ascii="宋体" w:hAnsi="宋体"/>
                <w:sz w:val="18"/>
                <w:szCs w:val="18"/>
              </w:rPr>
            </w:pPr>
            <w:r>
              <w:rPr>
                <w:rFonts w:ascii="宋体" w:hAnsi="宋体"/>
                <w:sz w:val="18"/>
                <w:szCs w:val="18"/>
              </w:rPr>
              <w:t>75</w:t>
            </w:r>
          </w:p>
        </w:tc>
        <w:tc>
          <w:tcPr>
            <w:tcW w:w="1435" w:type="dxa"/>
            <w:shd w:val="clear" w:color="auto" w:fill="auto"/>
            <w:vAlign w:val="center"/>
          </w:tcPr>
          <w:p w14:paraId="13B3DC08">
            <w:pPr>
              <w:ind w:firstLine="0" w:firstLineChars="0"/>
              <w:jc w:val="center"/>
              <w:rPr>
                <w:rFonts w:ascii="宋体" w:hAnsi="宋体"/>
                <w:sz w:val="18"/>
                <w:szCs w:val="18"/>
              </w:rPr>
            </w:pPr>
            <w:r>
              <w:rPr>
                <w:rFonts w:ascii="宋体" w:hAnsi="宋体"/>
                <w:sz w:val="18"/>
                <w:szCs w:val="18"/>
              </w:rPr>
              <w:t>98</w:t>
            </w:r>
          </w:p>
        </w:tc>
      </w:tr>
      <w:tr w14:paraId="22E9C66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49" w:type="dxa"/>
            <w:vMerge w:val="continue"/>
            <w:shd w:val="clear" w:color="auto" w:fill="auto"/>
            <w:vAlign w:val="center"/>
          </w:tcPr>
          <w:p w14:paraId="66EC9461">
            <w:pPr>
              <w:ind w:firstLine="0" w:firstLineChars="0"/>
              <w:jc w:val="center"/>
              <w:rPr>
                <w:rFonts w:ascii="宋体" w:hAnsi="宋体"/>
                <w:sz w:val="18"/>
                <w:szCs w:val="18"/>
              </w:rPr>
            </w:pPr>
          </w:p>
        </w:tc>
        <w:tc>
          <w:tcPr>
            <w:tcW w:w="2612" w:type="dxa"/>
            <w:shd w:val="clear" w:color="auto" w:fill="auto"/>
            <w:vAlign w:val="center"/>
          </w:tcPr>
          <w:p w14:paraId="1D054C8B">
            <w:pPr>
              <w:ind w:firstLine="0" w:firstLineChars="0"/>
              <w:jc w:val="center"/>
              <w:rPr>
                <w:rFonts w:ascii="宋体" w:hAnsi="宋体"/>
                <w:sz w:val="18"/>
                <w:szCs w:val="18"/>
              </w:rPr>
            </w:pPr>
            <w:r>
              <w:rPr>
                <w:rFonts w:ascii="宋体" w:hAnsi="宋体"/>
                <w:sz w:val="18"/>
                <w:szCs w:val="18"/>
              </w:rPr>
              <w:t>SO3</w:t>
            </w:r>
          </w:p>
        </w:tc>
        <w:tc>
          <w:tcPr>
            <w:tcW w:w="1387" w:type="dxa"/>
            <w:shd w:val="clear" w:color="auto" w:fill="auto"/>
            <w:vAlign w:val="center"/>
          </w:tcPr>
          <w:p w14:paraId="6F563B46">
            <w:pPr>
              <w:ind w:firstLine="0" w:firstLineChars="0"/>
              <w:jc w:val="center"/>
              <w:rPr>
                <w:rFonts w:ascii="宋体" w:hAnsi="宋体"/>
                <w:sz w:val="18"/>
                <w:szCs w:val="18"/>
              </w:rPr>
            </w:pPr>
            <w:r>
              <w:rPr>
                <w:rFonts w:ascii="宋体" w:hAnsi="宋体"/>
                <w:sz w:val="18"/>
                <w:szCs w:val="18"/>
              </w:rPr>
              <w:t>2.02</w:t>
            </w:r>
          </w:p>
        </w:tc>
        <w:tc>
          <w:tcPr>
            <w:tcW w:w="1523" w:type="dxa"/>
            <w:shd w:val="clear" w:color="auto" w:fill="auto"/>
            <w:vAlign w:val="center"/>
          </w:tcPr>
          <w:p w14:paraId="5A2CD0E8">
            <w:pPr>
              <w:ind w:firstLine="0" w:firstLineChars="0"/>
              <w:jc w:val="center"/>
              <w:rPr>
                <w:rFonts w:ascii="宋体" w:hAnsi="宋体"/>
                <w:sz w:val="18"/>
                <w:szCs w:val="18"/>
              </w:rPr>
            </w:pPr>
            <w:r>
              <w:rPr>
                <w:rFonts w:ascii="宋体" w:hAnsi="宋体"/>
                <w:sz w:val="18"/>
                <w:szCs w:val="18"/>
              </w:rPr>
              <w:t>180</w:t>
            </w:r>
          </w:p>
        </w:tc>
        <w:tc>
          <w:tcPr>
            <w:tcW w:w="1435" w:type="dxa"/>
            <w:shd w:val="clear" w:color="auto" w:fill="auto"/>
            <w:vAlign w:val="center"/>
          </w:tcPr>
          <w:p w14:paraId="04574474">
            <w:pPr>
              <w:ind w:firstLine="0" w:firstLineChars="0"/>
              <w:jc w:val="center"/>
              <w:rPr>
                <w:rFonts w:ascii="宋体" w:hAnsi="宋体"/>
                <w:sz w:val="18"/>
                <w:szCs w:val="18"/>
              </w:rPr>
            </w:pPr>
            <w:r>
              <w:rPr>
                <w:rFonts w:ascii="宋体" w:hAnsi="宋体"/>
                <w:sz w:val="18"/>
                <w:szCs w:val="18"/>
              </w:rPr>
              <w:t>280</w:t>
            </w:r>
          </w:p>
        </w:tc>
      </w:tr>
      <w:tr w14:paraId="09AA727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49" w:type="dxa"/>
            <w:shd w:val="clear" w:color="auto" w:fill="auto"/>
            <w:vAlign w:val="center"/>
          </w:tcPr>
          <w:p w14:paraId="7D6CE9A1">
            <w:pPr>
              <w:ind w:firstLine="0" w:firstLineChars="0"/>
              <w:jc w:val="center"/>
              <w:rPr>
                <w:rFonts w:ascii="宋体" w:hAnsi="宋体"/>
                <w:sz w:val="18"/>
                <w:szCs w:val="18"/>
              </w:rPr>
            </w:pPr>
            <w:r>
              <w:rPr>
                <w:rFonts w:ascii="宋体" w:hAnsi="宋体"/>
                <w:sz w:val="18"/>
                <w:szCs w:val="18"/>
              </w:rPr>
              <w:t>余热发电</w:t>
            </w:r>
          </w:p>
        </w:tc>
        <w:tc>
          <w:tcPr>
            <w:tcW w:w="2612" w:type="dxa"/>
            <w:shd w:val="clear" w:color="auto" w:fill="auto"/>
            <w:vAlign w:val="center"/>
          </w:tcPr>
          <w:p w14:paraId="564BB6A1">
            <w:pPr>
              <w:ind w:firstLine="0" w:firstLineChars="0"/>
              <w:jc w:val="center"/>
              <w:rPr>
                <w:rFonts w:ascii="宋体" w:hAnsi="宋体"/>
                <w:sz w:val="18"/>
                <w:szCs w:val="18"/>
              </w:rPr>
            </w:pPr>
            <w:r>
              <w:rPr>
                <w:rFonts w:ascii="宋体" w:hAnsi="宋体"/>
                <w:sz w:val="18"/>
                <w:szCs w:val="18"/>
              </w:rPr>
              <w:t>乏汽</w:t>
            </w:r>
          </w:p>
        </w:tc>
        <w:tc>
          <w:tcPr>
            <w:tcW w:w="1387" w:type="dxa"/>
            <w:shd w:val="clear" w:color="auto" w:fill="auto"/>
            <w:vAlign w:val="center"/>
          </w:tcPr>
          <w:p w14:paraId="31AA231E">
            <w:pPr>
              <w:ind w:firstLine="0" w:firstLineChars="0"/>
              <w:jc w:val="center"/>
              <w:rPr>
                <w:rFonts w:ascii="宋体" w:hAnsi="宋体"/>
                <w:sz w:val="18"/>
                <w:szCs w:val="18"/>
              </w:rPr>
            </w:pPr>
            <w:r>
              <w:rPr>
                <w:rFonts w:ascii="宋体" w:hAnsi="宋体"/>
                <w:sz w:val="18"/>
                <w:szCs w:val="18"/>
              </w:rPr>
              <w:t>5.87</w:t>
            </w:r>
          </w:p>
        </w:tc>
        <w:tc>
          <w:tcPr>
            <w:tcW w:w="1523" w:type="dxa"/>
            <w:shd w:val="clear" w:color="auto" w:fill="auto"/>
            <w:vAlign w:val="center"/>
          </w:tcPr>
          <w:p w14:paraId="67120D90">
            <w:pPr>
              <w:ind w:firstLine="0" w:firstLineChars="0"/>
              <w:jc w:val="center"/>
              <w:rPr>
                <w:rFonts w:ascii="宋体" w:hAnsi="宋体"/>
                <w:sz w:val="18"/>
                <w:szCs w:val="18"/>
              </w:rPr>
            </w:pPr>
            <w:r>
              <w:rPr>
                <w:rFonts w:ascii="宋体" w:hAnsi="宋体"/>
                <w:sz w:val="18"/>
                <w:szCs w:val="18"/>
              </w:rPr>
              <w:t>50</w:t>
            </w:r>
          </w:p>
        </w:tc>
        <w:tc>
          <w:tcPr>
            <w:tcW w:w="1435" w:type="dxa"/>
            <w:shd w:val="clear" w:color="auto" w:fill="auto"/>
            <w:vAlign w:val="center"/>
          </w:tcPr>
          <w:p w14:paraId="3A9F3B15">
            <w:pPr>
              <w:ind w:firstLine="0" w:firstLineChars="0"/>
              <w:jc w:val="center"/>
              <w:rPr>
                <w:rFonts w:ascii="宋体" w:hAnsi="宋体"/>
                <w:sz w:val="18"/>
                <w:szCs w:val="18"/>
              </w:rPr>
            </w:pPr>
            <w:r>
              <w:rPr>
                <w:rFonts w:ascii="宋体" w:hAnsi="宋体"/>
                <w:sz w:val="18"/>
                <w:szCs w:val="18"/>
              </w:rPr>
              <w:t>50</w:t>
            </w:r>
          </w:p>
        </w:tc>
      </w:tr>
      <w:tr w14:paraId="1D75BA8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49" w:type="dxa"/>
            <w:shd w:val="clear" w:color="auto" w:fill="auto"/>
            <w:vAlign w:val="center"/>
          </w:tcPr>
          <w:p w14:paraId="6AF51C69">
            <w:pPr>
              <w:ind w:firstLine="0" w:firstLineChars="0"/>
              <w:jc w:val="center"/>
              <w:rPr>
                <w:rFonts w:ascii="宋体" w:hAnsi="宋体"/>
                <w:sz w:val="18"/>
                <w:szCs w:val="18"/>
              </w:rPr>
            </w:pPr>
            <w:r>
              <w:rPr>
                <w:rFonts w:ascii="宋体" w:hAnsi="宋体"/>
                <w:sz w:val="18"/>
                <w:szCs w:val="18"/>
              </w:rPr>
              <w:t>总计</w:t>
            </w:r>
          </w:p>
        </w:tc>
        <w:tc>
          <w:tcPr>
            <w:tcW w:w="2612" w:type="dxa"/>
            <w:shd w:val="clear" w:color="auto" w:fill="auto"/>
            <w:vAlign w:val="center"/>
          </w:tcPr>
          <w:p w14:paraId="584FCD4C">
            <w:pPr>
              <w:ind w:firstLine="0" w:firstLineChars="0"/>
              <w:jc w:val="center"/>
              <w:rPr>
                <w:rFonts w:ascii="宋体" w:hAnsi="宋体"/>
                <w:sz w:val="18"/>
                <w:szCs w:val="18"/>
              </w:rPr>
            </w:pPr>
          </w:p>
        </w:tc>
        <w:tc>
          <w:tcPr>
            <w:tcW w:w="1387" w:type="dxa"/>
            <w:shd w:val="clear" w:color="auto" w:fill="auto"/>
            <w:vAlign w:val="center"/>
          </w:tcPr>
          <w:p w14:paraId="0883BED8">
            <w:pPr>
              <w:ind w:firstLine="0" w:firstLineChars="0"/>
              <w:jc w:val="center"/>
              <w:rPr>
                <w:rFonts w:ascii="宋体" w:hAnsi="宋体"/>
                <w:sz w:val="18"/>
                <w:szCs w:val="18"/>
              </w:rPr>
            </w:pPr>
            <w:r>
              <w:rPr>
                <w:rFonts w:ascii="宋体" w:hAnsi="宋体"/>
                <w:sz w:val="18"/>
                <w:szCs w:val="18"/>
              </w:rPr>
              <w:t>30.8</w:t>
            </w:r>
          </w:p>
        </w:tc>
        <w:tc>
          <w:tcPr>
            <w:tcW w:w="1523" w:type="dxa"/>
            <w:shd w:val="clear" w:color="auto" w:fill="auto"/>
            <w:vAlign w:val="center"/>
          </w:tcPr>
          <w:p w14:paraId="413D1CF7">
            <w:pPr>
              <w:ind w:firstLine="0" w:firstLineChars="0"/>
              <w:jc w:val="center"/>
              <w:rPr>
                <w:rFonts w:ascii="宋体" w:hAnsi="宋体"/>
                <w:sz w:val="18"/>
                <w:szCs w:val="18"/>
              </w:rPr>
            </w:pPr>
          </w:p>
        </w:tc>
        <w:tc>
          <w:tcPr>
            <w:tcW w:w="1435" w:type="dxa"/>
            <w:shd w:val="clear" w:color="auto" w:fill="auto"/>
            <w:vAlign w:val="center"/>
          </w:tcPr>
          <w:p w14:paraId="608D07EB">
            <w:pPr>
              <w:ind w:firstLine="0" w:firstLineChars="0"/>
              <w:jc w:val="center"/>
              <w:rPr>
                <w:rFonts w:ascii="宋体" w:hAnsi="宋体"/>
                <w:sz w:val="18"/>
                <w:szCs w:val="18"/>
              </w:rPr>
            </w:pPr>
          </w:p>
        </w:tc>
      </w:tr>
    </w:tbl>
    <w:p w14:paraId="5CEEE755">
      <w:pPr>
        <w:ind w:firstLine="560"/>
      </w:pPr>
      <w:r>
        <w:rPr>
          <w:rFonts w:hint="eastAsia"/>
        </w:rPr>
        <w:t>（三）石油、煤炭及其他燃料加工业</w:t>
      </w:r>
    </w:p>
    <w:p w14:paraId="12B802D5">
      <w:pPr>
        <w:ind w:firstLine="560"/>
      </w:pPr>
      <w:r>
        <w:rPr>
          <w:rFonts w:hint="eastAsia"/>
        </w:rPr>
        <w:t>石油化工是以原油为主要原料，生产燃料、润滑剂、石油沥青和化工原料等的工业部门，其中炼油厂是石油化工行业的基础部门。</w:t>
      </w:r>
    </w:p>
    <w:p w14:paraId="38515735">
      <w:pPr>
        <w:ind w:firstLine="560"/>
      </w:pPr>
      <w:r>
        <w:t>1、石油化工行业废热资源种类</w:t>
      </w:r>
    </w:p>
    <w:p w14:paraId="238B5E14">
      <w:pPr>
        <w:ind w:firstLine="560"/>
      </w:pPr>
      <w:r>
        <w:t>1）油类产品余热</w:t>
      </w:r>
    </w:p>
    <w:p w14:paraId="34A4E63B">
      <w:pPr>
        <w:ind w:firstLine="560"/>
      </w:pPr>
      <w:r>
        <w:t>石油炼制行业主要是根据不同油品的相对挥发度不同，从石油中提炼各种油类产品。在石油炼制的过程中，油品分离的主要设备为精馏塔。各精馏塔的塔底再沸器采用的热源大多为各种压力的蒸汽；蒸汽提供的热量大部分转移至各种油</w:t>
      </w:r>
      <w:r>
        <w:rPr>
          <w:rFonts w:hint="eastAsia"/>
        </w:rPr>
        <w:t>类</w:t>
      </w:r>
      <w:r>
        <w:t>产品中，油类产品经冷却介质冷却后，或通过冷却水塔排放到环境中，或作为热源加热其他物料。而在此过程中，大部分的油类产品温度较低，余热品位不高， 大部分的产品余热没有回收利用，排放到了环境中。</w:t>
      </w:r>
    </w:p>
    <w:p w14:paraId="35212B6B">
      <w:pPr>
        <w:ind w:firstLine="560"/>
      </w:pPr>
      <w:r>
        <w:t>2）废气余热</w:t>
      </w:r>
    </w:p>
    <w:p w14:paraId="548B745F">
      <w:pPr>
        <w:ind w:firstLine="560"/>
      </w:pPr>
      <w:r>
        <w:t>石油炼制过程中，加热炉是常用的加热设备，如常压加热炉、减压加热炉和催化裂化加热炉等。加热炉排气温度一般在 200℃左右，具有一定的回收利用价值。</w:t>
      </w:r>
    </w:p>
    <w:p w14:paraId="04FC4BD0">
      <w:pPr>
        <w:ind w:firstLine="560"/>
      </w:pPr>
      <w:r>
        <w:t>3）冷却介质余热</w:t>
      </w:r>
    </w:p>
    <w:p w14:paraId="5DF5223C">
      <w:pPr>
        <w:ind w:firstLine="560"/>
      </w:pPr>
      <w:r>
        <w:t>石油行业的冷却介质主要是冷却水。冷却水在石油炼制的过程中使用非常广泛，用量巨大，常用于各种油品的冷却降温。目前，我国石油炼制行业的先进水平需耗新鲜水约 0.4吨/吨原油。</w:t>
      </w:r>
    </w:p>
    <w:p w14:paraId="202F3011">
      <w:pPr>
        <w:ind w:firstLine="560"/>
      </w:pPr>
      <w:r>
        <w:t>石油炼制行业循环冷却水的温度一般多为 30~45℃，温度低，属于低温废热， 回收利用较为困难。</w:t>
      </w:r>
    </w:p>
    <w:p w14:paraId="4D53AE9A">
      <w:pPr>
        <w:ind w:firstLine="560"/>
      </w:pPr>
      <w:r>
        <w:t>2、石油炼制行业废热资源分布</w:t>
      </w:r>
    </w:p>
    <w:p w14:paraId="2682BF06">
      <w:pPr>
        <w:ind w:firstLine="560"/>
      </w:pPr>
      <w:r>
        <w:t>其他炼化企业部分装置低温余热分布和油类产品的可利用余热负荷分别见表3</w:t>
      </w:r>
    </w:p>
    <w:p w14:paraId="00E71FE0">
      <w:pPr>
        <w:ind w:firstLine="0" w:firstLineChars="0"/>
        <w:jc w:val="center"/>
      </w:pPr>
      <w:r>
        <w:t>表3工艺装置低温余热分</w:t>
      </w:r>
      <w:r>
        <w:rPr>
          <w:rFonts w:hint="eastAsia"/>
        </w:rPr>
        <w:t>布</w:t>
      </w:r>
    </w:p>
    <w:tbl>
      <w:tblPr>
        <w:tblStyle w:val="30"/>
        <w:tblW w:w="5000" w:type="pct"/>
        <w:tblInd w:w="0" w:type="dxa"/>
        <w:tblLayout w:type="autofit"/>
        <w:tblCellMar>
          <w:top w:w="0" w:type="dxa"/>
          <w:left w:w="108" w:type="dxa"/>
          <w:bottom w:w="0" w:type="dxa"/>
          <w:right w:w="108" w:type="dxa"/>
        </w:tblCellMar>
      </w:tblPr>
      <w:tblGrid>
        <w:gridCol w:w="2261"/>
        <w:gridCol w:w="1484"/>
        <w:gridCol w:w="1577"/>
        <w:gridCol w:w="1623"/>
        <w:gridCol w:w="1577"/>
      </w:tblGrid>
      <w:tr w14:paraId="03ACAC04">
        <w:tblPrEx>
          <w:tblCellMar>
            <w:top w:w="0" w:type="dxa"/>
            <w:left w:w="108" w:type="dxa"/>
            <w:bottom w:w="0" w:type="dxa"/>
            <w:right w:w="108" w:type="dxa"/>
          </w:tblCellMar>
        </w:tblPrEx>
        <w:trPr>
          <w:trHeight w:val="525" w:hRule="atLeast"/>
        </w:trPr>
        <w:tc>
          <w:tcPr>
            <w:tcW w:w="132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BE8DEC">
            <w:pPr>
              <w:ind w:firstLine="0" w:firstLineChars="0"/>
              <w:jc w:val="center"/>
              <w:rPr>
                <w:rFonts w:ascii="宋体" w:hAnsi="宋体"/>
                <w:sz w:val="18"/>
                <w:szCs w:val="18"/>
              </w:rPr>
            </w:pPr>
            <w:r>
              <w:rPr>
                <w:rFonts w:hint="eastAsia" w:ascii="宋体" w:hAnsi="宋体"/>
                <w:sz w:val="18"/>
                <w:szCs w:val="18"/>
              </w:rPr>
              <w:t>工艺装置</w:t>
            </w:r>
          </w:p>
        </w:tc>
        <w:tc>
          <w:tcPr>
            <w:tcW w:w="871" w:type="pct"/>
            <w:tcBorders>
              <w:top w:val="single" w:color="auto" w:sz="4" w:space="0"/>
              <w:left w:val="nil"/>
              <w:bottom w:val="single" w:color="auto" w:sz="4" w:space="0"/>
              <w:right w:val="single" w:color="auto" w:sz="4" w:space="0"/>
            </w:tcBorders>
            <w:shd w:val="clear" w:color="auto" w:fill="auto"/>
            <w:vAlign w:val="center"/>
          </w:tcPr>
          <w:p w14:paraId="52575D64">
            <w:pPr>
              <w:ind w:firstLine="0" w:firstLineChars="0"/>
              <w:jc w:val="center"/>
              <w:rPr>
                <w:rFonts w:ascii="宋体" w:hAnsi="宋体"/>
                <w:sz w:val="18"/>
                <w:szCs w:val="18"/>
              </w:rPr>
            </w:pPr>
            <w:r>
              <w:rPr>
                <w:rFonts w:hint="eastAsia" w:ascii="宋体" w:hAnsi="宋体"/>
                <w:sz w:val="18"/>
                <w:szCs w:val="18"/>
              </w:rPr>
              <w:t>热水发生量</w:t>
            </w:r>
          </w:p>
        </w:tc>
        <w:tc>
          <w:tcPr>
            <w:tcW w:w="925" w:type="pct"/>
            <w:tcBorders>
              <w:top w:val="single" w:color="auto" w:sz="4" w:space="0"/>
              <w:left w:val="nil"/>
              <w:bottom w:val="single" w:color="auto" w:sz="4" w:space="0"/>
              <w:right w:val="single" w:color="auto" w:sz="4" w:space="0"/>
            </w:tcBorders>
            <w:shd w:val="clear" w:color="auto" w:fill="auto"/>
            <w:vAlign w:val="center"/>
          </w:tcPr>
          <w:p w14:paraId="7CA6B5A4">
            <w:pPr>
              <w:ind w:firstLine="0" w:firstLineChars="0"/>
              <w:jc w:val="center"/>
              <w:rPr>
                <w:rFonts w:ascii="宋体" w:hAnsi="宋体"/>
                <w:sz w:val="18"/>
                <w:szCs w:val="18"/>
              </w:rPr>
            </w:pPr>
            <w:r>
              <w:rPr>
                <w:rFonts w:hint="eastAsia" w:ascii="宋体" w:hAnsi="宋体"/>
                <w:sz w:val="18"/>
                <w:szCs w:val="18"/>
              </w:rPr>
              <w:t>进装置温度</w:t>
            </w:r>
          </w:p>
        </w:tc>
        <w:tc>
          <w:tcPr>
            <w:tcW w:w="952" w:type="pct"/>
            <w:tcBorders>
              <w:top w:val="single" w:color="auto" w:sz="4" w:space="0"/>
              <w:left w:val="nil"/>
              <w:bottom w:val="single" w:color="auto" w:sz="4" w:space="0"/>
              <w:right w:val="single" w:color="auto" w:sz="4" w:space="0"/>
            </w:tcBorders>
            <w:shd w:val="clear" w:color="auto" w:fill="auto"/>
            <w:vAlign w:val="center"/>
          </w:tcPr>
          <w:p w14:paraId="22935F7F">
            <w:pPr>
              <w:ind w:firstLine="0" w:firstLineChars="0"/>
              <w:jc w:val="center"/>
              <w:rPr>
                <w:rFonts w:ascii="宋体" w:hAnsi="宋体"/>
                <w:sz w:val="18"/>
                <w:szCs w:val="18"/>
              </w:rPr>
            </w:pPr>
            <w:r>
              <w:rPr>
                <w:rFonts w:hint="eastAsia" w:ascii="宋体" w:hAnsi="宋体"/>
                <w:sz w:val="18"/>
                <w:szCs w:val="18"/>
              </w:rPr>
              <w:t>出装置温度</w:t>
            </w:r>
          </w:p>
        </w:tc>
        <w:tc>
          <w:tcPr>
            <w:tcW w:w="925" w:type="pct"/>
            <w:tcBorders>
              <w:top w:val="single" w:color="auto" w:sz="4" w:space="0"/>
              <w:left w:val="nil"/>
              <w:bottom w:val="single" w:color="auto" w:sz="4" w:space="0"/>
              <w:right w:val="single" w:color="auto" w:sz="4" w:space="0"/>
            </w:tcBorders>
            <w:shd w:val="clear" w:color="auto" w:fill="auto"/>
            <w:vAlign w:val="center"/>
          </w:tcPr>
          <w:p w14:paraId="0AC35BFD">
            <w:pPr>
              <w:ind w:firstLine="0" w:firstLineChars="0"/>
              <w:jc w:val="center"/>
              <w:rPr>
                <w:rFonts w:ascii="宋体" w:hAnsi="宋体"/>
                <w:sz w:val="18"/>
                <w:szCs w:val="18"/>
              </w:rPr>
            </w:pPr>
            <w:r>
              <w:rPr>
                <w:rFonts w:hint="eastAsia" w:ascii="宋体" w:hAnsi="宋体"/>
                <w:sz w:val="18"/>
                <w:szCs w:val="18"/>
              </w:rPr>
              <w:t>热负荷</w:t>
            </w:r>
          </w:p>
        </w:tc>
      </w:tr>
      <w:tr w14:paraId="5FCD4CF5">
        <w:tblPrEx>
          <w:tblCellMar>
            <w:top w:w="0" w:type="dxa"/>
            <w:left w:w="108" w:type="dxa"/>
            <w:bottom w:w="0" w:type="dxa"/>
            <w:right w:w="108" w:type="dxa"/>
          </w:tblCellMar>
        </w:tblPrEx>
        <w:trPr>
          <w:trHeight w:val="285" w:hRule="atLeast"/>
        </w:trPr>
        <w:tc>
          <w:tcPr>
            <w:tcW w:w="1327" w:type="pct"/>
            <w:vMerge w:val="continue"/>
            <w:tcBorders>
              <w:top w:val="single" w:color="auto" w:sz="4" w:space="0"/>
              <w:left w:val="single" w:color="auto" w:sz="4" w:space="0"/>
              <w:bottom w:val="single" w:color="auto" w:sz="4" w:space="0"/>
              <w:right w:val="single" w:color="auto" w:sz="4" w:space="0"/>
            </w:tcBorders>
            <w:vAlign w:val="center"/>
          </w:tcPr>
          <w:p w14:paraId="124FC449">
            <w:pPr>
              <w:ind w:firstLine="0" w:firstLineChars="0"/>
              <w:jc w:val="center"/>
              <w:rPr>
                <w:rFonts w:ascii="宋体" w:hAnsi="宋体"/>
                <w:sz w:val="18"/>
                <w:szCs w:val="18"/>
              </w:rPr>
            </w:pPr>
          </w:p>
        </w:tc>
        <w:tc>
          <w:tcPr>
            <w:tcW w:w="871" w:type="pct"/>
            <w:tcBorders>
              <w:top w:val="nil"/>
              <w:left w:val="nil"/>
              <w:bottom w:val="single" w:color="auto" w:sz="4" w:space="0"/>
              <w:right w:val="single" w:color="auto" w:sz="4" w:space="0"/>
            </w:tcBorders>
            <w:shd w:val="clear" w:color="auto" w:fill="auto"/>
            <w:vAlign w:val="center"/>
          </w:tcPr>
          <w:p w14:paraId="1929EC27">
            <w:pPr>
              <w:ind w:firstLine="0" w:firstLineChars="0"/>
              <w:jc w:val="center"/>
              <w:rPr>
                <w:rFonts w:ascii="宋体" w:hAnsi="宋体"/>
                <w:sz w:val="18"/>
                <w:szCs w:val="18"/>
              </w:rPr>
            </w:pPr>
            <w:r>
              <w:rPr>
                <w:rFonts w:ascii="宋体" w:hAnsi="宋体"/>
                <w:sz w:val="18"/>
                <w:szCs w:val="18"/>
              </w:rPr>
              <w:t>t/h</w:t>
            </w:r>
          </w:p>
        </w:tc>
        <w:tc>
          <w:tcPr>
            <w:tcW w:w="925" w:type="pct"/>
            <w:tcBorders>
              <w:top w:val="nil"/>
              <w:left w:val="nil"/>
              <w:bottom w:val="single" w:color="auto" w:sz="4" w:space="0"/>
              <w:right w:val="single" w:color="auto" w:sz="4" w:space="0"/>
            </w:tcBorders>
            <w:shd w:val="clear" w:color="auto" w:fill="auto"/>
            <w:vAlign w:val="center"/>
          </w:tcPr>
          <w:p w14:paraId="78556084">
            <w:pPr>
              <w:ind w:firstLine="0" w:firstLineChars="0"/>
              <w:jc w:val="center"/>
              <w:rPr>
                <w:rFonts w:ascii="宋体" w:hAnsi="宋体"/>
                <w:sz w:val="18"/>
                <w:szCs w:val="18"/>
              </w:rPr>
            </w:pPr>
            <w:r>
              <w:rPr>
                <w:rFonts w:hint="eastAsia" w:ascii="宋体" w:hAnsi="宋体"/>
                <w:sz w:val="18"/>
                <w:szCs w:val="18"/>
              </w:rPr>
              <w:t>℃</w:t>
            </w:r>
          </w:p>
        </w:tc>
        <w:tc>
          <w:tcPr>
            <w:tcW w:w="952" w:type="pct"/>
            <w:tcBorders>
              <w:top w:val="nil"/>
              <w:left w:val="nil"/>
              <w:bottom w:val="single" w:color="auto" w:sz="4" w:space="0"/>
              <w:right w:val="single" w:color="auto" w:sz="4" w:space="0"/>
            </w:tcBorders>
            <w:shd w:val="clear" w:color="auto" w:fill="auto"/>
            <w:vAlign w:val="center"/>
          </w:tcPr>
          <w:p w14:paraId="7E64ABAC">
            <w:pPr>
              <w:ind w:firstLine="0" w:firstLineChars="0"/>
              <w:jc w:val="center"/>
              <w:rPr>
                <w:rFonts w:ascii="宋体" w:hAnsi="宋体"/>
                <w:sz w:val="18"/>
                <w:szCs w:val="18"/>
              </w:rPr>
            </w:pPr>
            <w:r>
              <w:rPr>
                <w:rFonts w:hint="eastAsia" w:ascii="宋体" w:hAnsi="宋体"/>
                <w:sz w:val="18"/>
                <w:szCs w:val="18"/>
              </w:rPr>
              <w:t>℃</w:t>
            </w:r>
          </w:p>
        </w:tc>
        <w:tc>
          <w:tcPr>
            <w:tcW w:w="925" w:type="pct"/>
            <w:tcBorders>
              <w:top w:val="nil"/>
              <w:left w:val="nil"/>
              <w:bottom w:val="single" w:color="auto" w:sz="4" w:space="0"/>
              <w:right w:val="single" w:color="auto" w:sz="4" w:space="0"/>
            </w:tcBorders>
            <w:shd w:val="clear" w:color="auto" w:fill="auto"/>
            <w:vAlign w:val="center"/>
          </w:tcPr>
          <w:p w14:paraId="771AF246">
            <w:pPr>
              <w:ind w:firstLine="0" w:firstLineChars="0"/>
              <w:jc w:val="center"/>
              <w:rPr>
                <w:rFonts w:ascii="宋体" w:hAnsi="宋体"/>
                <w:sz w:val="18"/>
                <w:szCs w:val="18"/>
              </w:rPr>
            </w:pPr>
            <w:r>
              <w:rPr>
                <w:rFonts w:ascii="宋体" w:hAnsi="宋体"/>
                <w:sz w:val="18"/>
                <w:szCs w:val="18"/>
              </w:rPr>
              <w:t>MW</w:t>
            </w:r>
          </w:p>
        </w:tc>
      </w:tr>
      <w:tr w14:paraId="559323DD">
        <w:tblPrEx>
          <w:tblCellMar>
            <w:top w:w="0" w:type="dxa"/>
            <w:left w:w="108" w:type="dxa"/>
            <w:bottom w:w="0" w:type="dxa"/>
            <w:right w:w="108" w:type="dxa"/>
          </w:tblCellMar>
        </w:tblPrEx>
        <w:trPr>
          <w:trHeight w:val="300"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620E31A3">
            <w:pPr>
              <w:ind w:firstLine="0" w:firstLineChars="0"/>
              <w:jc w:val="center"/>
              <w:rPr>
                <w:rFonts w:ascii="宋体" w:hAnsi="宋体"/>
                <w:sz w:val="18"/>
                <w:szCs w:val="18"/>
              </w:rPr>
            </w:pPr>
            <w:r>
              <w:rPr>
                <w:rFonts w:hint="eastAsia" w:ascii="宋体" w:hAnsi="宋体"/>
                <w:sz w:val="18"/>
                <w:szCs w:val="18"/>
              </w:rPr>
              <w:t>催化裂化</w:t>
            </w:r>
          </w:p>
        </w:tc>
      </w:tr>
      <w:tr w14:paraId="0CDBBE48">
        <w:tblPrEx>
          <w:tblCellMar>
            <w:top w:w="0" w:type="dxa"/>
            <w:left w:w="108" w:type="dxa"/>
            <w:bottom w:w="0" w:type="dxa"/>
            <w:right w:w="108" w:type="dxa"/>
          </w:tblCellMar>
        </w:tblPrEx>
        <w:trPr>
          <w:trHeight w:val="285" w:hRule="atLeast"/>
        </w:trPr>
        <w:tc>
          <w:tcPr>
            <w:tcW w:w="1327" w:type="pct"/>
            <w:tcBorders>
              <w:top w:val="nil"/>
              <w:left w:val="single" w:color="auto" w:sz="4" w:space="0"/>
              <w:bottom w:val="single" w:color="auto" w:sz="4" w:space="0"/>
              <w:right w:val="single" w:color="auto" w:sz="4" w:space="0"/>
            </w:tcBorders>
            <w:shd w:val="clear" w:color="auto" w:fill="auto"/>
            <w:vAlign w:val="center"/>
          </w:tcPr>
          <w:p w14:paraId="08D3B379">
            <w:pPr>
              <w:ind w:firstLine="0" w:firstLineChars="0"/>
              <w:jc w:val="center"/>
              <w:rPr>
                <w:rFonts w:ascii="宋体" w:hAnsi="宋体"/>
                <w:sz w:val="18"/>
                <w:szCs w:val="18"/>
              </w:rPr>
            </w:pPr>
            <w:r>
              <w:rPr>
                <w:rFonts w:ascii="宋体" w:hAnsi="宋体"/>
                <w:sz w:val="18"/>
                <w:szCs w:val="18"/>
              </w:rPr>
              <w:t xml:space="preserve">I </w:t>
            </w:r>
            <w:r>
              <w:rPr>
                <w:rFonts w:hint="eastAsia" w:ascii="宋体" w:hAnsi="宋体"/>
                <w:sz w:val="18"/>
                <w:szCs w:val="18"/>
              </w:rPr>
              <w:t>套</w:t>
            </w:r>
          </w:p>
        </w:tc>
        <w:tc>
          <w:tcPr>
            <w:tcW w:w="871" w:type="pct"/>
            <w:tcBorders>
              <w:top w:val="nil"/>
              <w:left w:val="nil"/>
              <w:bottom w:val="single" w:color="auto" w:sz="4" w:space="0"/>
              <w:right w:val="single" w:color="auto" w:sz="4" w:space="0"/>
            </w:tcBorders>
            <w:shd w:val="clear" w:color="auto" w:fill="auto"/>
            <w:vAlign w:val="center"/>
          </w:tcPr>
          <w:p w14:paraId="3C98E8CC">
            <w:pPr>
              <w:ind w:firstLine="0" w:firstLineChars="0"/>
              <w:jc w:val="center"/>
              <w:rPr>
                <w:rFonts w:ascii="宋体" w:hAnsi="宋体"/>
                <w:sz w:val="18"/>
                <w:szCs w:val="18"/>
              </w:rPr>
            </w:pPr>
            <w:r>
              <w:rPr>
                <w:rFonts w:ascii="宋体" w:hAnsi="宋体"/>
                <w:sz w:val="18"/>
                <w:szCs w:val="18"/>
              </w:rPr>
              <w:t>1400</w:t>
            </w:r>
          </w:p>
        </w:tc>
        <w:tc>
          <w:tcPr>
            <w:tcW w:w="925" w:type="pct"/>
            <w:tcBorders>
              <w:top w:val="nil"/>
              <w:left w:val="nil"/>
              <w:bottom w:val="single" w:color="auto" w:sz="4" w:space="0"/>
              <w:right w:val="single" w:color="auto" w:sz="4" w:space="0"/>
            </w:tcBorders>
            <w:shd w:val="clear" w:color="auto" w:fill="auto"/>
            <w:vAlign w:val="center"/>
          </w:tcPr>
          <w:p w14:paraId="5127AAA8">
            <w:pPr>
              <w:ind w:firstLine="0" w:firstLineChars="0"/>
              <w:jc w:val="center"/>
              <w:rPr>
                <w:rFonts w:ascii="宋体" w:hAnsi="宋体"/>
                <w:sz w:val="18"/>
                <w:szCs w:val="18"/>
              </w:rPr>
            </w:pPr>
            <w:r>
              <w:rPr>
                <w:rFonts w:ascii="宋体" w:hAnsi="宋体"/>
                <w:sz w:val="18"/>
                <w:szCs w:val="18"/>
              </w:rPr>
              <w:t>55</w:t>
            </w:r>
          </w:p>
        </w:tc>
        <w:tc>
          <w:tcPr>
            <w:tcW w:w="952" w:type="pct"/>
            <w:tcBorders>
              <w:top w:val="nil"/>
              <w:left w:val="nil"/>
              <w:bottom w:val="single" w:color="auto" w:sz="4" w:space="0"/>
              <w:right w:val="single" w:color="auto" w:sz="4" w:space="0"/>
            </w:tcBorders>
            <w:shd w:val="clear" w:color="auto" w:fill="auto"/>
            <w:vAlign w:val="center"/>
          </w:tcPr>
          <w:p w14:paraId="79CAD2FB">
            <w:pPr>
              <w:ind w:firstLine="0" w:firstLineChars="0"/>
              <w:jc w:val="center"/>
              <w:rPr>
                <w:rFonts w:ascii="宋体" w:hAnsi="宋体"/>
                <w:sz w:val="18"/>
                <w:szCs w:val="18"/>
              </w:rPr>
            </w:pPr>
            <w:r>
              <w:rPr>
                <w:rFonts w:ascii="宋体" w:hAnsi="宋体"/>
                <w:sz w:val="18"/>
                <w:szCs w:val="18"/>
              </w:rPr>
              <w:t>94</w:t>
            </w:r>
          </w:p>
        </w:tc>
        <w:tc>
          <w:tcPr>
            <w:tcW w:w="925" w:type="pct"/>
            <w:tcBorders>
              <w:top w:val="nil"/>
              <w:left w:val="nil"/>
              <w:bottom w:val="single" w:color="auto" w:sz="4" w:space="0"/>
              <w:right w:val="single" w:color="auto" w:sz="4" w:space="0"/>
            </w:tcBorders>
            <w:shd w:val="clear" w:color="auto" w:fill="auto"/>
            <w:vAlign w:val="center"/>
          </w:tcPr>
          <w:p w14:paraId="750CF339">
            <w:pPr>
              <w:ind w:firstLine="0" w:firstLineChars="0"/>
              <w:jc w:val="center"/>
              <w:rPr>
                <w:rFonts w:ascii="宋体" w:hAnsi="宋体"/>
                <w:sz w:val="18"/>
                <w:szCs w:val="18"/>
              </w:rPr>
            </w:pPr>
            <w:r>
              <w:rPr>
                <w:rFonts w:ascii="宋体" w:hAnsi="宋体"/>
                <w:sz w:val="18"/>
                <w:szCs w:val="18"/>
              </w:rPr>
              <w:t>63.5</w:t>
            </w:r>
          </w:p>
        </w:tc>
      </w:tr>
      <w:tr w14:paraId="130E7271">
        <w:tblPrEx>
          <w:tblCellMar>
            <w:top w:w="0" w:type="dxa"/>
            <w:left w:w="108" w:type="dxa"/>
            <w:bottom w:w="0" w:type="dxa"/>
            <w:right w:w="108" w:type="dxa"/>
          </w:tblCellMar>
        </w:tblPrEx>
        <w:trPr>
          <w:trHeight w:val="285" w:hRule="atLeast"/>
        </w:trPr>
        <w:tc>
          <w:tcPr>
            <w:tcW w:w="1327" w:type="pct"/>
            <w:tcBorders>
              <w:top w:val="nil"/>
              <w:left w:val="single" w:color="auto" w:sz="4" w:space="0"/>
              <w:bottom w:val="single" w:color="auto" w:sz="4" w:space="0"/>
              <w:right w:val="single" w:color="auto" w:sz="4" w:space="0"/>
            </w:tcBorders>
            <w:shd w:val="clear" w:color="auto" w:fill="auto"/>
            <w:vAlign w:val="center"/>
          </w:tcPr>
          <w:p w14:paraId="651F8B46">
            <w:pPr>
              <w:ind w:firstLine="0" w:firstLineChars="0"/>
              <w:jc w:val="center"/>
              <w:rPr>
                <w:rFonts w:ascii="宋体" w:hAnsi="宋体"/>
                <w:sz w:val="18"/>
                <w:szCs w:val="18"/>
              </w:rPr>
            </w:pPr>
            <w:r>
              <w:rPr>
                <w:rFonts w:ascii="宋体" w:hAnsi="宋体"/>
                <w:sz w:val="18"/>
                <w:szCs w:val="18"/>
              </w:rPr>
              <w:t xml:space="preserve">II </w:t>
            </w:r>
            <w:r>
              <w:rPr>
                <w:rFonts w:hint="eastAsia" w:ascii="宋体" w:hAnsi="宋体"/>
                <w:sz w:val="18"/>
                <w:szCs w:val="18"/>
              </w:rPr>
              <w:t>套</w:t>
            </w:r>
          </w:p>
        </w:tc>
        <w:tc>
          <w:tcPr>
            <w:tcW w:w="871" w:type="pct"/>
            <w:tcBorders>
              <w:top w:val="nil"/>
              <w:left w:val="nil"/>
              <w:bottom w:val="single" w:color="auto" w:sz="4" w:space="0"/>
              <w:right w:val="single" w:color="auto" w:sz="4" w:space="0"/>
            </w:tcBorders>
            <w:shd w:val="clear" w:color="auto" w:fill="auto"/>
            <w:vAlign w:val="center"/>
          </w:tcPr>
          <w:p w14:paraId="062EE256">
            <w:pPr>
              <w:ind w:firstLine="0" w:firstLineChars="0"/>
              <w:jc w:val="center"/>
              <w:rPr>
                <w:rFonts w:ascii="宋体" w:hAnsi="宋体"/>
                <w:sz w:val="18"/>
                <w:szCs w:val="18"/>
              </w:rPr>
            </w:pPr>
            <w:r>
              <w:rPr>
                <w:rFonts w:ascii="宋体" w:hAnsi="宋体"/>
                <w:sz w:val="18"/>
                <w:szCs w:val="18"/>
              </w:rPr>
              <w:t>400</w:t>
            </w:r>
          </w:p>
        </w:tc>
        <w:tc>
          <w:tcPr>
            <w:tcW w:w="925" w:type="pct"/>
            <w:tcBorders>
              <w:top w:val="nil"/>
              <w:left w:val="nil"/>
              <w:bottom w:val="single" w:color="auto" w:sz="4" w:space="0"/>
              <w:right w:val="single" w:color="auto" w:sz="4" w:space="0"/>
            </w:tcBorders>
            <w:shd w:val="clear" w:color="auto" w:fill="auto"/>
            <w:vAlign w:val="center"/>
          </w:tcPr>
          <w:p w14:paraId="4FADB1EB">
            <w:pPr>
              <w:ind w:firstLine="0" w:firstLineChars="0"/>
              <w:jc w:val="center"/>
              <w:rPr>
                <w:rFonts w:ascii="宋体" w:hAnsi="宋体"/>
                <w:sz w:val="18"/>
                <w:szCs w:val="18"/>
              </w:rPr>
            </w:pPr>
            <w:r>
              <w:rPr>
                <w:rFonts w:ascii="宋体" w:hAnsi="宋体"/>
                <w:sz w:val="18"/>
                <w:szCs w:val="18"/>
              </w:rPr>
              <w:t>55</w:t>
            </w:r>
          </w:p>
        </w:tc>
        <w:tc>
          <w:tcPr>
            <w:tcW w:w="952" w:type="pct"/>
            <w:tcBorders>
              <w:top w:val="nil"/>
              <w:left w:val="nil"/>
              <w:bottom w:val="single" w:color="auto" w:sz="4" w:space="0"/>
              <w:right w:val="single" w:color="auto" w:sz="4" w:space="0"/>
            </w:tcBorders>
            <w:shd w:val="clear" w:color="auto" w:fill="auto"/>
            <w:vAlign w:val="center"/>
          </w:tcPr>
          <w:p w14:paraId="558F5272">
            <w:pPr>
              <w:ind w:firstLine="0" w:firstLineChars="0"/>
              <w:jc w:val="center"/>
              <w:rPr>
                <w:rFonts w:ascii="宋体" w:hAnsi="宋体"/>
                <w:sz w:val="18"/>
                <w:szCs w:val="18"/>
              </w:rPr>
            </w:pPr>
            <w:r>
              <w:rPr>
                <w:rFonts w:ascii="宋体" w:hAnsi="宋体"/>
                <w:sz w:val="18"/>
                <w:szCs w:val="18"/>
              </w:rPr>
              <w:t>75</w:t>
            </w:r>
          </w:p>
        </w:tc>
        <w:tc>
          <w:tcPr>
            <w:tcW w:w="925" w:type="pct"/>
            <w:tcBorders>
              <w:top w:val="nil"/>
              <w:left w:val="nil"/>
              <w:bottom w:val="single" w:color="auto" w:sz="4" w:space="0"/>
              <w:right w:val="single" w:color="auto" w:sz="4" w:space="0"/>
            </w:tcBorders>
            <w:shd w:val="clear" w:color="auto" w:fill="auto"/>
            <w:vAlign w:val="center"/>
          </w:tcPr>
          <w:p w14:paraId="765AC397">
            <w:pPr>
              <w:ind w:firstLine="0" w:firstLineChars="0"/>
              <w:jc w:val="center"/>
              <w:rPr>
                <w:rFonts w:ascii="宋体" w:hAnsi="宋体"/>
                <w:sz w:val="18"/>
                <w:szCs w:val="18"/>
              </w:rPr>
            </w:pPr>
            <w:r>
              <w:rPr>
                <w:rFonts w:ascii="宋体" w:hAnsi="宋体"/>
                <w:sz w:val="18"/>
                <w:szCs w:val="18"/>
              </w:rPr>
              <w:t>9.3</w:t>
            </w:r>
          </w:p>
        </w:tc>
      </w:tr>
      <w:tr w14:paraId="0E7FA622">
        <w:tblPrEx>
          <w:tblCellMar>
            <w:top w:w="0" w:type="dxa"/>
            <w:left w:w="108" w:type="dxa"/>
            <w:bottom w:w="0" w:type="dxa"/>
            <w:right w:w="108" w:type="dxa"/>
          </w:tblCellMar>
        </w:tblPrEx>
        <w:trPr>
          <w:trHeight w:val="300" w:hRule="atLeast"/>
        </w:trPr>
        <w:tc>
          <w:tcPr>
            <w:tcW w:w="1327" w:type="pct"/>
            <w:tcBorders>
              <w:top w:val="nil"/>
              <w:left w:val="single" w:color="auto" w:sz="4" w:space="0"/>
              <w:bottom w:val="single" w:color="auto" w:sz="4" w:space="0"/>
              <w:right w:val="single" w:color="auto" w:sz="4" w:space="0"/>
            </w:tcBorders>
            <w:shd w:val="clear" w:color="auto" w:fill="auto"/>
            <w:vAlign w:val="center"/>
          </w:tcPr>
          <w:p w14:paraId="2C4912D2">
            <w:pPr>
              <w:ind w:firstLine="0" w:firstLineChars="0"/>
              <w:jc w:val="center"/>
              <w:rPr>
                <w:rFonts w:ascii="宋体" w:hAnsi="宋体"/>
                <w:sz w:val="18"/>
                <w:szCs w:val="18"/>
              </w:rPr>
            </w:pPr>
            <w:r>
              <w:rPr>
                <w:rFonts w:hint="eastAsia" w:ascii="宋体" w:hAnsi="宋体"/>
                <w:sz w:val="18"/>
                <w:szCs w:val="18"/>
              </w:rPr>
              <w:t>常减压蒸馏</w:t>
            </w:r>
          </w:p>
        </w:tc>
        <w:tc>
          <w:tcPr>
            <w:tcW w:w="871" w:type="pct"/>
            <w:tcBorders>
              <w:top w:val="nil"/>
              <w:left w:val="nil"/>
              <w:bottom w:val="single" w:color="auto" w:sz="4" w:space="0"/>
              <w:right w:val="single" w:color="auto" w:sz="4" w:space="0"/>
            </w:tcBorders>
            <w:shd w:val="clear" w:color="auto" w:fill="auto"/>
            <w:vAlign w:val="center"/>
          </w:tcPr>
          <w:p w14:paraId="0A63DDDB">
            <w:pPr>
              <w:ind w:firstLine="0" w:firstLineChars="0"/>
              <w:jc w:val="center"/>
              <w:rPr>
                <w:rFonts w:ascii="宋体" w:hAnsi="宋体"/>
                <w:sz w:val="18"/>
                <w:szCs w:val="18"/>
              </w:rPr>
            </w:pPr>
            <w:r>
              <w:rPr>
                <w:rFonts w:ascii="宋体" w:hAnsi="宋体"/>
                <w:sz w:val="18"/>
                <w:szCs w:val="18"/>
              </w:rPr>
              <w:t>300</w:t>
            </w:r>
          </w:p>
        </w:tc>
        <w:tc>
          <w:tcPr>
            <w:tcW w:w="925" w:type="pct"/>
            <w:tcBorders>
              <w:top w:val="nil"/>
              <w:left w:val="nil"/>
              <w:bottom w:val="single" w:color="auto" w:sz="4" w:space="0"/>
              <w:right w:val="single" w:color="auto" w:sz="4" w:space="0"/>
            </w:tcBorders>
            <w:shd w:val="clear" w:color="auto" w:fill="auto"/>
            <w:vAlign w:val="center"/>
          </w:tcPr>
          <w:p w14:paraId="3442CCB0">
            <w:pPr>
              <w:ind w:firstLine="0" w:firstLineChars="0"/>
              <w:jc w:val="center"/>
              <w:rPr>
                <w:rFonts w:ascii="宋体" w:hAnsi="宋体"/>
                <w:sz w:val="18"/>
                <w:szCs w:val="18"/>
              </w:rPr>
            </w:pPr>
            <w:r>
              <w:rPr>
                <w:rFonts w:ascii="宋体" w:hAnsi="宋体"/>
                <w:sz w:val="18"/>
                <w:szCs w:val="18"/>
              </w:rPr>
              <w:t>55</w:t>
            </w:r>
          </w:p>
        </w:tc>
        <w:tc>
          <w:tcPr>
            <w:tcW w:w="952" w:type="pct"/>
            <w:tcBorders>
              <w:top w:val="nil"/>
              <w:left w:val="nil"/>
              <w:bottom w:val="single" w:color="auto" w:sz="4" w:space="0"/>
              <w:right w:val="single" w:color="auto" w:sz="4" w:space="0"/>
            </w:tcBorders>
            <w:shd w:val="clear" w:color="auto" w:fill="auto"/>
            <w:vAlign w:val="center"/>
          </w:tcPr>
          <w:p w14:paraId="01B34346">
            <w:pPr>
              <w:ind w:firstLine="0" w:firstLineChars="0"/>
              <w:jc w:val="center"/>
              <w:rPr>
                <w:rFonts w:ascii="宋体" w:hAnsi="宋体"/>
                <w:sz w:val="18"/>
                <w:szCs w:val="18"/>
              </w:rPr>
            </w:pPr>
            <w:r>
              <w:rPr>
                <w:rFonts w:ascii="宋体" w:hAnsi="宋体"/>
                <w:sz w:val="18"/>
                <w:szCs w:val="18"/>
              </w:rPr>
              <w:t>106</w:t>
            </w:r>
          </w:p>
        </w:tc>
        <w:tc>
          <w:tcPr>
            <w:tcW w:w="925" w:type="pct"/>
            <w:tcBorders>
              <w:top w:val="nil"/>
              <w:left w:val="nil"/>
              <w:bottom w:val="single" w:color="auto" w:sz="4" w:space="0"/>
              <w:right w:val="single" w:color="auto" w:sz="4" w:space="0"/>
            </w:tcBorders>
            <w:shd w:val="clear" w:color="auto" w:fill="auto"/>
            <w:vAlign w:val="center"/>
          </w:tcPr>
          <w:p w14:paraId="552884E8">
            <w:pPr>
              <w:ind w:firstLine="0" w:firstLineChars="0"/>
              <w:jc w:val="center"/>
              <w:rPr>
                <w:rFonts w:ascii="宋体" w:hAnsi="宋体"/>
                <w:sz w:val="18"/>
                <w:szCs w:val="18"/>
              </w:rPr>
            </w:pPr>
            <w:r>
              <w:rPr>
                <w:rFonts w:ascii="宋体" w:hAnsi="宋体"/>
                <w:sz w:val="18"/>
                <w:szCs w:val="18"/>
              </w:rPr>
              <w:t>17.8</w:t>
            </w:r>
          </w:p>
        </w:tc>
      </w:tr>
      <w:tr w14:paraId="0C6322CB">
        <w:tblPrEx>
          <w:tblCellMar>
            <w:top w:w="0" w:type="dxa"/>
            <w:left w:w="108" w:type="dxa"/>
            <w:bottom w:w="0" w:type="dxa"/>
            <w:right w:w="108" w:type="dxa"/>
          </w:tblCellMar>
        </w:tblPrEx>
        <w:trPr>
          <w:trHeight w:val="285" w:hRule="atLeast"/>
        </w:trPr>
        <w:tc>
          <w:tcPr>
            <w:tcW w:w="1327" w:type="pct"/>
            <w:tcBorders>
              <w:top w:val="nil"/>
              <w:left w:val="single" w:color="auto" w:sz="4" w:space="0"/>
              <w:bottom w:val="single" w:color="auto" w:sz="4" w:space="0"/>
              <w:right w:val="single" w:color="auto" w:sz="4" w:space="0"/>
            </w:tcBorders>
            <w:shd w:val="clear" w:color="auto" w:fill="auto"/>
            <w:vAlign w:val="center"/>
          </w:tcPr>
          <w:p w14:paraId="52151568">
            <w:pPr>
              <w:ind w:firstLine="0" w:firstLineChars="0"/>
              <w:jc w:val="center"/>
              <w:rPr>
                <w:rFonts w:ascii="宋体" w:hAnsi="宋体"/>
                <w:sz w:val="18"/>
                <w:szCs w:val="18"/>
              </w:rPr>
            </w:pPr>
            <w:r>
              <w:rPr>
                <w:rFonts w:hint="eastAsia" w:ascii="宋体" w:hAnsi="宋体"/>
                <w:sz w:val="18"/>
                <w:szCs w:val="18"/>
              </w:rPr>
              <w:t>四联合</w:t>
            </w:r>
          </w:p>
        </w:tc>
        <w:tc>
          <w:tcPr>
            <w:tcW w:w="871" w:type="pct"/>
            <w:tcBorders>
              <w:top w:val="nil"/>
              <w:left w:val="nil"/>
              <w:bottom w:val="single" w:color="auto" w:sz="4" w:space="0"/>
              <w:right w:val="single" w:color="auto" w:sz="4" w:space="0"/>
            </w:tcBorders>
            <w:shd w:val="clear" w:color="auto" w:fill="auto"/>
            <w:vAlign w:val="center"/>
          </w:tcPr>
          <w:p w14:paraId="0DE31352">
            <w:pPr>
              <w:ind w:firstLine="0" w:firstLineChars="0"/>
              <w:jc w:val="center"/>
              <w:rPr>
                <w:rFonts w:ascii="宋体" w:hAnsi="宋体"/>
                <w:sz w:val="18"/>
                <w:szCs w:val="18"/>
              </w:rPr>
            </w:pPr>
            <w:r>
              <w:rPr>
                <w:rFonts w:ascii="宋体" w:hAnsi="宋体"/>
                <w:sz w:val="18"/>
                <w:szCs w:val="18"/>
              </w:rPr>
              <w:t>400</w:t>
            </w:r>
          </w:p>
        </w:tc>
        <w:tc>
          <w:tcPr>
            <w:tcW w:w="925" w:type="pct"/>
            <w:tcBorders>
              <w:top w:val="nil"/>
              <w:left w:val="nil"/>
              <w:bottom w:val="single" w:color="auto" w:sz="4" w:space="0"/>
              <w:right w:val="single" w:color="auto" w:sz="4" w:space="0"/>
            </w:tcBorders>
            <w:shd w:val="clear" w:color="auto" w:fill="auto"/>
            <w:vAlign w:val="center"/>
          </w:tcPr>
          <w:p w14:paraId="5B68F0C7">
            <w:pPr>
              <w:ind w:firstLine="0" w:firstLineChars="0"/>
              <w:jc w:val="center"/>
              <w:rPr>
                <w:rFonts w:ascii="宋体" w:hAnsi="宋体"/>
                <w:sz w:val="18"/>
                <w:szCs w:val="18"/>
              </w:rPr>
            </w:pPr>
            <w:r>
              <w:rPr>
                <w:rFonts w:ascii="宋体" w:hAnsi="宋体"/>
                <w:sz w:val="18"/>
                <w:szCs w:val="18"/>
              </w:rPr>
              <w:t>55</w:t>
            </w:r>
          </w:p>
        </w:tc>
        <w:tc>
          <w:tcPr>
            <w:tcW w:w="952" w:type="pct"/>
            <w:tcBorders>
              <w:top w:val="nil"/>
              <w:left w:val="nil"/>
              <w:bottom w:val="single" w:color="auto" w:sz="4" w:space="0"/>
              <w:right w:val="single" w:color="auto" w:sz="4" w:space="0"/>
            </w:tcBorders>
            <w:shd w:val="clear" w:color="auto" w:fill="auto"/>
            <w:vAlign w:val="center"/>
          </w:tcPr>
          <w:p w14:paraId="63E9E0C7">
            <w:pPr>
              <w:ind w:firstLine="0" w:firstLineChars="0"/>
              <w:jc w:val="center"/>
              <w:rPr>
                <w:rFonts w:ascii="宋体" w:hAnsi="宋体"/>
                <w:sz w:val="18"/>
                <w:szCs w:val="18"/>
              </w:rPr>
            </w:pPr>
            <w:r>
              <w:rPr>
                <w:rFonts w:ascii="宋体" w:hAnsi="宋体"/>
                <w:sz w:val="18"/>
                <w:szCs w:val="18"/>
              </w:rPr>
              <w:t>109</w:t>
            </w:r>
          </w:p>
        </w:tc>
        <w:tc>
          <w:tcPr>
            <w:tcW w:w="925" w:type="pct"/>
            <w:tcBorders>
              <w:top w:val="nil"/>
              <w:left w:val="nil"/>
              <w:bottom w:val="single" w:color="auto" w:sz="4" w:space="0"/>
              <w:right w:val="single" w:color="auto" w:sz="4" w:space="0"/>
            </w:tcBorders>
            <w:shd w:val="clear" w:color="auto" w:fill="auto"/>
            <w:vAlign w:val="center"/>
          </w:tcPr>
          <w:p w14:paraId="1E610E02">
            <w:pPr>
              <w:ind w:firstLine="0" w:firstLineChars="0"/>
              <w:jc w:val="center"/>
              <w:rPr>
                <w:rFonts w:ascii="宋体" w:hAnsi="宋体"/>
                <w:sz w:val="18"/>
                <w:szCs w:val="18"/>
              </w:rPr>
            </w:pPr>
            <w:r>
              <w:rPr>
                <w:rFonts w:ascii="宋体" w:hAnsi="宋体"/>
                <w:sz w:val="18"/>
                <w:szCs w:val="18"/>
              </w:rPr>
              <w:t>25.1</w:t>
            </w:r>
          </w:p>
        </w:tc>
      </w:tr>
      <w:tr w14:paraId="222C8D46">
        <w:tblPrEx>
          <w:tblCellMar>
            <w:top w:w="0" w:type="dxa"/>
            <w:left w:w="108" w:type="dxa"/>
            <w:bottom w:w="0" w:type="dxa"/>
            <w:right w:w="108" w:type="dxa"/>
          </w:tblCellMar>
        </w:tblPrEx>
        <w:trPr>
          <w:trHeight w:val="285" w:hRule="atLeast"/>
        </w:trPr>
        <w:tc>
          <w:tcPr>
            <w:tcW w:w="1327" w:type="pct"/>
            <w:tcBorders>
              <w:top w:val="nil"/>
              <w:left w:val="single" w:color="auto" w:sz="4" w:space="0"/>
              <w:bottom w:val="single" w:color="auto" w:sz="4" w:space="0"/>
              <w:right w:val="single" w:color="auto" w:sz="4" w:space="0"/>
            </w:tcBorders>
            <w:shd w:val="clear" w:color="auto" w:fill="auto"/>
            <w:vAlign w:val="center"/>
          </w:tcPr>
          <w:p w14:paraId="523A84D6">
            <w:pPr>
              <w:ind w:firstLine="0" w:firstLineChars="0"/>
              <w:jc w:val="center"/>
              <w:rPr>
                <w:rFonts w:ascii="宋体" w:hAnsi="宋体"/>
                <w:sz w:val="18"/>
                <w:szCs w:val="18"/>
              </w:rPr>
            </w:pPr>
            <w:r>
              <w:rPr>
                <w:rFonts w:hint="eastAsia" w:ascii="宋体" w:hAnsi="宋体"/>
                <w:sz w:val="18"/>
                <w:szCs w:val="18"/>
              </w:rPr>
              <w:t>加氢精制</w:t>
            </w:r>
          </w:p>
        </w:tc>
        <w:tc>
          <w:tcPr>
            <w:tcW w:w="871" w:type="pct"/>
            <w:tcBorders>
              <w:top w:val="nil"/>
              <w:left w:val="nil"/>
              <w:bottom w:val="single" w:color="auto" w:sz="4" w:space="0"/>
              <w:right w:val="single" w:color="auto" w:sz="4" w:space="0"/>
            </w:tcBorders>
            <w:shd w:val="clear" w:color="auto" w:fill="auto"/>
            <w:vAlign w:val="center"/>
          </w:tcPr>
          <w:p w14:paraId="2A06DD56">
            <w:pPr>
              <w:ind w:firstLine="0" w:firstLineChars="0"/>
              <w:jc w:val="center"/>
              <w:rPr>
                <w:rFonts w:ascii="宋体" w:hAnsi="宋体"/>
                <w:sz w:val="18"/>
                <w:szCs w:val="18"/>
              </w:rPr>
            </w:pPr>
            <w:r>
              <w:rPr>
                <w:rFonts w:ascii="宋体" w:hAnsi="宋体"/>
                <w:sz w:val="18"/>
                <w:szCs w:val="18"/>
              </w:rPr>
              <w:t>150</w:t>
            </w:r>
          </w:p>
        </w:tc>
        <w:tc>
          <w:tcPr>
            <w:tcW w:w="925" w:type="pct"/>
            <w:tcBorders>
              <w:top w:val="nil"/>
              <w:left w:val="nil"/>
              <w:bottom w:val="single" w:color="auto" w:sz="4" w:space="0"/>
              <w:right w:val="single" w:color="auto" w:sz="4" w:space="0"/>
            </w:tcBorders>
            <w:shd w:val="clear" w:color="auto" w:fill="auto"/>
            <w:vAlign w:val="center"/>
          </w:tcPr>
          <w:p w14:paraId="6465ECAE">
            <w:pPr>
              <w:ind w:firstLine="0" w:firstLineChars="0"/>
              <w:jc w:val="center"/>
              <w:rPr>
                <w:rFonts w:ascii="宋体" w:hAnsi="宋体"/>
                <w:sz w:val="18"/>
                <w:szCs w:val="18"/>
              </w:rPr>
            </w:pPr>
            <w:r>
              <w:rPr>
                <w:rFonts w:ascii="宋体" w:hAnsi="宋体"/>
                <w:sz w:val="18"/>
                <w:szCs w:val="18"/>
              </w:rPr>
              <w:t>55</w:t>
            </w:r>
          </w:p>
        </w:tc>
        <w:tc>
          <w:tcPr>
            <w:tcW w:w="952" w:type="pct"/>
            <w:tcBorders>
              <w:top w:val="nil"/>
              <w:left w:val="nil"/>
              <w:bottom w:val="single" w:color="auto" w:sz="4" w:space="0"/>
              <w:right w:val="single" w:color="auto" w:sz="4" w:space="0"/>
            </w:tcBorders>
            <w:shd w:val="clear" w:color="auto" w:fill="auto"/>
            <w:vAlign w:val="center"/>
          </w:tcPr>
          <w:p w14:paraId="3535B125">
            <w:pPr>
              <w:ind w:firstLine="0" w:firstLineChars="0"/>
              <w:jc w:val="center"/>
              <w:rPr>
                <w:rFonts w:ascii="宋体" w:hAnsi="宋体"/>
                <w:sz w:val="18"/>
                <w:szCs w:val="18"/>
              </w:rPr>
            </w:pPr>
            <w:r>
              <w:rPr>
                <w:rFonts w:ascii="宋体" w:hAnsi="宋体"/>
                <w:sz w:val="18"/>
                <w:szCs w:val="18"/>
              </w:rPr>
              <w:t>82</w:t>
            </w:r>
          </w:p>
        </w:tc>
        <w:tc>
          <w:tcPr>
            <w:tcW w:w="925" w:type="pct"/>
            <w:tcBorders>
              <w:top w:val="nil"/>
              <w:left w:val="nil"/>
              <w:bottom w:val="single" w:color="auto" w:sz="4" w:space="0"/>
              <w:right w:val="single" w:color="auto" w:sz="4" w:space="0"/>
            </w:tcBorders>
            <w:shd w:val="clear" w:color="auto" w:fill="auto"/>
            <w:vAlign w:val="center"/>
          </w:tcPr>
          <w:p w14:paraId="67D99B6D">
            <w:pPr>
              <w:ind w:firstLine="0" w:firstLineChars="0"/>
              <w:jc w:val="center"/>
              <w:rPr>
                <w:rFonts w:ascii="宋体" w:hAnsi="宋体"/>
                <w:sz w:val="18"/>
                <w:szCs w:val="18"/>
              </w:rPr>
            </w:pPr>
            <w:r>
              <w:rPr>
                <w:rFonts w:ascii="宋体" w:hAnsi="宋体"/>
                <w:sz w:val="18"/>
                <w:szCs w:val="18"/>
              </w:rPr>
              <w:t>4.7</w:t>
            </w:r>
          </w:p>
        </w:tc>
      </w:tr>
      <w:tr w14:paraId="4B22FFC4">
        <w:tblPrEx>
          <w:tblCellMar>
            <w:top w:w="0" w:type="dxa"/>
            <w:left w:w="108" w:type="dxa"/>
            <w:bottom w:w="0" w:type="dxa"/>
            <w:right w:w="108" w:type="dxa"/>
          </w:tblCellMar>
        </w:tblPrEx>
        <w:trPr>
          <w:trHeight w:val="300" w:hRule="atLeast"/>
        </w:trPr>
        <w:tc>
          <w:tcPr>
            <w:tcW w:w="1327" w:type="pct"/>
            <w:tcBorders>
              <w:top w:val="nil"/>
              <w:left w:val="single" w:color="auto" w:sz="4" w:space="0"/>
              <w:bottom w:val="single" w:color="auto" w:sz="4" w:space="0"/>
              <w:right w:val="single" w:color="auto" w:sz="4" w:space="0"/>
            </w:tcBorders>
            <w:shd w:val="clear" w:color="auto" w:fill="auto"/>
            <w:vAlign w:val="center"/>
          </w:tcPr>
          <w:p w14:paraId="223486C1">
            <w:pPr>
              <w:ind w:firstLine="0" w:firstLineChars="0"/>
              <w:jc w:val="center"/>
              <w:rPr>
                <w:rFonts w:ascii="宋体" w:hAnsi="宋体"/>
                <w:sz w:val="18"/>
                <w:szCs w:val="18"/>
              </w:rPr>
            </w:pPr>
            <w:r>
              <w:rPr>
                <w:rFonts w:hint="eastAsia" w:ascii="宋体" w:hAnsi="宋体"/>
                <w:sz w:val="18"/>
                <w:szCs w:val="18"/>
              </w:rPr>
              <w:t>发变电凝结水</w:t>
            </w:r>
          </w:p>
        </w:tc>
        <w:tc>
          <w:tcPr>
            <w:tcW w:w="871" w:type="pct"/>
            <w:tcBorders>
              <w:top w:val="nil"/>
              <w:left w:val="nil"/>
              <w:bottom w:val="single" w:color="auto" w:sz="4" w:space="0"/>
              <w:right w:val="single" w:color="auto" w:sz="4" w:space="0"/>
            </w:tcBorders>
            <w:shd w:val="clear" w:color="auto" w:fill="auto"/>
            <w:vAlign w:val="center"/>
          </w:tcPr>
          <w:p w14:paraId="54226929">
            <w:pPr>
              <w:ind w:firstLine="0" w:firstLineChars="0"/>
              <w:jc w:val="center"/>
              <w:rPr>
                <w:rFonts w:ascii="宋体" w:hAnsi="宋体"/>
                <w:sz w:val="18"/>
                <w:szCs w:val="18"/>
              </w:rPr>
            </w:pPr>
            <w:r>
              <w:rPr>
                <w:rFonts w:ascii="宋体" w:hAnsi="宋体"/>
                <w:sz w:val="18"/>
                <w:szCs w:val="18"/>
              </w:rPr>
              <w:t>50</w:t>
            </w:r>
          </w:p>
        </w:tc>
        <w:tc>
          <w:tcPr>
            <w:tcW w:w="925" w:type="pct"/>
            <w:tcBorders>
              <w:top w:val="nil"/>
              <w:left w:val="nil"/>
              <w:bottom w:val="single" w:color="auto" w:sz="4" w:space="0"/>
              <w:right w:val="single" w:color="auto" w:sz="4" w:space="0"/>
            </w:tcBorders>
            <w:shd w:val="clear" w:color="auto" w:fill="auto"/>
            <w:vAlign w:val="center"/>
          </w:tcPr>
          <w:p w14:paraId="47293BEF">
            <w:pPr>
              <w:ind w:firstLine="0" w:firstLineChars="0"/>
              <w:jc w:val="center"/>
              <w:rPr>
                <w:rFonts w:ascii="宋体" w:hAnsi="宋体"/>
                <w:sz w:val="18"/>
                <w:szCs w:val="18"/>
              </w:rPr>
            </w:pPr>
            <w:r>
              <w:rPr>
                <w:rFonts w:ascii="宋体" w:hAnsi="宋体"/>
                <w:sz w:val="18"/>
                <w:szCs w:val="18"/>
              </w:rPr>
              <w:t>55</w:t>
            </w:r>
          </w:p>
        </w:tc>
        <w:tc>
          <w:tcPr>
            <w:tcW w:w="952" w:type="pct"/>
            <w:tcBorders>
              <w:top w:val="nil"/>
              <w:left w:val="nil"/>
              <w:bottom w:val="single" w:color="auto" w:sz="4" w:space="0"/>
              <w:right w:val="single" w:color="auto" w:sz="4" w:space="0"/>
            </w:tcBorders>
            <w:shd w:val="clear" w:color="auto" w:fill="auto"/>
            <w:vAlign w:val="center"/>
          </w:tcPr>
          <w:p w14:paraId="13ED2B33">
            <w:pPr>
              <w:ind w:firstLine="0" w:firstLineChars="0"/>
              <w:jc w:val="center"/>
              <w:rPr>
                <w:rFonts w:ascii="宋体" w:hAnsi="宋体"/>
                <w:sz w:val="18"/>
                <w:szCs w:val="18"/>
              </w:rPr>
            </w:pPr>
            <w:r>
              <w:rPr>
                <w:rFonts w:ascii="宋体" w:hAnsi="宋体"/>
                <w:sz w:val="18"/>
                <w:szCs w:val="18"/>
              </w:rPr>
              <w:t>85</w:t>
            </w:r>
          </w:p>
        </w:tc>
        <w:tc>
          <w:tcPr>
            <w:tcW w:w="925" w:type="pct"/>
            <w:tcBorders>
              <w:top w:val="nil"/>
              <w:left w:val="nil"/>
              <w:bottom w:val="single" w:color="auto" w:sz="4" w:space="0"/>
              <w:right w:val="single" w:color="auto" w:sz="4" w:space="0"/>
            </w:tcBorders>
            <w:shd w:val="clear" w:color="auto" w:fill="auto"/>
            <w:vAlign w:val="center"/>
          </w:tcPr>
          <w:p w14:paraId="0C9F022C">
            <w:pPr>
              <w:ind w:firstLine="0" w:firstLineChars="0"/>
              <w:jc w:val="center"/>
              <w:rPr>
                <w:rFonts w:ascii="宋体" w:hAnsi="宋体"/>
                <w:sz w:val="18"/>
                <w:szCs w:val="18"/>
              </w:rPr>
            </w:pPr>
            <w:r>
              <w:rPr>
                <w:rFonts w:ascii="宋体" w:hAnsi="宋体"/>
                <w:sz w:val="18"/>
                <w:szCs w:val="18"/>
              </w:rPr>
              <w:t>1.7</w:t>
            </w:r>
          </w:p>
        </w:tc>
      </w:tr>
      <w:tr w14:paraId="4AD36508">
        <w:tblPrEx>
          <w:tblCellMar>
            <w:top w:w="0" w:type="dxa"/>
            <w:left w:w="108" w:type="dxa"/>
            <w:bottom w:w="0" w:type="dxa"/>
            <w:right w:w="108" w:type="dxa"/>
          </w:tblCellMar>
        </w:tblPrEx>
        <w:trPr>
          <w:trHeight w:val="285" w:hRule="atLeast"/>
        </w:trPr>
        <w:tc>
          <w:tcPr>
            <w:tcW w:w="1327" w:type="pct"/>
            <w:tcBorders>
              <w:top w:val="nil"/>
              <w:left w:val="single" w:color="auto" w:sz="4" w:space="0"/>
              <w:bottom w:val="single" w:color="auto" w:sz="4" w:space="0"/>
              <w:right w:val="single" w:color="auto" w:sz="4" w:space="0"/>
            </w:tcBorders>
            <w:shd w:val="clear" w:color="auto" w:fill="auto"/>
            <w:vAlign w:val="center"/>
          </w:tcPr>
          <w:p w14:paraId="18BADB5F">
            <w:pPr>
              <w:ind w:firstLine="0" w:firstLineChars="0"/>
              <w:jc w:val="center"/>
              <w:rPr>
                <w:rFonts w:ascii="宋体" w:hAnsi="宋体"/>
                <w:sz w:val="18"/>
                <w:szCs w:val="18"/>
              </w:rPr>
            </w:pPr>
            <w:r>
              <w:rPr>
                <w:rFonts w:hint="eastAsia" w:ascii="宋体" w:hAnsi="宋体"/>
                <w:sz w:val="18"/>
                <w:szCs w:val="18"/>
              </w:rPr>
              <w:t>化纤</w:t>
            </w:r>
          </w:p>
        </w:tc>
        <w:tc>
          <w:tcPr>
            <w:tcW w:w="871" w:type="pct"/>
            <w:tcBorders>
              <w:top w:val="nil"/>
              <w:left w:val="nil"/>
              <w:bottom w:val="single" w:color="auto" w:sz="4" w:space="0"/>
              <w:right w:val="single" w:color="auto" w:sz="4" w:space="0"/>
            </w:tcBorders>
            <w:shd w:val="clear" w:color="auto" w:fill="auto"/>
            <w:vAlign w:val="center"/>
          </w:tcPr>
          <w:p w14:paraId="537E84D5">
            <w:pPr>
              <w:ind w:firstLine="0" w:firstLineChars="0"/>
              <w:jc w:val="center"/>
              <w:rPr>
                <w:rFonts w:ascii="宋体" w:hAnsi="宋体"/>
                <w:sz w:val="18"/>
                <w:szCs w:val="18"/>
              </w:rPr>
            </w:pPr>
            <w:r>
              <w:rPr>
                <w:rFonts w:ascii="宋体" w:hAnsi="宋体"/>
                <w:sz w:val="18"/>
                <w:szCs w:val="18"/>
              </w:rPr>
              <w:t>150</w:t>
            </w:r>
          </w:p>
        </w:tc>
        <w:tc>
          <w:tcPr>
            <w:tcW w:w="925" w:type="pct"/>
            <w:tcBorders>
              <w:top w:val="nil"/>
              <w:left w:val="nil"/>
              <w:bottom w:val="single" w:color="auto" w:sz="4" w:space="0"/>
              <w:right w:val="single" w:color="auto" w:sz="4" w:space="0"/>
            </w:tcBorders>
            <w:shd w:val="clear" w:color="auto" w:fill="auto"/>
            <w:vAlign w:val="center"/>
          </w:tcPr>
          <w:p w14:paraId="37BAB77F">
            <w:pPr>
              <w:ind w:firstLine="0" w:firstLineChars="0"/>
              <w:jc w:val="center"/>
              <w:rPr>
                <w:rFonts w:ascii="宋体" w:hAnsi="宋体"/>
                <w:sz w:val="18"/>
                <w:szCs w:val="18"/>
              </w:rPr>
            </w:pPr>
            <w:r>
              <w:rPr>
                <w:rFonts w:ascii="宋体" w:hAnsi="宋体"/>
                <w:sz w:val="18"/>
                <w:szCs w:val="18"/>
              </w:rPr>
              <w:t>55</w:t>
            </w:r>
          </w:p>
        </w:tc>
        <w:tc>
          <w:tcPr>
            <w:tcW w:w="952" w:type="pct"/>
            <w:tcBorders>
              <w:top w:val="nil"/>
              <w:left w:val="nil"/>
              <w:bottom w:val="single" w:color="auto" w:sz="4" w:space="0"/>
              <w:right w:val="single" w:color="auto" w:sz="4" w:space="0"/>
            </w:tcBorders>
            <w:shd w:val="clear" w:color="auto" w:fill="auto"/>
            <w:vAlign w:val="center"/>
          </w:tcPr>
          <w:p w14:paraId="111E4DFE">
            <w:pPr>
              <w:ind w:firstLine="0" w:firstLineChars="0"/>
              <w:jc w:val="center"/>
              <w:rPr>
                <w:rFonts w:ascii="宋体" w:hAnsi="宋体"/>
                <w:sz w:val="18"/>
                <w:szCs w:val="18"/>
              </w:rPr>
            </w:pPr>
            <w:r>
              <w:rPr>
                <w:rFonts w:ascii="宋体" w:hAnsi="宋体"/>
                <w:sz w:val="18"/>
                <w:szCs w:val="18"/>
              </w:rPr>
              <w:t>97</w:t>
            </w:r>
          </w:p>
        </w:tc>
        <w:tc>
          <w:tcPr>
            <w:tcW w:w="925" w:type="pct"/>
            <w:tcBorders>
              <w:top w:val="nil"/>
              <w:left w:val="nil"/>
              <w:bottom w:val="single" w:color="auto" w:sz="4" w:space="0"/>
              <w:right w:val="single" w:color="auto" w:sz="4" w:space="0"/>
            </w:tcBorders>
            <w:shd w:val="clear" w:color="auto" w:fill="auto"/>
            <w:vAlign w:val="center"/>
          </w:tcPr>
          <w:p w14:paraId="52A2CE5B">
            <w:pPr>
              <w:ind w:firstLine="0" w:firstLineChars="0"/>
              <w:jc w:val="center"/>
              <w:rPr>
                <w:rFonts w:ascii="宋体" w:hAnsi="宋体"/>
                <w:sz w:val="18"/>
                <w:szCs w:val="18"/>
              </w:rPr>
            </w:pPr>
            <w:r>
              <w:rPr>
                <w:rFonts w:ascii="宋体" w:hAnsi="宋体"/>
                <w:sz w:val="18"/>
                <w:szCs w:val="18"/>
              </w:rPr>
              <w:t>7.3</w:t>
            </w:r>
          </w:p>
        </w:tc>
      </w:tr>
      <w:tr w14:paraId="301E8B00">
        <w:tblPrEx>
          <w:tblCellMar>
            <w:top w:w="0" w:type="dxa"/>
            <w:left w:w="108" w:type="dxa"/>
            <w:bottom w:w="0" w:type="dxa"/>
            <w:right w:w="108" w:type="dxa"/>
          </w:tblCellMar>
        </w:tblPrEx>
        <w:trPr>
          <w:trHeight w:val="285"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2AD7B3EE">
            <w:pPr>
              <w:ind w:firstLine="0" w:firstLineChars="0"/>
              <w:jc w:val="center"/>
              <w:rPr>
                <w:rFonts w:ascii="宋体" w:hAnsi="宋体"/>
                <w:sz w:val="18"/>
                <w:szCs w:val="18"/>
              </w:rPr>
            </w:pPr>
            <w:r>
              <w:rPr>
                <w:rFonts w:hint="eastAsia" w:ascii="宋体" w:hAnsi="宋体"/>
                <w:sz w:val="18"/>
                <w:szCs w:val="18"/>
              </w:rPr>
              <w:t>芳烃</w:t>
            </w:r>
          </w:p>
        </w:tc>
      </w:tr>
      <w:tr w14:paraId="7EAB4926">
        <w:tblPrEx>
          <w:tblCellMar>
            <w:top w:w="0" w:type="dxa"/>
            <w:left w:w="108" w:type="dxa"/>
            <w:bottom w:w="0" w:type="dxa"/>
            <w:right w:w="108" w:type="dxa"/>
          </w:tblCellMar>
        </w:tblPrEx>
        <w:trPr>
          <w:trHeight w:val="285" w:hRule="atLeast"/>
        </w:trPr>
        <w:tc>
          <w:tcPr>
            <w:tcW w:w="1327" w:type="pct"/>
            <w:tcBorders>
              <w:top w:val="nil"/>
              <w:left w:val="single" w:color="auto" w:sz="4" w:space="0"/>
              <w:bottom w:val="single" w:color="auto" w:sz="4" w:space="0"/>
              <w:right w:val="single" w:color="auto" w:sz="4" w:space="0"/>
            </w:tcBorders>
            <w:shd w:val="clear" w:color="auto" w:fill="auto"/>
            <w:vAlign w:val="center"/>
          </w:tcPr>
          <w:p w14:paraId="1EC75B2A">
            <w:pPr>
              <w:ind w:firstLine="0" w:firstLineChars="0"/>
              <w:jc w:val="center"/>
              <w:rPr>
                <w:rFonts w:ascii="宋体" w:hAnsi="宋体"/>
                <w:sz w:val="18"/>
                <w:szCs w:val="18"/>
              </w:rPr>
            </w:pPr>
            <w:r>
              <w:rPr>
                <w:rFonts w:hint="eastAsia" w:ascii="宋体" w:hAnsi="宋体"/>
                <w:sz w:val="18"/>
                <w:szCs w:val="18"/>
              </w:rPr>
              <w:t xml:space="preserve">热水 </w:t>
            </w:r>
            <w:r>
              <w:rPr>
                <w:rFonts w:ascii="宋体" w:hAnsi="宋体"/>
                <w:sz w:val="18"/>
                <w:szCs w:val="18"/>
              </w:rPr>
              <w:t>1</w:t>
            </w:r>
          </w:p>
        </w:tc>
        <w:tc>
          <w:tcPr>
            <w:tcW w:w="871" w:type="pct"/>
            <w:tcBorders>
              <w:top w:val="nil"/>
              <w:left w:val="nil"/>
              <w:bottom w:val="single" w:color="auto" w:sz="4" w:space="0"/>
              <w:right w:val="single" w:color="auto" w:sz="4" w:space="0"/>
            </w:tcBorders>
            <w:shd w:val="clear" w:color="auto" w:fill="auto"/>
            <w:vAlign w:val="center"/>
          </w:tcPr>
          <w:p w14:paraId="61011DC4">
            <w:pPr>
              <w:ind w:firstLine="0" w:firstLineChars="0"/>
              <w:jc w:val="center"/>
              <w:rPr>
                <w:rFonts w:ascii="宋体" w:hAnsi="宋体"/>
                <w:sz w:val="18"/>
                <w:szCs w:val="18"/>
              </w:rPr>
            </w:pPr>
            <w:r>
              <w:rPr>
                <w:rFonts w:ascii="宋体" w:hAnsi="宋体"/>
                <w:sz w:val="18"/>
                <w:szCs w:val="18"/>
              </w:rPr>
              <w:t>700</w:t>
            </w:r>
          </w:p>
        </w:tc>
        <w:tc>
          <w:tcPr>
            <w:tcW w:w="925" w:type="pct"/>
            <w:tcBorders>
              <w:top w:val="nil"/>
              <w:left w:val="nil"/>
              <w:bottom w:val="single" w:color="auto" w:sz="4" w:space="0"/>
              <w:right w:val="single" w:color="auto" w:sz="4" w:space="0"/>
            </w:tcBorders>
            <w:shd w:val="clear" w:color="auto" w:fill="auto"/>
            <w:vAlign w:val="center"/>
          </w:tcPr>
          <w:p w14:paraId="02DFDB4C">
            <w:pPr>
              <w:ind w:firstLine="0" w:firstLineChars="0"/>
              <w:jc w:val="center"/>
              <w:rPr>
                <w:rFonts w:ascii="宋体" w:hAnsi="宋体"/>
                <w:sz w:val="18"/>
                <w:szCs w:val="18"/>
              </w:rPr>
            </w:pPr>
            <w:r>
              <w:rPr>
                <w:rFonts w:ascii="宋体" w:hAnsi="宋体"/>
                <w:sz w:val="18"/>
                <w:szCs w:val="18"/>
              </w:rPr>
              <w:t>45</w:t>
            </w:r>
          </w:p>
        </w:tc>
        <w:tc>
          <w:tcPr>
            <w:tcW w:w="952" w:type="pct"/>
            <w:tcBorders>
              <w:top w:val="nil"/>
              <w:left w:val="nil"/>
              <w:bottom w:val="single" w:color="auto" w:sz="4" w:space="0"/>
              <w:right w:val="single" w:color="auto" w:sz="4" w:space="0"/>
            </w:tcBorders>
            <w:shd w:val="clear" w:color="auto" w:fill="auto"/>
            <w:vAlign w:val="center"/>
          </w:tcPr>
          <w:p w14:paraId="60ECA615">
            <w:pPr>
              <w:ind w:firstLine="0" w:firstLineChars="0"/>
              <w:jc w:val="center"/>
              <w:rPr>
                <w:rFonts w:ascii="宋体" w:hAnsi="宋体"/>
                <w:sz w:val="18"/>
                <w:szCs w:val="18"/>
              </w:rPr>
            </w:pPr>
            <w:r>
              <w:rPr>
                <w:rFonts w:ascii="宋体" w:hAnsi="宋体"/>
                <w:sz w:val="18"/>
                <w:szCs w:val="18"/>
              </w:rPr>
              <w:t>149</w:t>
            </w:r>
          </w:p>
        </w:tc>
        <w:tc>
          <w:tcPr>
            <w:tcW w:w="925" w:type="pct"/>
            <w:tcBorders>
              <w:top w:val="nil"/>
              <w:left w:val="nil"/>
              <w:bottom w:val="single" w:color="auto" w:sz="4" w:space="0"/>
              <w:right w:val="single" w:color="auto" w:sz="4" w:space="0"/>
            </w:tcBorders>
            <w:shd w:val="clear" w:color="auto" w:fill="auto"/>
            <w:vAlign w:val="center"/>
          </w:tcPr>
          <w:p w14:paraId="71AC6BAA">
            <w:pPr>
              <w:ind w:firstLine="0" w:firstLineChars="0"/>
              <w:jc w:val="center"/>
              <w:rPr>
                <w:rFonts w:ascii="宋体" w:hAnsi="宋体"/>
                <w:sz w:val="18"/>
                <w:szCs w:val="18"/>
              </w:rPr>
            </w:pPr>
            <w:r>
              <w:rPr>
                <w:rFonts w:ascii="宋体" w:hAnsi="宋体"/>
                <w:sz w:val="18"/>
                <w:szCs w:val="18"/>
              </w:rPr>
              <w:t>84.7</w:t>
            </w:r>
          </w:p>
        </w:tc>
      </w:tr>
      <w:tr w14:paraId="172B0F0D">
        <w:tblPrEx>
          <w:tblCellMar>
            <w:top w:w="0" w:type="dxa"/>
            <w:left w:w="108" w:type="dxa"/>
            <w:bottom w:w="0" w:type="dxa"/>
            <w:right w:w="108" w:type="dxa"/>
          </w:tblCellMar>
        </w:tblPrEx>
        <w:trPr>
          <w:trHeight w:val="285" w:hRule="atLeast"/>
        </w:trPr>
        <w:tc>
          <w:tcPr>
            <w:tcW w:w="1327" w:type="pct"/>
            <w:tcBorders>
              <w:top w:val="nil"/>
              <w:left w:val="single" w:color="auto" w:sz="4" w:space="0"/>
              <w:bottom w:val="single" w:color="auto" w:sz="4" w:space="0"/>
              <w:right w:val="single" w:color="auto" w:sz="4" w:space="0"/>
            </w:tcBorders>
            <w:shd w:val="clear" w:color="auto" w:fill="auto"/>
            <w:vAlign w:val="center"/>
          </w:tcPr>
          <w:p w14:paraId="0C222255">
            <w:pPr>
              <w:ind w:firstLine="0" w:firstLineChars="0"/>
              <w:jc w:val="center"/>
              <w:rPr>
                <w:rFonts w:ascii="宋体" w:hAnsi="宋体"/>
                <w:sz w:val="18"/>
                <w:szCs w:val="18"/>
              </w:rPr>
            </w:pPr>
            <w:r>
              <w:rPr>
                <w:rFonts w:hint="eastAsia" w:ascii="宋体" w:hAnsi="宋体"/>
                <w:sz w:val="18"/>
                <w:szCs w:val="18"/>
              </w:rPr>
              <w:t xml:space="preserve">热水 </w:t>
            </w:r>
            <w:r>
              <w:rPr>
                <w:rFonts w:ascii="宋体" w:hAnsi="宋体"/>
                <w:sz w:val="18"/>
                <w:szCs w:val="18"/>
              </w:rPr>
              <w:t>2</w:t>
            </w:r>
          </w:p>
        </w:tc>
        <w:tc>
          <w:tcPr>
            <w:tcW w:w="871" w:type="pct"/>
            <w:tcBorders>
              <w:top w:val="nil"/>
              <w:left w:val="nil"/>
              <w:bottom w:val="single" w:color="auto" w:sz="4" w:space="0"/>
              <w:right w:val="single" w:color="auto" w:sz="4" w:space="0"/>
            </w:tcBorders>
            <w:shd w:val="clear" w:color="auto" w:fill="auto"/>
            <w:vAlign w:val="center"/>
          </w:tcPr>
          <w:p w14:paraId="148BBD2C">
            <w:pPr>
              <w:ind w:firstLine="0" w:firstLineChars="0"/>
              <w:jc w:val="center"/>
              <w:rPr>
                <w:rFonts w:ascii="宋体" w:hAnsi="宋体"/>
                <w:sz w:val="18"/>
                <w:szCs w:val="18"/>
              </w:rPr>
            </w:pPr>
            <w:r>
              <w:rPr>
                <w:rFonts w:ascii="宋体" w:hAnsi="宋体"/>
                <w:sz w:val="18"/>
                <w:szCs w:val="18"/>
              </w:rPr>
              <w:t>250</w:t>
            </w:r>
          </w:p>
        </w:tc>
        <w:tc>
          <w:tcPr>
            <w:tcW w:w="925" w:type="pct"/>
            <w:tcBorders>
              <w:top w:val="nil"/>
              <w:left w:val="nil"/>
              <w:bottom w:val="single" w:color="auto" w:sz="4" w:space="0"/>
              <w:right w:val="single" w:color="auto" w:sz="4" w:space="0"/>
            </w:tcBorders>
            <w:shd w:val="clear" w:color="auto" w:fill="auto"/>
            <w:vAlign w:val="center"/>
          </w:tcPr>
          <w:p w14:paraId="4FE4ED7E">
            <w:pPr>
              <w:ind w:firstLine="0" w:firstLineChars="0"/>
              <w:jc w:val="center"/>
              <w:rPr>
                <w:rFonts w:ascii="宋体" w:hAnsi="宋体"/>
                <w:sz w:val="18"/>
                <w:szCs w:val="18"/>
              </w:rPr>
            </w:pPr>
            <w:r>
              <w:rPr>
                <w:rFonts w:ascii="宋体" w:hAnsi="宋体"/>
                <w:sz w:val="18"/>
                <w:szCs w:val="18"/>
              </w:rPr>
              <w:t>45</w:t>
            </w:r>
          </w:p>
        </w:tc>
        <w:tc>
          <w:tcPr>
            <w:tcW w:w="952" w:type="pct"/>
            <w:tcBorders>
              <w:top w:val="nil"/>
              <w:left w:val="nil"/>
              <w:bottom w:val="single" w:color="auto" w:sz="4" w:space="0"/>
              <w:right w:val="single" w:color="auto" w:sz="4" w:space="0"/>
            </w:tcBorders>
            <w:shd w:val="clear" w:color="auto" w:fill="auto"/>
            <w:vAlign w:val="center"/>
          </w:tcPr>
          <w:p w14:paraId="1C77D092">
            <w:pPr>
              <w:ind w:firstLine="0" w:firstLineChars="0"/>
              <w:jc w:val="center"/>
              <w:rPr>
                <w:rFonts w:ascii="宋体" w:hAnsi="宋体"/>
                <w:sz w:val="18"/>
                <w:szCs w:val="18"/>
              </w:rPr>
            </w:pPr>
            <w:r>
              <w:rPr>
                <w:rFonts w:ascii="宋体" w:hAnsi="宋体"/>
                <w:sz w:val="18"/>
                <w:szCs w:val="18"/>
              </w:rPr>
              <w:t>94</w:t>
            </w:r>
          </w:p>
        </w:tc>
        <w:tc>
          <w:tcPr>
            <w:tcW w:w="925" w:type="pct"/>
            <w:tcBorders>
              <w:top w:val="nil"/>
              <w:left w:val="nil"/>
              <w:bottom w:val="single" w:color="auto" w:sz="4" w:space="0"/>
              <w:right w:val="single" w:color="auto" w:sz="4" w:space="0"/>
            </w:tcBorders>
            <w:shd w:val="clear" w:color="auto" w:fill="auto"/>
            <w:vAlign w:val="center"/>
          </w:tcPr>
          <w:p w14:paraId="3B8923B1">
            <w:pPr>
              <w:ind w:firstLine="0" w:firstLineChars="0"/>
              <w:jc w:val="center"/>
              <w:rPr>
                <w:rFonts w:ascii="宋体" w:hAnsi="宋体"/>
                <w:sz w:val="18"/>
                <w:szCs w:val="18"/>
              </w:rPr>
            </w:pPr>
            <w:r>
              <w:rPr>
                <w:rFonts w:ascii="宋体" w:hAnsi="宋体"/>
                <w:sz w:val="18"/>
                <w:szCs w:val="18"/>
              </w:rPr>
              <w:t>14.2</w:t>
            </w:r>
          </w:p>
        </w:tc>
      </w:tr>
      <w:tr w14:paraId="3AC87A3B">
        <w:tblPrEx>
          <w:tblCellMar>
            <w:top w:w="0" w:type="dxa"/>
            <w:left w:w="108" w:type="dxa"/>
            <w:bottom w:w="0" w:type="dxa"/>
            <w:right w:w="108" w:type="dxa"/>
          </w:tblCellMar>
        </w:tblPrEx>
        <w:trPr>
          <w:trHeight w:val="285" w:hRule="atLeast"/>
        </w:trPr>
        <w:tc>
          <w:tcPr>
            <w:tcW w:w="1327" w:type="pct"/>
            <w:tcBorders>
              <w:top w:val="nil"/>
              <w:left w:val="single" w:color="auto" w:sz="4" w:space="0"/>
              <w:bottom w:val="single" w:color="auto" w:sz="4" w:space="0"/>
              <w:right w:val="single" w:color="auto" w:sz="4" w:space="0"/>
            </w:tcBorders>
            <w:shd w:val="clear" w:color="auto" w:fill="auto"/>
            <w:vAlign w:val="center"/>
          </w:tcPr>
          <w:p w14:paraId="69ED1FB7">
            <w:pPr>
              <w:ind w:firstLine="0" w:firstLineChars="0"/>
              <w:jc w:val="center"/>
              <w:rPr>
                <w:rFonts w:ascii="宋体" w:hAnsi="宋体"/>
                <w:sz w:val="18"/>
                <w:szCs w:val="18"/>
              </w:rPr>
            </w:pPr>
            <w:r>
              <w:rPr>
                <w:rFonts w:hint="eastAsia" w:ascii="宋体" w:hAnsi="宋体"/>
                <w:sz w:val="18"/>
                <w:szCs w:val="18"/>
              </w:rPr>
              <w:t>硫磺凝结水</w:t>
            </w:r>
          </w:p>
        </w:tc>
        <w:tc>
          <w:tcPr>
            <w:tcW w:w="871" w:type="pct"/>
            <w:tcBorders>
              <w:top w:val="nil"/>
              <w:left w:val="nil"/>
              <w:bottom w:val="single" w:color="auto" w:sz="4" w:space="0"/>
              <w:right w:val="single" w:color="auto" w:sz="4" w:space="0"/>
            </w:tcBorders>
            <w:shd w:val="clear" w:color="auto" w:fill="auto"/>
            <w:vAlign w:val="center"/>
          </w:tcPr>
          <w:p w14:paraId="48E69FF3">
            <w:pPr>
              <w:ind w:firstLine="0" w:firstLineChars="0"/>
              <w:jc w:val="center"/>
              <w:rPr>
                <w:rFonts w:ascii="宋体" w:hAnsi="宋体"/>
                <w:sz w:val="18"/>
                <w:szCs w:val="18"/>
              </w:rPr>
            </w:pPr>
            <w:r>
              <w:rPr>
                <w:rFonts w:ascii="宋体" w:hAnsi="宋体"/>
                <w:sz w:val="18"/>
                <w:szCs w:val="18"/>
              </w:rPr>
              <w:t>155</w:t>
            </w:r>
          </w:p>
        </w:tc>
        <w:tc>
          <w:tcPr>
            <w:tcW w:w="925" w:type="pct"/>
            <w:tcBorders>
              <w:top w:val="nil"/>
              <w:left w:val="nil"/>
              <w:bottom w:val="single" w:color="auto" w:sz="4" w:space="0"/>
              <w:right w:val="single" w:color="auto" w:sz="4" w:space="0"/>
            </w:tcBorders>
            <w:shd w:val="clear" w:color="auto" w:fill="auto"/>
            <w:vAlign w:val="center"/>
          </w:tcPr>
          <w:p w14:paraId="5292F967">
            <w:pPr>
              <w:ind w:firstLine="0" w:firstLineChars="0"/>
              <w:jc w:val="center"/>
              <w:rPr>
                <w:rFonts w:ascii="宋体" w:hAnsi="宋体"/>
                <w:sz w:val="18"/>
                <w:szCs w:val="18"/>
              </w:rPr>
            </w:pPr>
            <w:r>
              <w:rPr>
                <w:rFonts w:ascii="宋体" w:hAnsi="宋体"/>
                <w:sz w:val="18"/>
                <w:szCs w:val="18"/>
              </w:rPr>
              <w:t>55</w:t>
            </w:r>
          </w:p>
        </w:tc>
        <w:tc>
          <w:tcPr>
            <w:tcW w:w="952" w:type="pct"/>
            <w:tcBorders>
              <w:top w:val="nil"/>
              <w:left w:val="nil"/>
              <w:bottom w:val="single" w:color="auto" w:sz="4" w:space="0"/>
              <w:right w:val="single" w:color="auto" w:sz="4" w:space="0"/>
            </w:tcBorders>
            <w:shd w:val="clear" w:color="auto" w:fill="auto"/>
            <w:vAlign w:val="center"/>
          </w:tcPr>
          <w:p w14:paraId="6B76D33C">
            <w:pPr>
              <w:ind w:firstLine="0" w:firstLineChars="0"/>
              <w:jc w:val="center"/>
              <w:rPr>
                <w:rFonts w:ascii="宋体" w:hAnsi="宋体"/>
                <w:sz w:val="18"/>
                <w:szCs w:val="18"/>
              </w:rPr>
            </w:pPr>
            <w:r>
              <w:rPr>
                <w:rFonts w:ascii="宋体" w:hAnsi="宋体"/>
                <w:sz w:val="18"/>
                <w:szCs w:val="18"/>
              </w:rPr>
              <w:t>90</w:t>
            </w:r>
          </w:p>
        </w:tc>
        <w:tc>
          <w:tcPr>
            <w:tcW w:w="925" w:type="pct"/>
            <w:tcBorders>
              <w:top w:val="nil"/>
              <w:left w:val="nil"/>
              <w:bottom w:val="single" w:color="auto" w:sz="4" w:space="0"/>
              <w:right w:val="single" w:color="auto" w:sz="4" w:space="0"/>
            </w:tcBorders>
            <w:shd w:val="clear" w:color="auto" w:fill="auto"/>
            <w:vAlign w:val="center"/>
          </w:tcPr>
          <w:p w14:paraId="48929770">
            <w:pPr>
              <w:ind w:firstLine="0" w:firstLineChars="0"/>
              <w:jc w:val="center"/>
              <w:rPr>
                <w:rFonts w:ascii="宋体" w:hAnsi="宋体"/>
                <w:sz w:val="18"/>
                <w:szCs w:val="18"/>
              </w:rPr>
            </w:pPr>
            <w:r>
              <w:rPr>
                <w:rFonts w:ascii="宋体" w:hAnsi="宋体"/>
                <w:sz w:val="18"/>
                <w:szCs w:val="18"/>
              </w:rPr>
              <w:t>6.3</w:t>
            </w:r>
          </w:p>
        </w:tc>
      </w:tr>
      <w:tr w14:paraId="57505E50">
        <w:tblPrEx>
          <w:tblCellMar>
            <w:top w:w="0" w:type="dxa"/>
            <w:left w:w="108" w:type="dxa"/>
            <w:bottom w:w="0" w:type="dxa"/>
            <w:right w:w="108" w:type="dxa"/>
          </w:tblCellMar>
        </w:tblPrEx>
        <w:trPr>
          <w:trHeight w:val="285" w:hRule="atLeast"/>
        </w:trPr>
        <w:tc>
          <w:tcPr>
            <w:tcW w:w="407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3805FB68">
            <w:pPr>
              <w:ind w:firstLine="0" w:firstLineChars="0"/>
              <w:jc w:val="center"/>
              <w:rPr>
                <w:rFonts w:ascii="宋体" w:hAnsi="宋体"/>
                <w:sz w:val="18"/>
                <w:szCs w:val="18"/>
              </w:rPr>
            </w:pPr>
            <w:r>
              <w:rPr>
                <w:rFonts w:hint="eastAsia" w:ascii="宋体" w:hAnsi="宋体"/>
                <w:sz w:val="18"/>
                <w:szCs w:val="18"/>
              </w:rPr>
              <w:t>在建焦化</w:t>
            </w:r>
          </w:p>
        </w:tc>
        <w:tc>
          <w:tcPr>
            <w:tcW w:w="925" w:type="pct"/>
            <w:tcBorders>
              <w:top w:val="nil"/>
              <w:left w:val="nil"/>
              <w:bottom w:val="single" w:color="auto" w:sz="4" w:space="0"/>
              <w:right w:val="single" w:color="auto" w:sz="4" w:space="0"/>
            </w:tcBorders>
            <w:shd w:val="clear" w:color="auto" w:fill="auto"/>
            <w:vAlign w:val="center"/>
          </w:tcPr>
          <w:p w14:paraId="588A93AE">
            <w:pPr>
              <w:ind w:firstLine="0" w:firstLineChars="0"/>
              <w:jc w:val="center"/>
              <w:rPr>
                <w:rFonts w:ascii="宋体" w:hAnsi="宋体"/>
                <w:sz w:val="18"/>
                <w:szCs w:val="18"/>
              </w:rPr>
            </w:pPr>
            <w:r>
              <w:rPr>
                <w:rFonts w:ascii="宋体" w:hAnsi="宋体"/>
                <w:sz w:val="18"/>
                <w:szCs w:val="18"/>
              </w:rPr>
              <w:t>1.2</w:t>
            </w:r>
          </w:p>
        </w:tc>
      </w:tr>
      <w:tr w14:paraId="06ED69DE">
        <w:tblPrEx>
          <w:tblCellMar>
            <w:top w:w="0" w:type="dxa"/>
            <w:left w:w="108" w:type="dxa"/>
            <w:bottom w:w="0" w:type="dxa"/>
            <w:right w:w="108" w:type="dxa"/>
          </w:tblCellMar>
        </w:tblPrEx>
        <w:trPr>
          <w:trHeight w:val="285" w:hRule="atLeast"/>
        </w:trPr>
        <w:tc>
          <w:tcPr>
            <w:tcW w:w="1327" w:type="pct"/>
            <w:tcBorders>
              <w:top w:val="nil"/>
              <w:left w:val="single" w:color="auto" w:sz="4" w:space="0"/>
              <w:bottom w:val="single" w:color="auto" w:sz="4" w:space="0"/>
              <w:right w:val="single" w:color="auto" w:sz="4" w:space="0"/>
            </w:tcBorders>
            <w:shd w:val="clear" w:color="auto" w:fill="auto"/>
            <w:vAlign w:val="center"/>
          </w:tcPr>
          <w:p w14:paraId="413F16AD">
            <w:pPr>
              <w:ind w:firstLine="0" w:firstLineChars="0"/>
              <w:jc w:val="center"/>
              <w:rPr>
                <w:rFonts w:ascii="宋体" w:hAnsi="宋体"/>
                <w:sz w:val="18"/>
                <w:szCs w:val="18"/>
              </w:rPr>
            </w:pPr>
            <w:r>
              <w:rPr>
                <w:rFonts w:hint="eastAsia" w:ascii="宋体" w:hAnsi="宋体"/>
                <w:sz w:val="18"/>
                <w:szCs w:val="18"/>
              </w:rPr>
              <w:t>合计</w:t>
            </w:r>
          </w:p>
        </w:tc>
        <w:tc>
          <w:tcPr>
            <w:tcW w:w="2748" w:type="pct"/>
            <w:gridSpan w:val="3"/>
            <w:tcBorders>
              <w:top w:val="single" w:color="auto" w:sz="4" w:space="0"/>
              <w:left w:val="nil"/>
              <w:bottom w:val="single" w:color="auto" w:sz="4" w:space="0"/>
              <w:right w:val="single" w:color="auto" w:sz="4" w:space="0"/>
            </w:tcBorders>
            <w:shd w:val="clear" w:color="auto" w:fill="auto"/>
            <w:vAlign w:val="center"/>
          </w:tcPr>
          <w:p w14:paraId="2C55CF1A">
            <w:pPr>
              <w:ind w:firstLine="0" w:firstLineChars="0"/>
              <w:jc w:val="center"/>
              <w:rPr>
                <w:rFonts w:ascii="宋体" w:hAnsi="宋体"/>
                <w:sz w:val="18"/>
                <w:szCs w:val="18"/>
              </w:rPr>
            </w:pPr>
            <w:r>
              <w:rPr>
                <w:rFonts w:ascii="宋体" w:hAnsi="宋体"/>
                <w:sz w:val="18"/>
                <w:szCs w:val="18"/>
              </w:rPr>
              <w:t>3955</w:t>
            </w:r>
          </w:p>
        </w:tc>
        <w:tc>
          <w:tcPr>
            <w:tcW w:w="925" w:type="pct"/>
            <w:tcBorders>
              <w:top w:val="nil"/>
              <w:left w:val="nil"/>
              <w:bottom w:val="single" w:color="auto" w:sz="4" w:space="0"/>
              <w:right w:val="single" w:color="auto" w:sz="4" w:space="0"/>
            </w:tcBorders>
            <w:shd w:val="clear" w:color="auto" w:fill="auto"/>
            <w:vAlign w:val="center"/>
          </w:tcPr>
          <w:p w14:paraId="72F6F3A1">
            <w:pPr>
              <w:ind w:firstLine="0" w:firstLineChars="0"/>
              <w:jc w:val="center"/>
              <w:rPr>
                <w:rFonts w:ascii="宋体" w:hAnsi="宋体"/>
                <w:sz w:val="18"/>
                <w:szCs w:val="18"/>
              </w:rPr>
            </w:pPr>
            <w:r>
              <w:rPr>
                <w:rFonts w:ascii="宋体" w:hAnsi="宋体"/>
                <w:sz w:val="18"/>
                <w:szCs w:val="18"/>
              </w:rPr>
              <w:t>235.8</w:t>
            </w:r>
          </w:p>
        </w:tc>
      </w:tr>
    </w:tbl>
    <w:p w14:paraId="203F0A11">
      <w:pPr>
        <w:ind w:firstLine="560"/>
      </w:pPr>
      <w:r>
        <w:rPr>
          <w:rFonts w:hint="eastAsia"/>
        </w:rPr>
        <w:t>（四）无机化工制造业</w:t>
      </w:r>
    </w:p>
    <w:p w14:paraId="2D720445">
      <w:pPr>
        <w:ind w:firstLine="560"/>
      </w:pPr>
      <w:r>
        <w:rPr>
          <w:rFonts w:hint="eastAsia"/>
        </w:rPr>
        <w:t>无机化工是以含硫、钠、磷等矿物、空气、水和工业副产物等物质为原料，生产无机酸、烧碱、合成氨等化工产品的工业部门。</w:t>
      </w:r>
    </w:p>
    <w:p w14:paraId="0A1A9998">
      <w:pPr>
        <w:ind w:firstLine="560"/>
      </w:pPr>
      <w:r>
        <w:rPr>
          <w:rFonts w:hint="eastAsia"/>
        </w:rPr>
        <w:t>与石油化工行业类似，无机化工行业生产方式多样、产品类别多，因此无机化工厂（例如硫酸厂、烧碱厂、合成氨厂等）单位质量产品的余热量（MJ/吨无机产品）的准确估算必须根据不同类别工厂进行针对性的现场调研测试。</w:t>
      </w:r>
    </w:p>
    <w:p w14:paraId="39831D7B">
      <w:pPr>
        <w:keepNext/>
        <w:ind w:firstLine="560"/>
        <w:jc w:val="center"/>
      </w:pPr>
      <w:r>
        <w:drawing>
          <wp:anchor distT="0" distB="0" distL="114300" distR="114300" simplePos="0" relativeHeight="251661312" behindDoc="0" locked="0" layoutInCell="1" allowOverlap="1">
            <wp:simplePos x="0" y="0"/>
            <wp:positionH relativeFrom="column">
              <wp:posOffset>262255</wp:posOffset>
            </wp:positionH>
            <wp:positionV relativeFrom="paragraph">
              <wp:posOffset>394335</wp:posOffset>
            </wp:positionV>
            <wp:extent cx="5038090" cy="1743075"/>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038090" cy="1743075"/>
                    </a:xfrm>
                    <a:prstGeom prst="rect">
                      <a:avLst/>
                    </a:prstGeom>
                    <a:noFill/>
                  </pic:spPr>
                </pic:pic>
              </a:graphicData>
            </a:graphic>
          </wp:anchor>
        </w:drawing>
      </w:r>
    </w:p>
    <w:p w14:paraId="760ED989">
      <w:pPr>
        <w:ind w:firstLine="0" w:firstLineChars="0"/>
        <w:jc w:val="center"/>
      </w:pPr>
      <w:r>
        <w:rPr>
          <w:rFonts w:hint="eastAsia"/>
        </w:rPr>
        <w:t>图</w:t>
      </w:r>
      <w:r>
        <w:t>3</w:t>
      </w:r>
      <w:r>
        <w:rPr>
          <w:rFonts w:hint="eastAsia"/>
        </w:rPr>
        <w:t>纯碱生产余热主要流程图</w:t>
      </w:r>
    </w:p>
    <w:p w14:paraId="32BC6584">
      <w:pPr>
        <w:ind w:firstLine="560"/>
      </w:pPr>
      <w:r>
        <w:rPr>
          <w:rFonts w:hint="eastAsia"/>
        </w:rPr>
        <w:t>主要反应原理：</w:t>
      </w:r>
    </w:p>
    <w:p w14:paraId="008F3F77">
      <w:pPr>
        <w:ind w:firstLine="0" w:firstLineChars="0"/>
        <w:jc w:val="center"/>
      </w:pPr>
      <w:r>
        <w:t>NH</w:t>
      </w:r>
      <w:r>
        <w:rPr>
          <w:vertAlign w:val="subscript"/>
        </w:rPr>
        <w:t>3</w:t>
      </w:r>
      <w:r>
        <w:t>+CO</w:t>
      </w:r>
      <w:r>
        <w:rPr>
          <w:vertAlign w:val="subscript"/>
        </w:rPr>
        <w:t>2</w:t>
      </w:r>
      <w:r>
        <w:t>+H</w:t>
      </w:r>
      <w:r>
        <w:rPr>
          <w:vertAlign w:val="subscript"/>
        </w:rPr>
        <w:t>2</w:t>
      </w:r>
      <w:r>
        <w:t>O</w:t>
      </w:r>
      <w:r>
        <w:rPr>
          <w:rFonts w:hint="eastAsia"/>
        </w:rPr>
        <w:t>→</w:t>
      </w:r>
      <w:r>
        <w:t>NH</w:t>
      </w:r>
      <w:r>
        <w:rPr>
          <w:vertAlign w:val="subscript"/>
        </w:rPr>
        <w:t>4</w:t>
      </w:r>
      <w:r>
        <w:t>HCO</w:t>
      </w:r>
      <w:r>
        <w:rPr>
          <w:vertAlign w:val="subscript"/>
        </w:rPr>
        <w:t>3</w:t>
      </w:r>
      <w:r>
        <w:t xml:space="preserve"> </w:t>
      </w:r>
      <w:r>
        <w:br w:type="textWrapping"/>
      </w:r>
      <w:r>
        <w:t>NH</w:t>
      </w:r>
      <w:r>
        <w:rPr>
          <w:vertAlign w:val="subscript"/>
        </w:rPr>
        <w:t>4</w:t>
      </w:r>
      <w:r>
        <w:t>HCO</w:t>
      </w:r>
      <w:r>
        <w:rPr>
          <w:vertAlign w:val="subscript"/>
        </w:rPr>
        <w:t>3</w:t>
      </w:r>
      <w:r>
        <w:t>+NaCl</w:t>
      </w:r>
      <w:r>
        <w:rPr>
          <w:rFonts w:hint="eastAsia"/>
        </w:rPr>
        <w:t>→</w:t>
      </w:r>
      <w:r>
        <w:t>NaHCO</w:t>
      </w:r>
      <w:r>
        <w:rPr>
          <w:vertAlign w:val="subscript"/>
        </w:rPr>
        <w:t>3</w:t>
      </w:r>
      <w:r>
        <w:t>+NH</w:t>
      </w:r>
      <w:r>
        <w:rPr>
          <w:vertAlign w:val="subscript"/>
        </w:rPr>
        <w:t>4</w:t>
      </w:r>
      <w:r>
        <w:t xml:space="preserve">Cl </w:t>
      </w:r>
      <w:r>
        <w:br w:type="textWrapping"/>
      </w:r>
      <w:r>
        <w:t>2NaHCO</w:t>
      </w:r>
      <w:r>
        <w:rPr>
          <w:vertAlign w:val="subscript"/>
        </w:rPr>
        <w:t>3</w:t>
      </w:r>
      <w:r>
        <w:rPr>
          <w:rFonts w:hint="eastAsia"/>
        </w:rPr>
        <w:t>→</w:t>
      </w:r>
      <w:r>
        <w:t>Na</w:t>
      </w:r>
      <w:r>
        <w:rPr>
          <w:vertAlign w:val="subscript"/>
        </w:rPr>
        <w:t>2</w:t>
      </w:r>
      <w:r>
        <w:t>CO</w:t>
      </w:r>
      <w:r>
        <w:rPr>
          <w:vertAlign w:val="subscript"/>
        </w:rPr>
        <w:t>3</w:t>
      </w:r>
      <w:r>
        <w:t>+CO</w:t>
      </w:r>
      <w:r>
        <w:rPr>
          <w:vertAlign w:val="subscript"/>
        </w:rPr>
        <w:t>2</w:t>
      </w:r>
      <w:r>
        <w:t>+H</w:t>
      </w:r>
      <w:r>
        <w:rPr>
          <w:vertAlign w:val="subscript"/>
        </w:rPr>
        <w:t>2</w:t>
      </w:r>
      <w:r>
        <w:t>O</w:t>
      </w:r>
      <w:r>
        <w:rPr>
          <w:rFonts w:hint="eastAsia"/>
        </w:rPr>
        <w:t>（加热）</w:t>
      </w:r>
    </w:p>
    <w:p w14:paraId="128268C9">
      <w:pPr>
        <w:ind w:firstLine="0" w:firstLineChars="0"/>
        <w:jc w:val="center"/>
      </w:pPr>
      <w:r>
        <w:rPr>
          <w:rFonts w:hint="eastAsia"/>
        </w:rPr>
        <w:t>表</w:t>
      </w:r>
      <w:r>
        <w:t>4</w:t>
      </w:r>
      <w:r>
        <w:rPr>
          <w:rFonts w:hint="eastAsia"/>
        </w:rPr>
        <w:t>纯碱余热回收系数</w:t>
      </w:r>
    </w:p>
    <w:tbl>
      <w:tblPr>
        <w:tblStyle w:val="30"/>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841"/>
        <w:gridCol w:w="2841"/>
        <w:gridCol w:w="2840"/>
      </w:tblGrid>
      <w:tr w14:paraId="56676C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667" w:type="pct"/>
            <w:tcBorders>
              <w:top w:val="single" w:color="auto" w:sz="8" w:space="0"/>
              <w:bottom w:val="single" w:color="auto" w:sz="8" w:space="0"/>
            </w:tcBorders>
            <w:shd w:val="clear" w:color="auto" w:fill="auto"/>
          </w:tcPr>
          <w:p w14:paraId="67F77416">
            <w:pPr>
              <w:ind w:firstLine="360"/>
              <w:jc w:val="center"/>
              <w:rPr>
                <w:rFonts w:ascii="宋体"/>
                <w:sz w:val="18"/>
              </w:rPr>
            </w:pPr>
            <w:r>
              <w:rPr>
                <w:rFonts w:ascii="宋体"/>
                <w:sz w:val="18"/>
              </w:rPr>
              <w:t>流程</w:t>
            </w:r>
          </w:p>
        </w:tc>
        <w:tc>
          <w:tcPr>
            <w:tcW w:w="1667" w:type="pct"/>
            <w:tcBorders>
              <w:top w:val="single" w:color="auto" w:sz="8" w:space="0"/>
              <w:bottom w:val="single" w:color="auto" w:sz="8" w:space="0"/>
            </w:tcBorders>
            <w:shd w:val="clear" w:color="auto" w:fill="auto"/>
          </w:tcPr>
          <w:p w14:paraId="1B2D5CCA">
            <w:pPr>
              <w:ind w:firstLine="360"/>
              <w:jc w:val="center"/>
              <w:rPr>
                <w:rFonts w:ascii="宋体"/>
                <w:sz w:val="18"/>
              </w:rPr>
            </w:pPr>
            <w:r>
              <w:rPr>
                <w:rFonts w:ascii="宋体"/>
                <w:sz w:val="18"/>
              </w:rPr>
              <w:t>产品</w:t>
            </w:r>
          </w:p>
        </w:tc>
        <w:tc>
          <w:tcPr>
            <w:tcW w:w="1667" w:type="pct"/>
            <w:tcBorders>
              <w:top w:val="single" w:color="auto" w:sz="8" w:space="0"/>
              <w:bottom w:val="single" w:color="auto" w:sz="8" w:space="0"/>
            </w:tcBorders>
            <w:shd w:val="clear" w:color="auto" w:fill="auto"/>
          </w:tcPr>
          <w:p w14:paraId="364D8155">
            <w:pPr>
              <w:ind w:firstLine="360"/>
              <w:jc w:val="center"/>
              <w:rPr>
                <w:rFonts w:ascii="宋体"/>
                <w:sz w:val="18"/>
              </w:rPr>
            </w:pPr>
            <w:r>
              <w:rPr>
                <w:rFonts w:ascii="宋体"/>
                <w:sz w:val="18"/>
              </w:rPr>
              <w:t>余热回收系数MJ/t</w:t>
            </w:r>
          </w:p>
        </w:tc>
      </w:tr>
      <w:tr w14:paraId="5A6735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667" w:type="pct"/>
            <w:tcBorders>
              <w:top w:val="single" w:color="auto" w:sz="8" w:space="0"/>
            </w:tcBorders>
            <w:shd w:val="clear" w:color="auto" w:fill="auto"/>
          </w:tcPr>
          <w:p w14:paraId="58B8580F">
            <w:pPr>
              <w:ind w:firstLine="360"/>
              <w:jc w:val="center"/>
              <w:rPr>
                <w:rFonts w:ascii="宋体"/>
                <w:sz w:val="18"/>
              </w:rPr>
            </w:pPr>
            <w:r>
              <w:rPr>
                <w:rFonts w:ascii="宋体"/>
                <w:sz w:val="18"/>
              </w:rPr>
              <w:t>合成工序</w:t>
            </w:r>
          </w:p>
        </w:tc>
        <w:tc>
          <w:tcPr>
            <w:tcW w:w="1667" w:type="pct"/>
            <w:tcBorders>
              <w:top w:val="single" w:color="auto" w:sz="8" w:space="0"/>
            </w:tcBorders>
            <w:shd w:val="clear" w:color="auto" w:fill="auto"/>
          </w:tcPr>
          <w:p w14:paraId="331720F3">
            <w:pPr>
              <w:ind w:firstLine="360"/>
              <w:jc w:val="center"/>
              <w:rPr>
                <w:rFonts w:ascii="宋体"/>
                <w:sz w:val="18"/>
              </w:rPr>
            </w:pPr>
            <w:r>
              <w:rPr>
                <w:rFonts w:ascii="宋体"/>
                <w:sz w:val="18"/>
              </w:rPr>
              <w:t>烧碱</w:t>
            </w:r>
          </w:p>
        </w:tc>
        <w:tc>
          <w:tcPr>
            <w:tcW w:w="1667" w:type="pct"/>
            <w:tcBorders>
              <w:top w:val="single" w:color="auto" w:sz="8" w:space="0"/>
            </w:tcBorders>
            <w:shd w:val="clear" w:color="auto" w:fill="auto"/>
          </w:tcPr>
          <w:p w14:paraId="1957DA87">
            <w:pPr>
              <w:ind w:firstLine="360"/>
              <w:jc w:val="center"/>
              <w:rPr>
                <w:rFonts w:ascii="宋体"/>
                <w:sz w:val="18"/>
              </w:rPr>
            </w:pPr>
            <w:r>
              <w:rPr>
                <w:rFonts w:ascii="宋体"/>
                <w:sz w:val="18"/>
              </w:rPr>
              <w:t xml:space="preserve">671.00 </w:t>
            </w:r>
          </w:p>
        </w:tc>
      </w:tr>
      <w:tr w14:paraId="5682B8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667" w:type="pct"/>
            <w:tcBorders>
              <w:bottom w:val="single" w:color="auto" w:sz="4" w:space="0"/>
            </w:tcBorders>
            <w:shd w:val="clear" w:color="auto" w:fill="auto"/>
          </w:tcPr>
          <w:p w14:paraId="446DDC6C">
            <w:pPr>
              <w:ind w:firstLine="360"/>
              <w:jc w:val="center"/>
              <w:rPr>
                <w:rFonts w:ascii="宋体"/>
                <w:sz w:val="18"/>
              </w:rPr>
            </w:pPr>
            <w:r>
              <w:rPr>
                <w:rFonts w:ascii="宋体"/>
                <w:sz w:val="18"/>
              </w:rPr>
              <w:t>蒸发工序</w:t>
            </w:r>
          </w:p>
        </w:tc>
        <w:tc>
          <w:tcPr>
            <w:tcW w:w="1667" w:type="pct"/>
            <w:tcBorders>
              <w:bottom w:val="single" w:color="auto" w:sz="4" w:space="0"/>
            </w:tcBorders>
            <w:shd w:val="clear" w:color="auto" w:fill="auto"/>
          </w:tcPr>
          <w:p w14:paraId="45AE063B">
            <w:pPr>
              <w:ind w:firstLine="360"/>
              <w:jc w:val="center"/>
              <w:rPr>
                <w:rFonts w:ascii="宋体"/>
                <w:sz w:val="18"/>
              </w:rPr>
            </w:pPr>
            <w:r>
              <w:rPr>
                <w:rFonts w:ascii="宋体"/>
                <w:sz w:val="18"/>
              </w:rPr>
              <w:t>烧碱</w:t>
            </w:r>
          </w:p>
        </w:tc>
        <w:tc>
          <w:tcPr>
            <w:tcW w:w="1667" w:type="pct"/>
            <w:tcBorders>
              <w:bottom w:val="single" w:color="auto" w:sz="4" w:space="0"/>
            </w:tcBorders>
            <w:shd w:val="clear" w:color="auto" w:fill="auto"/>
          </w:tcPr>
          <w:p w14:paraId="4031EDF5">
            <w:pPr>
              <w:ind w:firstLine="360"/>
              <w:jc w:val="center"/>
              <w:rPr>
                <w:rFonts w:ascii="宋体"/>
                <w:sz w:val="18"/>
              </w:rPr>
            </w:pPr>
            <w:r>
              <w:rPr>
                <w:rFonts w:ascii="宋体"/>
                <w:sz w:val="18"/>
              </w:rPr>
              <w:t xml:space="preserve">1860.00 </w:t>
            </w:r>
          </w:p>
        </w:tc>
      </w:tr>
    </w:tbl>
    <w:p w14:paraId="0A5FEE94">
      <w:pPr>
        <w:ind w:firstLine="0" w:firstLineChars="0"/>
      </w:pPr>
    </w:p>
    <w:p w14:paraId="2E12F87D">
      <w:pPr>
        <w:ind w:firstLine="560"/>
      </w:pPr>
      <w:r>
        <w:rPr>
          <w:rFonts w:hint="eastAsia"/>
        </w:rPr>
        <w:t>采用隔膜及离子膜生产系统的氯碱工业，合成工序及蒸发工序存在大量余热。合成工序中，利用冷却循环水将氯化氢气体从600℃冷却至45℃，余热量约为6</w:t>
      </w:r>
      <w:r>
        <w:t>71</w:t>
      </w:r>
      <w:r>
        <w:rPr>
          <w:rFonts w:hint="eastAsia"/>
        </w:rPr>
        <w:t>MJ</w:t>
      </w:r>
      <w:r>
        <w:t>/</w:t>
      </w:r>
      <w:r>
        <w:rPr>
          <w:rFonts w:hint="eastAsia"/>
        </w:rPr>
        <w:t>t。</w:t>
      </w:r>
    </w:p>
    <w:p w14:paraId="5C063DC8">
      <w:pPr>
        <w:ind w:firstLine="560"/>
      </w:pPr>
      <w:r>
        <w:rPr>
          <w:rFonts w:hint="eastAsia"/>
        </w:rPr>
        <w:t>蒸发工序中，利用冷却循环水对浓缩电解液二次蒸汽进行降温，余热量约为1</w:t>
      </w:r>
      <w:r>
        <w:t>860</w:t>
      </w:r>
      <w:r>
        <w:rPr>
          <w:rFonts w:hint="eastAsia"/>
        </w:rPr>
        <w:t>MJ</w:t>
      </w:r>
      <w:r>
        <w:t>/</w:t>
      </w:r>
      <w:r>
        <w:rPr>
          <w:rFonts w:hint="eastAsia"/>
        </w:rPr>
        <w:t>t。</w:t>
      </w:r>
    </w:p>
    <w:p w14:paraId="648B361A">
      <w:pPr>
        <w:ind w:firstLine="560"/>
      </w:pPr>
      <w:r>
        <w:rPr>
          <w:rFonts w:hint="eastAsia"/>
        </w:rPr>
        <w:t>（五）非金属制造业</w:t>
      </w:r>
    </w:p>
    <w:p w14:paraId="4BA77B1B">
      <w:pPr>
        <w:ind w:firstLine="560"/>
      </w:pPr>
      <w:r>
        <w:rPr>
          <w:rFonts w:hint="eastAsia"/>
        </w:rPr>
        <w:t>水泥制造是非金属冶炼行业的代表，是以水泥生料、煤为主要原料，生产水泥熟料的工业部门。</w:t>
      </w:r>
    </w:p>
    <w:p w14:paraId="615E4A78">
      <w:pPr>
        <w:ind w:firstLine="560"/>
      </w:pPr>
      <w:r>
        <w:rPr>
          <w:rFonts w:hint="eastAsia"/>
        </w:rPr>
        <w:t>采用新型干法水泥工艺的水泥厂的典型工艺流程如图</w:t>
      </w:r>
      <w:r>
        <w:t>4</w:t>
      </w:r>
      <w:r>
        <w:rPr>
          <w:rFonts w:hint="eastAsia"/>
        </w:rPr>
        <w:t>所示。</w:t>
      </w:r>
      <w:r>
        <w:drawing>
          <wp:anchor distT="0" distB="0" distL="114300" distR="114300" simplePos="0" relativeHeight="251662336" behindDoc="0" locked="0" layoutInCell="1" allowOverlap="1">
            <wp:simplePos x="0" y="0"/>
            <wp:positionH relativeFrom="margin">
              <wp:align>center</wp:align>
            </wp:positionH>
            <wp:positionV relativeFrom="paragraph">
              <wp:posOffset>561340</wp:posOffset>
            </wp:positionV>
            <wp:extent cx="3066415" cy="1828800"/>
            <wp:effectExtent l="0" t="0" r="635"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066415" cy="1828800"/>
                    </a:xfrm>
                    <a:prstGeom prst="rect">
                      <a:avLst/>
                    </a:prstGeom>
                    <a:noFill/>
                  </pic:spPr>
                </pic:pic>
              </a:graphicData>
            </a:graphic>
          </wp:anchor>
        </w:drawing>
      </w:r>
    </w:p>
    <w:p w14:paraId="0122C6CE">
      <w:pPr>
        <w:ind w:firstLine="560"/>
        <w:jc w:val="center"/>
      </w:pPr>
      <w:bookmarkStart w:id="3" w:name="_Toc416277715"/>
      <w:r>
        <w:rPr>
          <w:rFonts w:hint="eastAsia"/>
        </w:rPr>
        <w:t>图</w:t>
      </w:r>
      <w:r>
        <w:t>4</w:t>
      </w:r>
      <w:r>
        <w:rPr>
          <w:rFonts w:hint="eastAsia"/>
        </w:rPr>
        <w:t>典型水泥厂的工艺流程</w:t>
      </w:r>
      <w:bookmarkEnd w:id="3"/>
    </w:p>
    <w:p w14:paraId="2E318B07">
      <w:pPr>
        <w:ind w:firstLine="560"/>
      </w:pPr>
      <w:r>
        <w:rPr>
          <w:rFonts w:hint="eastAsia"/>
        </w:rPr>
        <w:t>主要反应原理：</w:t>
      </w:r>
    </w:p>
    <w:p w14:paraId="3DAF5C3E">
      <w:pPr>
        <w:ind w:firstLine="0" w:firstLineChars="0"/>
        <w:jc w:val="center"/>
      </w:pPr>
      <w:r>
        <w:rPr>
          <w:rFonts w:hint="eastAsia"/>
        </w:rPr>
        <w:t>CaCO</w:t>
      </w:r>
      <w:r>
        <w:rPr>
          <w:rFonts w:hint="eastAsia"/>
          <w:vertAlign w:val="subscript"/>
        </w:rPr>
        <w:t>3</w:t>
      </w:r>
      <w:r>
        <w:t>→</w:t>
      </w:r>
      <w:r>
        <w:rPr>
          <w:rFonts w:hint="eastAsia"/>
        </w:rPr>
        <w:t>CaO+CO</w:t>
      </w:r>
      <w:r>
        <w:rPr>
          <w:rFonts w:hint="eastAsia"/>
          <w:vertAlign w:val="subscript"/>
        </w:rPr>
        <w:t>2</w:t>
      </w:r>
      <w:r>
        <w:rPr>
          <w:vertAlign w:val="subscript"/>
        </w:rPr>
        <w:t xml:space="preserve">  </w:t>
      </w:r>
      <w:r>
        <w:t>(</w:t>
      </w:r>
      <w:r>
        <w:rPr>
          <w:rFonts w:hint="eastAsia"/>
        </w:rPr>
        <w:t>高温)</w:t>
      </w:r>
      <w:r>
        <w:br w:type="textWrapping"/>
      </w:r>
      <w:r>
        <w:rPr>
          <w:rFonts w:hint="eastAsia"/>
        </w:rPr>
        <w:t>SiO</w:t>
      </w:r>
      <w:r>
        <w:rPr>
          <w:rFonts w:hint="eastAsia"/>
          <w:vertAlign w:val="subscript"/>
        </w:rPr>
        <w:t>2</w:t>
      </w:r>
      <w:r>
        <w:rPr>
          <w:rFonts w:hint="eastAsia"/>
        </w:rPr>
        <w:t>+CaO</w:t>
      </w:r>
      <w:r>
        <w:t>→</w:t>
      </w:r>
      <w:r>
        <w:rPr>
          <w:rFonts w:hint="eastAsia"/>
        </w:rPr>
        <w:t>CaSiO</w:t>
      </w:r>
      <w:r>
        <w:rPr>
          <w:rFonts w:hint="eastAsia"/>
          <w:vertAlign w:val="subscript"/>
        </w:rPr>
        <w:t>3</w:t>
      </w:r>
      <w:r>
        <w:rPr>
          <w:vertAlign w:val="subscript"/>
        </w:rPr>
        <w:t xml:space="preserve">  </w:t>
      </w:r>
      <w:r>
        <w:t>(</w:t>
      </w:r>
      <w:r>
        <w:rPr>
          <w:rFonts w:hint="eastAsia"/>
        </w:rPr>
        <w:t>高温)</w:t>
      </w:r>
      <w:r>
        <w:br w:type="textWrapping"/>
      </w:r>
      <w:r>
        <w:rPr>
          <w:rFonts w:hint="eastAsia"/>
        </w:rPr>
        <w:t>SiO</w:t>
      </w:r>
      <w:r>
        <w:rPr>
          <w:rFonts w:hint="eastAsia"/>
          <w:vertAlign w:val="subscript"/>
        </w:rPr>
        <w:t>2</w:t>
      </w:r>
      <w:r>
        <w:rPr>
          <w:rFonts w:hint="eastAsia"/>
        </w:rPr>
        <w:t>+Na</w:t>
      </w:r>
      <w:r>
        <w:rPr>
          <w:rFonts w:hint="eastAsia"/>
          <w:vertAlign w:val="subscript"/>
        </w:rPr>
        <w:t>2</w:t>
      </w:r>
      <w:r>
        <w:rPr>
          <w:rFonts w:hint="eastAsia"/>
        </w:rPr>
        <w:t>CO</w:t>
      </w:r>
      <w:r>
        <w:rPr>
          <w:rFonts w:hint="eastAsia"/>
          <w:vertAlign w:val="subscript"/>
        </w:rPr>
        <w:t>3</w:t>
      </w:r>
      <w:r>
        <w:t>→</w:t>
      </w:r>
      <w:r>
        <w:rPr>
          <w:rFonts w:hint="eastAsia"/>
        </w:rPr>
        <w:t>Na2SiO</w:t>
      </w:r>
      <w:r>
        <w:rPr>
          <w:rFonts w:hint="eastAsia"/>
          <w:vertAlign w:val="subscript"/>
        </w:rPr>
        <w:t>3</w:t>
      </w:r>
      <w:r>
        <w:rPr>
          <w:rFonts w:hint="eastAsia"/>
        </w:rPr>
        <w:t>+CO</w:t>
      </w:r>
      <w:r>
        <w:rPr>
          <w:rFonts w:hint="eastAsia"/>
          <w:vertAlign w:val="subscript"/>
        </w:rPr>
        <w:t>2</w:t>
      </w:r>
      <w:r>
        <w:rPr>
          <w:vertAlign w:val="subscript"/>
        </w:rPr>
        <w:t xml:space="preserve">  </w:t>
      </w:r>
      <w:r>
        <w:t>(</w:t>
      </w:r>
      <w:r>
        <w:rPr>
          <w:rFonts w:hint="eastAsia"/>
        </w:rPr>
        <w:t>高温)</w:t>
      </w:r>
    </w:p>
    <w:p w14:paraId="0B728D8E">
      <w:pPr>
        <w:ind w:firstLine="560"/>
      </w:pPr>
      <w:r>
        <w:rPr>
          <w:rFonts w:hint="eastAsia"/>
        </w:rPr>
        <w:t>生料在预热器分解炉内被来自回转窑的热风加热并初步分解，而主要的分解反应在回转窑内发生。在能源利用效率较高的水泥厂，预热器分解炉出口的热风（窑尾烟气）先经过余热锅炉，部分中高温段的烟气余热在其中得以回收；余热锅炉出口的烟气经过除尘并排出。在回转窑内分解得到的水泥熟料进入冷却机，冷却机内通入空气对熟料进行冷却，被冷却的熟料最终排出冷却机并在环境中进一步被冷却。用于熟料冷却的空气升温后，一部分进入回转窑内，在回转窑口点燃喷入的煤粉；另一部分则从冷却机头排出，能效较高的水泥厂利用余热锅炉回收部分热风（窑头烟气）中的余热。回转窑内煤粉燃烧放出大量热量维持生料的分解反应持续进行，回转窑壁面向周围环境辐射散热。</w:t>
      </w:r>
    </w:p>
    <w:p w14:paraId="44AD4645">
      <w:pPr>
        <w:ind w:firstLine="560"/>
      </w:pPr>
      <w:r>
        <w:rPr>
          <w:rFonts w:hint="eastAsia"/>
        </w:rPr>
        <w:t>综上所述，水泥厂主要的低品位余热资源包括：冷却机排出熟料、窑尾烟气、窑头烟气、回转窑壁面以及余热发电环节的乏汽等。</w:t>
      </w:r>
    </w:p>
    <w:p w14:paraId="466D9C0F">
      <w:pPr>
        <w:ind w:firstLine="560"/>
      </w:pPr>
      <w:r>
        <w:rPr>
          <w:rFonts w:hint="eastAsia"/>
        </w:rPr>
        <w:t>水泥厂生产工艺的主要特点是：工序简单；核心设备少，主体设备为回转窑、冷却机与分解炉；核心设备之间的物料流动、能量流动非单向且相互解耦。因此水泥厂单位质量产品的余热量（MJ/吨水泥熟料）的估算采用基于现场实测的热平衡估算方法，对核心设备进出口的物流、能流进行测量，求出物料平衡和能量平衡，最终计算得到各环节的余热量。</w:t>
      </w:r>
    </w:p>
    <w:p w14:paraId="48DBE12F">
      <w:pPr>
        <w:ind w:firstLine="560"/>
      </w:pPr>
      <w:r>
        <w:rPr>
          <w:rFonts w:hint="eastAsia"/>
        </w:rPr>
        <w:t>将典型水泥厂的低品位工业余热信息归纳如表</w:t>
      </w:r>
      <w:r>
        <w:t>5</w:t>
      </w:r>
      <w:r>
        <w:rPr>
          <w:rFonts w:hint="eastAsia"/>
        </w:rPr>
        <w:t>所示。</w:t>
      </w:r>
    </w:p>
    <w:p w14:paraId="365AAE81">
      <w:pPr>
        <w:ind w:firstLine="0" w:firstLineChars="0"/>
        <w:jc w:val="center"/>
      </w:pPr>
      <w:r>
        <w:rPr>
          <w:rFonts w:hint="eastAsia"/>
        </w:rPr>
        <w:t>表</w:t>
      </w:r>
      <w:r>
        <w:t>5</w:t>
      </w:r>
      <w:r>
        <w:rPr>
          <w:rFonts w:hint="eastAsia"/>
        </w:rPr>
        <w:t>干法水泥生产工艺单位产品余热量</w:t>
      </w:r>
    </w:p>
    <w:tbl>
      <w:tblPr>
        <w:tblStyle w:val="30"/>
        <w:tblW w:w="5000" w:type="pct"/>
        <w:jc w:val="center"/>
        <w:tblLayout w:type="autofit"/>
        <w:tblCellMar>
          <w:top w:w="0" w:type="dxa"/>
          <w:left w:w="108" w:type="dxa"/>
          <w:bottom w:w="0" w:type="dxa"/>
          <w:right w:w="108" w:type="dxa"/>
        </w:tblCellMar>
      </w:tblPr>
      <w:tblGrid>
        <w:gridCol w:w="1019"/>
        <w:gridCol w:w="1553"/>
        <w:gridCol w:w="1210"/>
        <w:gridCol w:w="1486"/>
        <w:gridCol w:w="1628"/>
        <w:gridCol w:w="1626"/>
      </w:tblGrid>
      <w:tr w14:paraId="38539AEC">
        <w:tblPrEx>
          <w:tblCellMar>
            <w:top w:w="0" w:type="dxa"/>
            <w:left w:w="108" w:type="dxa"/>
            <w:bottom w:w="0" w:type="dxa"/>
            <w:right w:w="108" w:type="dxa"/>
          </w:tblCellMar>
        </w:tblPrEx>
        <w:trPr>
          <w:trHeight w:val="706" w:hRule="atLeast"/>
          <w:jc w:val="center"/>
        </w:trPr>
        <w:tc>
          <w:tcPr>
            <w:tcW w:w="598" w:type="pct"/>
            <w:tcBorders>
              <w:top w:val="single" w:color="auto" w:sz="4" w:space="0"/>
              <w:bottom w:val="single" w:color="auto" w:sz="4" w:space="0"/>
            </w:tcBorders>
            <w:shd w:val="clear" w:color="auto" w:fill="auto"/>
            <w:vAlign w:val="center"/>
          </w:tcPr>
          <w:p w14:paraId="4FE549F4">
            <w:pPr>
              <w:ind w:firstLine="0" w:firstLineChars="0"/>
              <w:jc w:val="center"/>
              <w:rPr>
                <w:rFonts w:ascii="宋体" w:hAnsi="宋体"/>
                <w:sz w:val="18"/>
                <w:szCs w:val="18"/>
              </w:rPr>
            </w:pPr>
            <w:r>
              <w:rPr>
                <w:rFonts w:ascii="宋体" w:hAnsi="宋体"/>
                <w:sz w:val="18"/>
                <w:szCs w:val="18"/>
              </w:rPr>
              <w:t>大环节</w:t>
            </w:r>
          </w:p>
        </w:tc>
        <w:tc>
          <w:tcPr>
            <w:tcW w:w="911" w:type="pct"/>
            <w:tcBorders>
              <w:top w:val="single" w:color="auto" w:sz="4" w:space="0"/>
              <w:bottom w:val="single" w:color="auto" w:sz="4" w:space="0"/>
            </w:tcBorders>
            <w:shd w:val="clear" w:color="auto" w:fill="auto"/>
            <w:vAlign w:val="center"/>
          </w:tcPr>
          <w:p w14:paraId="2A52ED3C">
            <w:pPr>
              <w:ind w:firstLine="0" w:firstLineChars="0"/>
              <w:jc w:val="center"/>
              <w:rPr>
                <w:rFonts w:ascii="宋体" w:hAnsi="宋体"/>
                <w:sz w:val="18"/>
                <w:szCs w:val="18"/>
              </w:rPr>
            </w:pPr>
            <w:r>
              <w:rPr>
                <w:rFonts w:ascii="宋体" w:hAnsi="宋体"/>
                <w:sz w:val="18"/>
                <w:szCs w:val="18"/>
              </w:rPr>
              <w:t>小环节</w:t>
            </w:r>
          </w:p>
        </w:tc>
        <w:tc>
          <w:tcPr>
            <w:tcW w:w="710" w:type="pct"/>
            <w:tcBorders>
              <w:top w:val="single" w:color="auto" w:sz="4" w:space="0"/>
              <w:bottom w:val="single" w:color="auto" w:sz="4" w:space="0"/>
            </w:tcBorders>
            <w:shd w:val="clear" w:color="auto" w:fill="auto"/>
            <w:vAlign w:val="center"/>
          </w:tcPr>
          <w:p w14:paraId="4A63D73C">
            <w:pPr>
              <w:ind w:firstLine="0" w:firstLineChars="0"/>
              <w:jc w:val="center"/>
              <w:rPr>
                <w:rFonts w:ascii="宋体" w:hAnsi="宋体"/>
                <w:sz w:val="18"/>
                <w:szCs w:val="18"/>
              </w:rPr>
            </w:pPr>
            <w:r>
              <w:rPr>
                <w:rFonts w:ascii="宋体" w:hAnsi="宋体"/>
                <w:sz w:val="18"/>
                <w:szCs w:val="18"/>
              </w:rPr>
              <w:t>余热源</w:t>
            </w:r>
          </w:p>
        </w:tc>
        <w:tc>
          <w:tcPr>
            <w:tcW w:w="2781" w:type="pct"/>
            <w:gridSpan w:val="3"/>
            <w:tcBorders>
              <w:top w:val="single" w:color="auto" w:sz="4" w:space="0"/>
              <w:bottom w:val="single" w:color="auto" w:sz="4" w:space="0"/>
            </w:tcBorders>
            <w:vAlign w:val="center"/>
          </w:tcPr>
          <w:p w14:paraId="7344FABA">
            <w:pPr>
              <w:ind w:firstLine="0" w:firstLineChars="0"/>
              <w:jc w:val="center"/>
              <w:rPr>
                <w:rFonts w:ascii="宋体" w:hAnsi="宋体"/>
                <w:sz w:val="18"/>
                <w:szCs w:val="18"/>
              </w:rPr>
            </w:pPr>
            <w:r>
              <w:rPr>
                <w:rFonts w:ascii="宋体" w:hAnsi="宋体"/>
                <w:sz w:val="18"/>
                <w:szCs w:val="18"/>
              </w:rPr>
              <w:t>烟气不同处理方式下单位产品余热（MJ/吨熟料）</w:t>
            </w:r>
          </w:p>
        </w:tc>
      </w:tr>
      <w:tr w14:paraId="7EB45659">
        <w:tblPrEx>
          <w:tblCellMar>
            <w:top w:w="0" w:type="dxa"/>
            <w:left w:w="108" w:type="dxa"/>
            <w:bottom w:w="0" w:type="dxa"/>
            <w:right w:w="108" w:type="dxa"/>
          </w:tblCellMar>
        </w:tblPrEx>
        <w:trPr>
          <w:trHeight w:val="706" w:hRule="atLeast"/>
          <w:jc w:val="center"/>
        </w:trPr>
        <w:tc>
          <w:tcPr>
            <w:tcW w:w="598" w:type="pct"/>
            <w:tcBorders>
              <w:top w:val="single" w:color="auto" w:sz="4" w:space="0"/>
            </w:tcBorders>
            <w:shd w:val="clear" w:color="auto" w:fill="auto"/>
            <w:vAlign w:val="center"/>
          </w:tcPr>
          <w:p w14:paraId="7A6B1231">
            <w:pPr>
              <w:ind w:firstLine="0" w:firstLineChars="0"/>
              <w:jc w:val="center"/>
              <w:rPr>
                <w:rFonts w:ascii="宋体" w:hAnsi="宋体"/>
                <w:sz w:val="18"/>
                <w:szCs w:val="18"/>
              </w:rPr>
            </w:pPr>
          </w:p>
        </w:tc>
        <w:tc>
          <w:tcPr>
            <w:tcW w:w="911" w:type="pct"/>
            <w:tcBorders>
              <w:top w:val="single" w:color="auto" w:sz="4" w:space="0"/>
            </w:tcBorders>
            <w:shd w:val="clear" w:color="auto" w:fill="auto"/>
            <w:vAlign w:val="center"/>
          </w:tcPr>
          <w:p w14:paraId="78A5E66C">
            <w:pPr>
              <w:ind w:firstLine="0" w:firstLineChars="0"/>
              <w:jc w:val="center"/>
              <w:rPr>
                <w:rFonts w:ascii="宋体" w:hAnsi="宋体"/>
                <w:sz w:val="18"/>
                <w:szCs w:val="18"/>
              </w:rPr>
            </w:pPr>
          </w:p>
        </w:tc>
        <w:tc>
          <w:tcPr>
            <w:tcW w:w="710" w:type="pct"/>
            <w:tcBorders>
              <w:top w:val="single" w:color="auto" w:sz="4" w:space="0"/>
            </w:tcBorders>
            <w:shd w:val="clear" w:color="auto" w:fill="auto"/>
            <w:vAlign w:val="center"/>
          </w:tcPr>
          <w:p w14:paraId="0F85AA8F">
            <w:pPr>
              <w:ind w:firstLine="0" w:firstLineChars="0"/>
              <w:jc w:val="center"/>
              <w:rPr>
                <w:rFonts w:ascii="宋体" w:hAnsi="宋体"/>
                <w:sz w:val="18"/>
                <w:szCs w:val="18"/>
              </w:rPr>
            </w:pPr>
          </w:p>
        </w:tc>
        <w:tc>
          <w:tcPr>
            <w:tcW w:w="872" w:type="pct"/>
            <w:tcBorders>
              <w:top w:val="single" w:color="auto" w:sz="4" w:space="0"/>
            </w:tcBorders>
            <w:vAlign w:val="center"/>
          </w:tcPr>
          <w:p w14:paraId="15ECE407">
            <w:pPr>
              <w:ind w:firstLine="0" w:firstLineChars="0"/>
              <w:jc w:val="center"/>
              <w:rPr>
                <w:rFonts w:ascii="宋体" w:hAnsi="宋体"/>
                <w:sz w:val="18"/>
                <w:szCs w:val="18"/>
              </w:rPr>
            </w:pPr>
            <w:r>
              <w:rPr>
                <w:rFonts w:ascii="宋体" w:hAnsi="宋体"/>
                <w:sz w:val="18"/>
                <w:szCs w:val="18"/>
              </w:rPr>
              <w:t>烟气直排</w:t>
            </w:r>
          </w:p>
        </w:tc>
        <w:tc>
          <w:tcPr>
            <w:tcW w:w="955" w:type="pct"/>
            <w:tcBorders>
              <w:top w:val="single" w:color="auto" w:sz="4" w:space="0"/>
            </w:tcBorders>
            <w:vAlign w:val="center"/>
          </w:tcPr>
          <w:p w14:paraId="3BF49D3C">
            <w:pPr>
              <w:ind w:firstLine="0" w:firstLineChars="0"/>
              <w:jc w:val="center"/>
              <w:rPr>
                <w:rFonts w:ascii="宋体" w:hAnsi="宋体"/>
                <w:sz w:val="18"/>
                <w:szCs w:val="18"/>
              </w:rPr>
            </w:pPr>
            <w:r>
              <w:rPr>
                <w:rFonts w:ascii="宋体" w:hAnsi="宋体"/>
                <w:sz w:val="18"/>
                <w:szCs w:val="18"/>
              </w:rPr>
              <w:t>窑头、窑尾烟气余热发电</w:t>
            </w:r>
          </w:p>
        </w:tc>
        <w:tc>
          <w:tcPr>
            <w:tcW w:w="954" w:type="pct"/>
            <w:tcBorders>
              <w:top w:val="single" w:color="auto" w:sz="4" w:space="0"/>
            </w:tcBorders>
            <w:vAlign w:val="center"/>
          </w:tcPr>
          <w:p w14:paraId="3240E595">
            <w:pPr>
              <w:ind w:firstLine="0" w:firstLineChars="0"/>
              <w:jc w:val="center"/>
              <w:rPr>
                <w:rFonts w:ascii="宋体" w:hAnsi="宋体"/>
                <w:sz w:val="18"/>
                <w:szCs w:val="18"/>
              </w:rPr>
            </w:pPr>
            <w:r>
              <w:rPr>
                <w:rFonts w:ascii="宋体" w:hAnsi="宋体"/>
                <w:sz w:val="18"/>
                <w:szCs w:val="18"/>
              </w:rPr>
              <w:t>窑尾烟气原料磨</w:t>
            </w:r>
          </w:p>
        </w:tc>
      </w:tr>
      <w:tr w14:paraId="2C661480">
        <w:tblPrEx>
          <w:tblCellMar>
            <w:top w:w="0" w:type="dxa"/>
            <w:left w:w="108" w:type="dxa"/>
            <w:bottom w:w="0" w:type="dxa"/>
            <w:right w:w="108" w:type="dxa"/>
          </w:tblCellMar>
        </w:tblPrEx>
        <w:trPr>
          <w:trHeight w:val="621" w:hRule="atLeast"/>
          <w:jc w:val="center"/>
        </w:trPr>
        <w:tc>
          <w:tcPr>
            <w:tcW w:w="598" w:type="pct"/>
            <w:shd w:val="clear" w:color="auto" w:fill="auto"/>
            <w:vAlign w:val="center"/>
          </w:tcPr>
          <w:p w14:paraId="676190A3">
            <w:pPr>
              <w:ind w:firstLine="0" w:firstLineChars="0"/>
              <w:jc w:val="center"/>
              <w:rPr>
                <w:rFonts w:ascii="宋体" w:hAnsi="宋体"/>
                <w:sz w:val="18"/>
                <w:szCs w:val="18"/>
              </w:rPr>
            </w:pPr>
            <w:r>
              <w:rPr>
                <w:rFonts w:ascii="宋体" w:hAnsi="宋体"/>
                <w:sz w:val="18"/>
                <w:szCs w:val="18"/>
              </w:rPr>
              <w:t>窑尾</w:t>
            </w:r>
          </w:p>
        </w:tc>
        <w:tc>
          <w:tcPr>
            <w:tcW w:w="911" w:type="pct"/>
            <w:shd w:val="clear" w:color="auto" w:fill="auto"/>
            <w:vAlign w:val="center"/>
          </w:tcPr>
          <w:p w14:paraId="24F6A43E">
            <w:pPr>
              <w:ind w:firstLine="0" w:firstLineChars="0"/>
              <w:jc w:val="center"/>
              <w:rPr>
                <w:rFonts w:ascii="宋体" w:hAnsi="宋体"/>
                <w:sz w:val="18"/>
                <w:szCs w:val="18"/>
              </w:rPr>
            </w:pPr>
            <w:r>
              <w:rPr>
                <w:rFonts w:ascii="宋体" w:hAnsi="宋体"/>
                <w:sz w:val="18"/>
                <w:szCs w:val="18"/>
              </w:rPr>
              <w:t>预热器烟气</w:t>
            </w:r>
          </w:p>
        </w:tc>
        <w:tc>
          <w:tcPr>
            <w:tcW w:w="710" w:type="pct"/>
            <w:shd w:val="clear" w:color="auto" w:fill="auto"/>
            <w:vAlign w:val="center"/>
          </w:tcPr>
          <w:p w14:paraId="2507AF00">
            <w:pPr>
              <w:ind w:firstLine="0" w:firstLineChars="0"/>
              <w:jc w:val="center"/>
              <w:rPr>
                <w:rFonts w:ascii="宋体" w:hAnsi="宋体"/>
                <w:sz w:val="18"/>
                <w:szCs w:val="18"/>
              </w:rPr>
            </w:pPr>
            <w:r>
              <w:rPr>
                <w:rFonts w:ascii="宋体" w:hAnsi="宋体"/>
                <w:sz w:val="18"/>
                <w:szCs w:val="18"/>
              </w:rPr>
              <w:t>含尘烟气</w:t>
            </w:r>
          </w:p>
        </w:tc>
        <w:tc>
          <w:tcPr>
            <w:tcW w:w="872" w:type="pct"/>
            <w:vAlign w:val="center"/>
          </w:tcPr>
          <w:p w14:paraId="32D149A0">
            <w:pPr>
              <w:ind w:firstLine="0" w:firstLineChars="0"/>
              <w:jc w:val="center"/>
              <w:rPr>
                <w:rFonts w:ascii="宋体" w:hAnsi="宋体"/>
                <w:sz w:val="18"/>
                <w:szCs w:val="18"/>
              </w:rPr>
            </w:pPr>
            <w:r>
              <w:rPr>
                <w:rFonts w:ascii="宋体" w:hAnsi="宋体"/>
                <w:sz w:val="18"/>
                <w:szCs w:val="18"/>
              </w:rPr>
              <w:t>831.81[335</w:t>
            </w:r>
            <w:r>
              <w:rPr>
                <w:rFonts w:hint="eastAsia" w:ascii="宋体" w:hAnsi="宋体"/>
                <w:sz w:val="18"/>
                <w:szCs w:val="18"/>
              </w:rPr>
              <w:t>℃</w:t>
            </w:r>
            <w:r>
              <w:rPr>
                <w:rFonts w:ascii="宋体" w:hAnsi="宋体"/>
                <w:sz w:val="18"/>
                <w:szCs w:val="18"/>
              </w:rPr>
              <w:t>]</w:t>
            </w:r>
          </w:p>
        </w:tc>
        <w:tc>
          <w:tcPr>
            <w:tcW w:w="955" w:type="pct"/>
            <w:vAlign w:val="center"/>
          </w:tcPr>
          <w:p w14:paraId="22024290">
            <w:pPr>
              <w:ind w:firstLine="0" w:firstLineChars="0"/>
              <w:jc w:val="center"/>
              <w:rPr>
                <w:rFonts w:ascii="宋体" w:hAnsi="宋体"/>
                <w:sz w:val="18"/>
                <w:szCs w:val="18"/>
              </w:rPr>
            </w:pPr>
            <w:r>
              <w:rPr>
                <w:rFonts w:ascii="宋体" w:hAnsi="宋体"/>
                <w:sz w:val="18"/>
                <w:szCs w:val="18"/>
              </w:rPr>
              <w:t>460.17[203</w:t>
            </w:r>
            <w:r>
              <w:rPr>
                <w:rFonts w:hint="eastAsia" w:ascii="宋体" w:hAnsi="宋体"/>
                <w:sz w:val="18"/>
                <w:szCs w:val="18"/>
              </w:rPr>
              <w:t>℃</w:t>
            </w:r>
            <w:r>
              <w:rPr>
                <w:rFonts w:ascii="宋体" w:hAnsi="宋体"/>
                <w:sz w:val="18"/>
                <w:szCs w:val="18"/>
              </w:rPr>
              <w:t>]</w:t>
            </w:r>
          </w:p>
        </w:tc>
        <w:tc>
          <w:tcPr>
            <w:tcW w:w="954" w:type="pct"/>
            <w:vAlign w:val="center"/>
          </w:tcPr>
          <w:p w14:paraId="4BC05412">
            <w:pPr>
              <w:ind w:firstLine="0" w:firstLineChars="0"/>
              <w:jc w:val="center"/>
              <w:rPr>
                <w:rFonts w:ascii="宋体" w:hAnsi="宋体"/>
                <w:sz w:val="18"/>
                <w:szCs w:val="18"/>
              </w:rPr>
            </w:pPr>
            <w:r>
              <w:rPr>
                <w:rFonts w:ascii="宋体" w:hAnsi="宋体"/>
                <w:sz w:val="18"/>
                <w:szCs w:val="18"/>
              </w:rPr>
              <w:t>197.24[100</w:t>
            </w:r>
            <w:r>
              <w:rPr>
                <w:rFonts w:hint="eastAsia" w:ascii="宋体" w:hAnsi="宋体"/>
                <w:sz w:val="18"/>
                <w:szCs w:val="18"/>
              </w:rPr>
              <w:t>℃</w:t>
            </w:r>
            <w:r>
              <w:rPr>
                <w:rFonts w:ascii="宋体" w:hAnsi="宋体"/>
                <w:sz w:val="18"/>
                <w:szCs w:val="18"/>
              </w:rPr>
              <w:t>]</w:t>
            </w:r>
          </w:p>
        </w:tc>
      </w:tr>
      <w:tr w14:paraId="573B9B22">
        <w:tblPrEx>
          <w:tblCellMar>
            <w:top w:w="0" w:type="dxa"/>
            <w:left w:w="108" w:type="dxa"/>
            <w:bottom w:w="0" w:type="dxa"/>
            <w:right w:w="108" w:type="dxa"/>
          </w:tblCellMar>
        </w:tblPrEx>
        <w:trPr>
          <w:trHeight w:val="621" w:hRule="atLeast"/>
          <w:jc w:val="center"/>
        </w:trPr>
        <w:tc>
          <w:tcPr>
            <w:tcW w:w="598" w:type="pct"/>
            <w:vMerge w:val="restart"/>
            <w:shd w:val="clear" w:color="auto" w:fill="auto"/>
            <w:vAlign w:val="center"/>
          </w:tcPr>
          <w:p w14:paraId="632D43CC">
            <w:pPr>
              <w:ind w:firstLine="0" w:firstLineChars="0"/>
              <w:jc w:val="center"/>
              <w:rPr>
                <w:rFonts w:ascii="宋体" w:hAnsi="宋体"/>
                <w:sz w:val="18"/>
                <w:szCs w:val="18"/>
              </w:rPr>
            </w:pPr>
            <w:r>
              <w:rPr>
                <w:rFonts w:ascii="宋体" w:hAnsi="宋体"/>
                <w:sz w:val="18"/>
                <w:szCs w:val="18"/>
              </w:rPr>
              <w:t>窑头</w:t>
            </w:r>
          </w:p>
        </w:tc>
        <w:tc>
          <w:tcPr>
            <w:tcW w:w="911" w:type="pct"/>
            <w:shd w:val="clear" w:color="auto" w:fill="auto"/>
            <w:vAlign w:val="center"/>
          </w:tcPr>
          <w:p w14:paraId="5A8EC605">
            <w:pPr>
              <w:ind w:firstLine="0" w:firstLineChars="0"/>
              <w:jc w:val="center"/>
              <w:rPr>
                <w:rFonts w:ascii="宋体" w:hAnsi="宋体"/>
                <w:sz w:val="18"/>
                <w:szCs w:val="18"/>
              </w:rPr>
            </w:pPr>
            <w:r>
              <w:rPr>
                <w:rFonts w:ascii="宋体" w:hAnsi="宋体"/>
                <w:sz w:val="18"/>
                <w:szCs w:val="18"/>
              </w:rPr>
              <w:t>中温排气</w:t>
            </w:r>
          </w:p>
        </w:tc>
        <w:tc>
          <w:tcPr>
            <w:tcW w:w="710" w:type="pct"/>
            <w:shd w:val="clear" w:color="auto" w:fill="auto"/>
            <w:vAlign w:val="center"/>
          </w:tcPr>
          <w:p w14:paraId="324F90A6">
            <w:pPr>
              <w:ind w:firstLine="0" w:firstLineChars="0"/>
              <w:jc w:val="center"/>
              <w:rPr>
                <w:rFonts w:ascii="宋体" w:hAnsi="宋体"/>
                <w:sz w:val="18"/>
                <w:szCs w:val="18"/>
              </w:rPr>
            </w:pPr>
            <w:r>
              <w:rPr>
                <w:rFonts w:ascii="宋体" w:hAnsi="宋体"/>
                <w:sz w:val="18"/>
                <w:szCs w:val="18"/>
              </w:rPr>
              <w:t>含尘空气</w:t>
            </w:r>
          </w:p>
        </w:tc>
        <w:tc>
          <w:tcPr>
            <w:tcW w:w="872" w:type="pct"/>
            <w:vAlign w:val="center"/>
          </w:tcPr>
          <w:p w14:paraId="316CFA2F">
            <w:pPr>
              <w:ind w:firstLine="0" w:firstLineChars="0"/>
              <w:jc w:val="center"/>
              <w:rPr>
                <w:rFonts w:ascii="宋体" w:hAnsi="宋体"/>
                <w:sz w:val="18"/>
                <w:szCs w:val="18"/>
              </w:rPr>
            </w:pPr>
            <w:r>
              <w:rPr>
                <w:rFonts w:ascii="宋体" w:hAnsi="宋体"/>
                <w:sz w:val="18"/>
                <w:szCs w:val="18"/>
              </w:rPr>
              <w:t>443.96[390</w:t>
            </w:r>
            <w:r>
              <w:rPr>
                <w:rFonts w:hint="eastAsia" w:ascii="宋体" w:hAnsi="宋体"/>
                <w:sz w:val="18"/>
                <w:szCs w:val="18"/>
              </w:rPr>
              <w:t>℃</w:t>
            </w:r>
            <w:r>
              <w:rPr>
                <w:rFonts w:ascii="宋体" w:hAnsi="宋体"/>
                <w:sz w:val="18"/>
                <w:szCs w:val="18"/>
              </w:rPr>
              <w:t>]</w:t>
            </w:r>
          </w:p>
        </w:tc>
        <w:tc>
          <w:tcPr>
            <w:tcW w:w="955" w:type="pct"/>
            <w:vAlign w:val="center"/>
          </w:tcPr>
          <w:p w14:paraId="3CC6BAA9">
            <w:pPr>
              <w:ind w:firstLine="0" w:firstLineChars="0"/>
              <w:jc w:val="center"/>
              <w:rPr>
                <w:rFonts w:ascii="宋体" w:hAnsi="宋体"/>
                <w:sz w:val="18"/>
                <w:szCs w:val="18"/>
              </w:rPr>
            </w:pPr>
            <w:r>
              <w:rPr>
                <w:rFonts w:ascii="宋体" w:hAnsi="宋体"/>
                <w:sz w:val="18"/>
                <w:szCs w:val="18"/>
              </w:rPr>
              <w:t>101.99[105</w:t>
            </w:r>
            <w:r>
              <w:rPr>
                <w:rFonts w:hint="eastAsia" w:ascii="宋体" w:hAnsi="宋体"/>
                <w:sz w:val="18"/>
                <w:szCs w:val="18"/>
              </w:rPr>
              <w:t>℃</w:t>
            </w:r>
            <w:r>
              <w:rPr>
                <w:rFonts w:ascii="宋体" w:hAnsi="宋体"/>
                <w:sz w:val="18"/>
                <w:szCs w:val="18"/>
              </w:rPr>
              <w:t>]</w:t>
            </w:r>
          </w:p>
        </w:tc>
        <w:tc>
          <w:tcPr>
            <w:tcW w:w="954" w:type="pct"/>
            <w:vAlign w:val="center"/>
          </w:tcPr>
          <w:p w14:paraId="2EF3BA37">
            <w:pPr>
              <w:ind w:firstLine="0" w:firstLineChars="0"/>
              <w:jc w:val="center"/>
              <w:rPr>
                <w:rFonts w:ascii="宋体" w:hAnsi="宋体"/>
                <w:sz w:val="18"/>
                <w:szCs w:val="18"/>
              </w:rPr>
            </w:pPr>
            <w:r>
              <w:rPr>
                <w:rFonts w:ascii="宋体" w:hAnsi="宋体"/>
                <w:sz w:val="18"/>
                <w:szCs w:val="18"/>
              </w:rPr>
              <w:t>/</w:t>
            </w:r>
          </w:p>
        </w:tc>
      </w:tr>
      <w:tr w14:paraId="40BF2AD5">
        <w:tblPrEx>
          <w:tblCellMar>
            <w:top w:w="0" w:type="dxa"/>
            <w:left w:w="108" w:type="dxa"/>
            <w:bottom w:w="0" w:type="dxa"/>
            <w:right w:w="108" w:type="dxa"/>
          </w:tblCellMar>
        </w:tblPrEx>
        <w:trPr>
          <w:trHeight w:val="355" w:hRule="atLeast"/>
          <w:jc w:val="center"/>
        </w:trPr>
        <w:tc>
          <w:tcPr>
            <w:tcW w:w="598" w:type="pct"/>
            <w:vMerge w:val="continue"/>
            <w:shd w:val="clear" w:color="auto" w:fill="auto"/>
            <w:vAlign w:val="center"/>
          </w:tcPr>
          <w:p w14:paraId="24BB4850">
            <w:pPr>
              <w:ind w:firstLine="0" w:firstLineChars="0"/>
              <w:jc w:val="center"/>
              <w:rPr>
                <w:rFonts w:ascii="宋体" w:hAnsi="宋体"/>
                <w:sz w:val="18"/>
                <w:szCs w:val="18"/>
              </w:rPr>
            </w:pPr>
          </w:p>
        </w:tc>
        <w:tc>
          <w:tcPr>
            <w:tcW w:w="911" w:type="pct"/>
            <w:shd w:val="clear" w:color="auto" w:fill="auto"/>
            <w:vAlign w:val="center"/>
          </w:tcPr>
          <w:p w14:paraId="3FD1DA30">
            <w:pPr>
              <w:ind w:firstLine="0" w:firstLineChars="0"/>
              <w:jc w:val="center"/>
              <w:rPr>
                <w:rFonts w:ascii="宋体" w:hAnsi="宋体"/>
                <w:sz w:val="18"/>
                <w:szCs w:val="18"/>
              </w:rPr>
            </w:pPr>
            <w:r>
              <w:rPr>
                <w:rFonts w:ascii="宋体" w:hAnsi="宋体"/>
                <w:sz w:val="18"/>
                <w:szCs w:val="18"/>
              </w:rPr>
              <w:t>低温排气</w:t>
            </w:r>
          </w:p>
        </w:tc>
        <w:tc>
          <w:tcPr>
            <w:tcW w:w="710" w:type="pct"/>
            <w:shd w:val="clear" w:color="auto" w:fill="auto"/>
            <w:vAlign w:val="center"/>
          </w:tcPr>
          <w:p w14:paraId="70AC34F5">
            <w:pPr>
              <w:ind w:firstLine="0" w:firstLineChars="0"/>
              <w:jc w:val="center"/>
              <w:rPr>
                <w:rFonts w:ascii="宋体" w:hAnsi="宋体"/>
                <w:sz w:val="18"/>
                <w:szCs w:val="18"/>
              </w:rPr>
            </w:pPr>
            <w:r>
              <w:rPr>
                <w:rFonts w:ascii="宋体" w:hAnsi="宋体"/>
                <w:sz w:val="18"/>
                <w:szCs w:val="18"/>
              </w:rPr>
              <w:t>含尘空气</w:t>
            </w:r>
          </w:p>
        </w:tc>
        <w:tc>
          <w:tcPr>
            <w:tcW w:w="2781" w:type="pct"/>
            <w:gridSpan w:val="3"/>
            <w:vAlign w:val="center"/>
          </w:tcPr>
          <w:p w14:paraId="19788CD3">
            <w:pPr>
              <w:ind w:firstLine="0" w:firstLineChars="0"/>
              <w:jc w:val="center"/>
              <w:rPr>
                <w:rFonts w:ascii="宋体" w:hAnsi="宋体"/>
                <w:sz w:val="18"/>
                <w:szCs w:val="18"/>
              </w:rPr>
            </w:pPr>
            <w:r>
              <w:rPr>
                <w:rFonts w:ascii="宋体" w:hAnsi="宋体"/>
                <w:sz w:val="18"/>
                <w:szCs w:val="18"/>
              </w:rPr>
              <w:t>67.24 [150</w:t>
            </w:r>
            <w:r>
              <w:rPr>
                <w:rFonts w:hint="eastAsia" w:ascii="宋体" w:hAnsi="宋体"/>
                <w:sz w:val="18"/>
                <w:szCs w:val="18"/>
              </w:rPr>
              <w:t>℃</w:t>
            </w:r>
            <w:r>
              <w:rPr>
                <w:rFonts w:ascii="宋体" w:hAnsi="宋体"/>
                <w:sz w:val="18"/>
                <w:szCs w:val="18"/>
              </w:rPr>
              <w:t>]</w:t>
            </w:r>
          </w:p>
        </w:tc>
      </w:tr>
      <w:tr w14:paraId="7FCF11D4">
        <w:tblPrEx>
          <w:tblCellMar>
            <w:top w:w="0" w:type="dxa"/>
            <w:left w:w="108" w:type="dxa"/>
            <w:bottom w:w="0" w:type="dxa"/>
            <w:right w:w="108" w:type="dxa"/>
          </w:tblCellMar>
        </w:tblPrEx>
        <w:trPr>
          <w:trHeight w:val="347" w:hRule="atLeast"/>
          <w:jc w:val="center"/>
        </w:trPr>
        <w:tc>
          <w:tcPr>
            <w:tcW w:w="598" w:type="pct"/>
            <w:shd w:val="clear" w:color="auto" w:fill="auto"/>
            <w:vAlign w:val="center"/>
          </w:tcPr>
          <w:p w14:paraId="00DAFF5B">
            <w:pPr>
              <w:ind w:firstLine="0" w:firstLineChars="0"/>
              <w:jc w:val="center"/>
              <w:rPr>
                <w:rFonts w:ascii="宋体" w:hAnsi="宋体"/>
                <w:sz w:val="18"/>
                <w:szCs w:val="18"/>
              </w:rPr>
            </w:pPr>
            <w:r>
              <w:rPr>
                <w:rFonts w:ascii="宋体" w:hAnsi="宋体"/>
                <w:sz w:val="18"/>
                <w:szCs w:val="18"/>
              </w:rPr>
              <w:t>回转窑</w:t>
            </w:r>
          </w:p>
        </w:tc>
        <w:tc>
          <w:tcPr>
            <w:tcW w:w="911" w:type="pct"/>
            <w:shd w:val="clear" w:color="auto" w:fill="auto"/>
            <w:vAlign w:val="center"/>
          </w:tcPr>
          <w:p w14:paraId="6C82EE98">
            <w:pPr>
              <w:ind w:firstLine="0" w:firstLineChars="0"/>
              <w:jc w:val="center"/>
              <w:rPr>
                <w:rFonts w:ascii="宋体" w:hAnsi="宋体"/>
                <w:sz w:val="18"/>
                <w:szCs w:val="18"/>
              </w:rPr>
            </w:pPr>
            <w:r>
              <w:rPr>
                <w:rFonts w:ascii="宋体" w:hAnsi="宋体"/>
                <w:sz w:val="18"/>
                <w:szCs w:val="18"/>
              </w:rPr>
              <w:t>外壁面辐射</w:t>
            </w:r>
          </w:p>
        </w:tc>
        <w:tc>
          <w:tcPr>
            <w:tcW w:w="710" w:type="pct"/>
            <w:shd w:val="clear" w:color="auto" w:fill="auto"/>
            <w:vAlign w:val="center"/>
          </w:tcPr>
          <w:p w14:paraId="76082152">
            <w:pPr>
              <w:ind w:firstLine="0" w:firstLineChars="0"/>
              <w:jc w:val="center"/>
              <w:rPr>
                <w:rFonts w:ascii="宋体" w:hAnsi="宋体"/>
                <w:sz w:val="18"/>
                <w:szCs w:val="18"/>
              </w:rPr>
            </w:pPr>
            <w:r>
              <w:rPr>
                <w:rFonts w:ascii="宋体" w:hAnsi="宋体"/>
                <w:sz w:val="18"/>
                <w:szCs w:val="18"/>
              </w:rPr>
              <w:t>铁壁面</w:t>
            </w:r>
          </w:p>
        </w:tc>
        <w:tc>
          <w:tcPr>
            <w:tcW w:w="2781" w:type="pct"/>
            <w:gridSpan w:val="3"/>
            <w:vAlign w:val="center"/>
          </w:tcPr>
          <w:p w14:paraId="30F345F2">
            <w:pPr>
              <w:ind w:firstLine="0" w:firstLineChars="0"/>
              <w:jc w:val="center"/>
              <w:rPr>
                <w:rFonts w:ascii="宋体" w:hAnsi="宋体"/>
                <w:sz w:val="18"/>
                <w:szCs w:val="18"/>
              </w:rPr>
            </w:pPr>
            <w:r>
              <w:rPr>
                <w:rFonts w:ascii="宋体" w:hAnsi="宋体"/>
                <w:sz w:val="18"/>
                <w:szCs w:val="18"/>
              </w:rPr>
              <w:t>135.50 [300</w:t>
            </w:r>
            <w:r>
              <w:rPr>
                <w:rFonts w:hint="eastAsia" w:ascii="宋体" w:hAnsi="宋体"/>
                <w:sz w:val="18"/>
                <w:szCs w:val="18"/>
              </w:rPr>
              <w:t>℃</w:t>
            </w:r>
            <w:r>
              <w:rPr>
                <w:rFonts w:ascii="宋体" w:hAnsi="宋体"/>
                <w:sz w:val="18"/>
                <w:szCs w:val="18"/>
              </w:rPr>
              <w:t>]</w:t>
            </w:r>
          </w:p>
        </w:tc>
      </w:tr>
      <w:tr w14:paraId="7E06AD78">
        <w:tblPrEx>
          <w:tblCellMar>
            <w:top w:w="0" w:type="dxa"/>
            <w:left w:w="108" w:type="dxa"/>
            <w:bottom w:w="0" w:type="dxa"/>
            <w:right w:w="108" w:type="dxa"/>
          </w:tblCellMar>
        </w:tblPrEx>
        <w:trPr>
          <w:trHeight w:val="55" w:hRule="atLeast"/>
          <w:jc w:val="center"/>
        </w:trPr>
        <w:tc>
          <w:tcPr>
            <w:tcW w:w="598" w:type="pct"/>
            <w:shd w:val="clear" w:color="auto" w:fill="auto"/>
            <w:vAlign w:val="center"/>
          </w:tcPr>
          <w:p w14:paraId="45EBE5B4">
            <w:pPr>
              <w:ind w:firstLine="0" w:firstLineChars="0"/>
              <w:jc w:val="center"/>
              <w:rPr>
                <w:rFonts w:ascii="宋体" w:hAnsi="宋体"/>
                <w:sz w:val="18"/>
                <w:szCs w:val="18"/>
              </w:rPr>
            </w:pPr>
            <w:r>
              <w:rPr>
                <w:rFonts w:ascii="宋体" w:hAnsi="宋体"/>
                <w:sz w:val="18"/>
                <w:szCs w:val="18"/>
              </w:rPr>
              <w:t>发电机</w:t>
            </w:r>
          </w:p>
        </w:tc>
        <w:tc>
          <w:tcPr>
            <w:tcW w:w="911" w:type="pct"/>
            <w:shd w:val="clear" w:color="auto" w:fill="auto"/>
            <w:vAlign w:val="center"/>
          </w:tcPr>
          <w:p w14:paraId="05D8159E">
            <w:pPr>
              <w:ind w:firstLine="0" w:firstLineChars="0"/>
              <w:jc w:val="center"/>
              <w:rPr>
                <w:rFonts w:ascii="宋体" w:hAnsi="宋体"/>
                <w:sz w:val="18"/>
                <w:szCs w:val="18"/>
              </w:rPr>
            </w:pPr>
            <w:r>
              <w:rPr>
                <w:rFonts w:ascii="宋体" w:hAnsi="宋体"/>
                <w:sz w:val="18"/>
                <w:szCs w:val="18"/>
              </w:rPr>
              <w:t>出口乏汽</w:t>
            </w:r>
          </w:p>
        </w:tc>
        <w:tc>
          <w:tcPr>
            <w:tcW w:w="710" w:type="pct"/>
            <w:shd w:val="clear" w:color="auto" w:fill="auto"/>
            <w:vAlign w:val="center"/>
          </w:tcPr>
          <w:p w14:paraId="4DC1FF1A">
            <w:pPr>
              <w:ind w:firstLine="0" w:firstLineChars="0"/>
              <w:jc w:val="center"/>
              <w:rPr>
                <w:rFonts w:ascii="宋体" w:hAnsi="宋体"/>
                <w:sz w:val="18"/>
                <w:szCs w:val="18"/>
              </w:rPr>
            </w:pPr>
            <w:r>
              <w:rPr>
                <w:rFonts w:ascii="宋体" w:hAnsi="宋体"/>
                <w:sz w:val="18"/>
                <w:szCs w:val="18"/>
              </w:rPr>
              <w:t>饱和蒸汽</w:t>
            </w:r>
          </w:p>
        </w:tc>
        <w:tc>
          <w:tcPr>
            <w:tcW w:w="872" w:type="pct"/>
            <w:vAlign w:val="center"/>
          </w:tcPr>
          <w:p w14:paraId="266464D5">
            <w:pPr>
              <w:ind w:firstLine="0" w:firstLineChars="0"/>
              <w:jc w:val="center"/>
              <w:rPr>
                <w:rFonts w:ascii="宋体" w:hAnsi="宋体"/>
                <w:sz w:val="18"/>
                <w:szCs w:val="18"/>
              </w:rPr>
            </w:pPr>
            <w:r>
              <w:rPr>
                <w:rFonts w:ascii="宋体" w:hAnsi="宋体"/>
                <w:sz w:val="18"/>
                <w:szCs w:val="18"/>
              </w:rPr>
              <w:t>/</w:t>
            </w:r>
          </w:p>
        </w:tc>
        <w:tc>
          <w:tcPr>
            <w:tcW w:w="1909" w:type="pct"/>
            <w:gridSpan w:val="2"/>
            <w:vAlign w:val="center"/>
          </w:tcPr>
          <w:p w14:paraId="747D17CB">
            <w:pPr>
              <w:ind w:firstLine="0" w:firstLineChars="0"/>
              <w:jc w:val="center"/>
              <w:rPr>
                <w:rFonts w:ascii="宋体" w:hAnsi="宋体"/>
                <w:sz w:val="18"/>
                <w:szCs w:val="18"/>
              </w:rPr>
            </w:pPr>
            <w:r>
              <w:rPr>
                <w:rFonts w:ascii="宋体" w:hAnsi="宋体"/>
                <w:sz w:val="18"/>
                <w:szCs w:val="18"/>
              </w:rPr>
              <w:t>570.89 [45</w:t>
            </w:r>
            <w:r>
              <w:rPr>
                <w:rFonts w:hint="eastAsia" w:ascii="宋体" w:hAnsi="宋体"/>
                <w:sz w:val="18"/>
                <w:szCs w:val="18"/>
              </w:rPr>
              <w:t>℃</w:t>
            </w:r>
            <w:r>
              <w:rPr>
                <w:rFonts w:ascii="宋体" w:hAnsi="宋体"/>
                <w:sz w:val="18"/>
                <w:szCs w:val="18"/>
              </w:rPr>
              <w:t>]</w:t>
            </w:r>
          </w:p>
        </w:tc>
      </w:tr>
      <w:tr w14:paraId="76998254">
        <w:tblPrEx>
          <w:tblCellMar>
            <w:top w:w="0" w:type="dxa"/>
            <w:left w:w="108" w:type="dxa"/>
            <w:bottom w:w="0" w:type="dxa"/>
            <w:right w:w="108" w:type="dxa"/>
          </w:tblCellMar>
        </w:tblPrEx>
        <w:trPr>
          <w:trHeight w:val="355" w:hRule="atLeast"/>
          <w:jc w:val="center"/>
        </w:trPr>
        <w:tc>
          <w:tcPr>
            <w:tcW w:w="598" w:type="pct"/>
            <w:tcBorders>
              <w:bottom w:val="single" w:color="auto" w:sz="4" w:space="0"/>
            </w:tcBorders>
            <w:shd w:val="clear" w:color="auto" w:fill="auto"/>
            <w:vAlign w:val="center"/>
          </w:tcPr>
          <w:p w14:paraId="6139D5FE">
            <w:pPr>
              <w:ind w:firstLine="0" w:firstLineChars="0"/>
              <w:jc w:val="center"/>
              <w:rPr>
                <w:rFonts w:ascii="宋体" w:hAnsi="宋体"/>
                <w:sz w:val="18"/>
                <w:szCs w:val="18"/>
              </w:rPr>
            </w:pPr>
            <w:r>
              <w:rPr>
                <w:rFonts w:ascii="宋体" w:hAnsi="宋体"/>
                <w:sz w:val="18"/>
                <w:szCs w:val="18"/>
              </w:rPr>
              <w:t>合计</w:t>
            </w:r>
          </w:p>
        </w:tc>
        <w:tc>
          <w:tcPr>
            <w:tcW w:w="911" w:type="pct"/>
            <w:tcBorders>
              <w:bottom w:val="single" w:color="auto" w:sz="4" w:space="0"/>
            </w:tcBorders>
            <w:shd w:val="clear" w:color="auto" w:fill="auto"/>
            <w:vAlign w:val="center"/>
          </w:tcPr>
          <w:p w14:paraId="02D365CA">
            <w:pPr>
              <w:ind w:firstLine="0" w:firstLineChars="0"/>
              <w:jc w:val="center"/>
              <w:rPr>
                <w:rFonts w:ascii="宋体" w:hAnsi="宋体"/>
                <w:sz w:val="18"/>
                <w:szCs w:val="18"/>
              </w:rPr>
            </w:pPr>
          </w:p>
        </w:tc>
        <w:tc>
          <w:tcPr>
            <w:tcW w:w="710" w:type="pct"/>
            <w:tcBorders>
              <w:bottom w:val="single" w:color="auto" w:sz="4" w:space="0"/>
            </w:tcBorders>
            <w:shd w:val="clear" w:color="auto" w:fill="auto"/>
            <w:vAlign w:val="center"/>
          </w:tcPr>
          <w:p w14:paraId="02F4BB2C">
            <w:pPr>
              <w:ind w:firstLine="0" w:firstLineChars="0"/>
              <w:jc w:val="center"/>
              <w:rPr>
                <w:rFonts w:ascii="宋体" w:hAnsi="宋体"/>
                <w:sz w:val="18"/>
                <w:szCs w:val="18"/>
              </w:rPr>
            </w:pPr>
          </w:p>
        </w:tc>
        <w:tc>
          <w:tcPr>
            <w:tcW w:w="872" w:type="pct"/>
            <w:tcBorders>
              <w:bottom w:val="single" w:color="auto" w:sz="4" w:space="0"/>
            </w:tcBorders>
            <w:vAlign w:val="center"/>
          </w:tcPr>
          <w:p w14:paraId="01BD30BA">
            <w:pPr>
              <w:ind w:firstLine="0" w:firstLineChars="0"/>
              <w:jc w:val="center"/>
              <w:rPr>
                <w:rFonts w:ascii="宋体" w:hAnsi="宋体"/>
                <w:sz w:val="18"/>
                <w:szCs w:val="18"/>
              </w:rPr>
            </w:pPr>
            <w:r>
              <w:rPr>
                <w:rFonts w:ascii="宋体" w:hAnsi="宋体"/>
                <w:sz w:val="18"/>
                <w:szCs w:val="18"/>
              </w:rPr>
              <w:t>1478.51</w:t>
            </w:r>
          </w:p>
        </w:tc>
        <w:tc>
          <w:tcPr>
            <w:tcW w:w="955" w:type="pct"/>
            <w:tcBorders>
              <w:bottom w:val="single" w:color="auto" w:sz="4" w:space="0"/>
            </w:tcBorders>
            <w:vAlign w:val="center"/>
          </w:tcPr>
          <w:p w14:paraId="5202FA59">
            <w:pPr>
              <w:ind w:firstLine="0" w:firstLineChars="0"/>
              <w:jc w:val="center"/>
              <w:rPr>
                <w:rFonts w:ascii="宋体" w:hAnsi="宋体"/>
                <w:sz w:val="18"/>
                <w:szCs w:val="18"/>
              </w:rPr>
            </w:pPr>
            <w:r>
              <w:rPr>
                <w:rFonts w:ascii="宋体" w:hAnsi="宋体"/>
                <w:sz w:val="18"/>
                <w:szCs w:val="18"/>
              </w:rPr>
              <w:t>1281.79</w:t>
            </w:r>
          </w:p>
        </w:tc>
        <w:tc>
          <w:tcPr>
            <w:tcW w:w="954" w:type="pct"/>
            <w:tcBorders>
              <w:bottom w:val="single" w:color="auto" w:sz="4" w:space="0"/>
            </w:tcBorders>
            <w:vAlign w:val="center"/>
          </w:tcPr>
          <w:p w14:paraId="574B160B">
            <w:pPr>
              <w:ind w:firstLine="0" w:firstLineChars="0"/>
              <w:jc w:val="center"/>
              <w:rPr>
                <w:rFonts w:ascii="宋体" w:hAnsi="宋体"/>
                <w:sz w:val="18"/>
                <w:szCs w:val="18"/>
              </w:rPr>
            </w:pPr>
            <w:r>
              <w:rPr>
                <w:rFonts w:ascii="宋体" w:hAnsi="宋体"/>
                <w:sz w:val="18"/>
                <w:szCs w:val="18"/>
              </w:rPr>
              <w:t>1072.86</w:t>
            </w:r>
          </w:p>
        </w:tc>
      </w:tr>
    </w:tbl>
    <w:p w14:paraId="67E0C4A8">
      <w:pPr>
        <w:spacing w:line="240" w:lineRule="auto"/>
        <w:ind w:firstLine="0" w:firstLineChars="0"/>
        <w:outlineLvl w:val="0"/>
        <w:rPr>
          <w:rFonts w:ascii="仿宋_GB2312" w:eastAsia="仿宋_GB2312"/>
          <w:b/>
          <w:bCs/>
          <w:sz w:val="32"/>
          <w:szCs w:val="32"/>
        </w:rPr>
      </w:pPr>
      <w:r>
        <w:rPr>
          <w:rFonts w:hint="eastAsia" w:ascii="仿宋_GB2312" w:eastAsia="仿宋_GB2312"/>
          <w:b/>
          <w:bCs/>
          <w:sz w:val="32"/>
          <w:szCs w:val="32"/>
        </w:rPr>
        <w:t>六、重大意见分歧的处理依据和结果；</w:t>
      </w:r>
    </w:p>
    <w:p w14:paraId="3888A4D6">
      <w:pPr>
        <w:ind w:firstLine="560"/>
        <w:rPr>
          <w:rFonts w:ascii="仿宋_GB2312" w:eastAsia="仿宋_GB2312"/>
          <w:sz w:val="32"/>
          <w:szCs w:val="32"/>
        </w:rPr>
      </w:pPr>
      <w:r>
        <w:rPr>
          <w:rFonts w:hint="eastAsia"/>
        </w:rPr>
        <w:t>在征求意见阶段无重大分歧。</w:t>
      </w:r>
    </w:p>
    <w:p w14:paraId="34E55206">
      <w:pPr>
        <w:spacing w:line="240" w:lineRule="auto"/>
        <w:ind w:firstLineChars="0"/>
        <w:outlineLvl w:val="0"/>
        <w:rPr>
          <w:rFonts w:ascii="仿宋_GB2312" w:eastAsia="仿宋_GB2312"/>
          <w:b/>
          <w:bCs/>
          <w:sz w:val="32"/>
          <w:szCs w:val="32"/>
        </w:rPr>
      </w:pPr>
      <w:r>
        <w:rPr>
          <w:rFonts w:hint="eastAsia" w:ascii="仿宋_GB2312" w:eastAsia="仿宋_GB2312"/>
          <w:b/>
          <w:bCs/>
          <w:sz w:val="32"/>
          <w:szCs w:val="32"/>
        </w:rPr>
        <w:t>七、采用国际标准或国外先进标准的，说明采标程度，以及国内外同类标准水平的对比情况；</w:t>
      </w:r>
    </w:p>
    <w:p w14:paraId="08065490">
      <w:pPr>
        <w:ind w:firstLine="560"/>
      </w:pPr>
      <w:r>
        <w:rPr>
          <w:rFonts w:hint="eastAsia"/>
        </w:rPr>
        <w:t>未采用国际标准或国外先进标准。</w:t>
      </w:r>
    </w:p>
    <w:p w14:paraId="5C8886B8">
      <w:pPr>
        <w:spacing w:line="240" w:lineRule="auto"/>
        <w:ind w:firstLine="0" w:firstLineChars="0"/>
        <w:outlineLvl w:val="0"/>
        <w:rPr>
          <w:rFonts w:ascii="仿宋_GB2312" w:eastAsia="仿宋_GB2312"/>
          <w:b/>
          <w:bCs/>
          <w:sz w:val="32"/>
          <w:szCs w:val="32"/>
        </w:rPr>
      </w:pPr>
      <w:r>
        <w:rPr>
          <w:rFonts w:hint="eastAsia" w:ascii="仿宋_GB2312" w:eastAsia="仿宋_GB2312"/>
          <w:b/>
          <w:bCs/>
          <w:sz w:val="32"/>
          <w:szCs w:val="32"/>
        </w:rPr>
        <w:t>八、推广实施（包括实施措施；实施方向，如以标准为依据开展的产业推进、行业管理等有关活动）</w:t>
      </w:r>
    </w:p>
    <w:p w14:paraId="1CBDD3DC">
      <w:pPr>
        <w:ind w:firstLine="560"/>
      </w:pPr>
      <w:r>
        <w:rPr>
          <w:rFonts w:hint="eastAsia"/>
        </w:rPr>
        <w:t>2</w:t>
      </w:r>
      <w:r>
        <w:t>012</w:t>
      </w:r>
      <w:r>
        <w:rPr>
          <w:rFonts w:hint="eastAsia"/>
        </w:rPr>
        <w:t>年赤峰金剑铜业利用低品位工业余热填补了1</w:t>
      </w:r>
      <w:r>
        <w:t>00</w:t>
      </w:r>
      <w:r>
        <w:rPr>
          <w:rFonts w:hint="eastAsia"/>
        </w:rPr>
        <w:t>多万m</w:t>
      </w:r>
      <w:r>
        <w:rPr>
          <w:vertAlign w:val="superscript"/>
        </w:rPr>
        <w:t>2</w:t>
      </w:r>
      <w:r>
        <w:rPr>
          <w:rFonts w:hint="eastAsia"/>
        </w:rPr>
        <w:t>的供热缺口，2</w:t>
      </w:r>
      <w:r>
        <w:t>019</w:t>
      </w:r>
      <w:r>
        <w:rPr>
          <w:rFonts w:hint="eastAsia"/>
        </w:rPr>
        <w:t>年远联钢铁厂利用高炉余热解决了4</w:t>
      </w:r>
      <w:r>
        <w:t>5</w:t>
      </w:r>
      <w:r>
        <w:rPr>
          <w:rFonts w:hint="eastAsia"/>
        </w:rPr>
        <w:t>万m</w:t>
      </w:r>
      <w:r>
        <w:rPr>
          <w:vertAlign w:val="superscript"/>
        </w:rPr>
        <w:t>2</w:t>
      </w:r>
      <w:r>
        <w:rPr>
          <w:rFonts w:hint="eastAsia"/>
        </w:rPr>
        <w:t>，若回收全部余热预计可解决2</w:t>
      </w:r>
      <w:r>
        <w:t>00</w:t>
      </w:r>
      <w:r>
        <w:rPr>
          <w:rFonts w:hint="eastAsia"/>
        </w:rPr>
        <w:t>万m</w:t>
      </w:r>
      <w:r>
        <w:rPr>
          <w:vertAlign w:val="superscript"/>
        </w:rPr>
        <w:t>2</w:t>
      </w:r>
      <w:r>
        <w:rPr>
          <w:rFonts w:hint="eastAsia"/>
        </w:rPr>
        <w:t>，有效降低了供热碳排放，缓解了冬季采暖面临供热热源紧缺问题。</w:t>
      </w:r>
    </w:p>
    <w:p w14:paraId="55F1DC30">
      <w:pPr>
        <w:ind w:firstLine="560"/>
      </w:pPr>
      <w:r>
        <w:rPr>
          <w:rFonts w:hint="eastAsia"/>
        </w:rPr>
        <w:t>赤峰东山工业</w:t>
      </w:r>
      <w:r>
        <w:t>园区</w:t>
      </w:r>
      <w:r>
        <w:rPr>
          <w:rFonts w:hint="eastAsia"/>
        </w:rPr>
        <w:t>目前</w:t>
      </w:r>
      <w:r>
        <w:t>投运两家工业企业，分别为云铜铜业、金通铜业</w:t>
      </w:r>
      <w:r>
        <w:rPr>
          <w:rFonts w:hint="eastAsia"/>
        </w:rPr>
        <w:t>，目前正在开展这两家工业企业的低品位工业余热回收利用，已经利用此估算方法估算出两工业余热总量，预计每年可利用低品位工业余热3</w:t>
      </w:r>
      <w:r>
        <w:t>00</w:t>
      </w:r>
      <w:r>
        <w:rPr>
          <w:rFonts w:hint="eastAsia"/>
        </w:rPr>
        <w:t>万GJ。未来将新建更多工业企业，本标准的实施，可以帮助相关部门对赤峰市余热资源总量进行估算，提出相关政策，根据需求整合利用这部分资源。此外本标准的实施还有助于供热企业、工业企业对低品位工业余热利用方案的制定。</w:t>
      </w:r>
    </w:p>
    <w:p w14:paraId="7CA5392D">
      <w:pPr>
        <w:spacing w:line="240" w:lineRule="auto"/>
        <w:ind w:firstLine="0" w:firstLineChars="0"/>
        <w:outlineLvl w:val="0"/>
        <w:rPr>
          <w:rFonts w:ascii="仿宋_GB2312" w:eastAsia="仿宋_GB2312"/>
          <w:b/>
          <w:bCs/>
          <w:sz w:val="32"/>
          <w:szCs w:val="32"/>
        </w:rPr>
      </w:pPr>
      <w:r>
        <w:rPr>
          <w:rFonts w:hint="eastAsia" w:ascii="仿宋_GB2312" w:eastAsia="仿宋_GB2312"/>
          <w:b/>
          <w:bCs/>
          <w:sz w:val="32"/>
          <w:szCs w:val="32"/>
        </w:rPr>
        <w:t>九、其他应说明的事项。</w:t>
      </w:r>
    </w:p>
    <w:p w14:paraId="283CB56C">
      <w:pPr>
        <w:ind w:firstLine="560"/>
      </w:pPr>
      <w:r>
        <w:rPr>
          <w:rFonts w:hint="eastAsia"/>
        </w:rPr>
        <w:t>无其他说明事项。</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Microsoft YaHei UI">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MS Song">
    <w:altName w:val="宋体"/>
    <w:panose1 w:val="00000000000000000000"/>
    <w:charset w:val="86"/>
    <w:family w:val="modern"/>
    <w:pitch w:val="default"/>
    <w:sig w:usb0="00000000" w:usb1="00000000" w:usb2="0000001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方正小标宋简体">
    <w:altName w:val="黑体"/>
    <w:panose1 w:val="00000000000000000000"/>
    <w:charset w:val="86"/>
    <w:family w:val="script"/>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50358F"/>
    <w:multiLevelType w:val="multilevel"/>
    <w:tmpl w:val="3350358F"/>
    <w:lvl w:ilvl="0" w:tentative="0">
      <w:start w:val="1"/>
      <w:numFmt w:val="decimal"/>
      <w:pStyle w:val="114"/>
      <w:lvlText w:val="[%1]"/>
      <w:lvlJc w:val="left"/>
      <w:pPr>
        <w:tabs>
          <w:tab w:val="left" w:pos="755"/>
        </w:tabs>
        <w:ind w:left="755" w:hanging="56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E0433D2"/>
    <w:multiLevelType w:val="multilevel"/>
    <w:tmpl w:val="4E0433D2"/>
    <w:lvl w:ilvl="0" w:tentative="0">
      <w:start w:val="1"/>
      <w:numFmt w:val="decimal"/>
      <w:suff w:val="nothing"/>
      <w:lvlText w:val="第%1章"/>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7"/>
      <w:suff w:val="nothing"/>
      <w:lvlText w:val=""/>
      <w:lvlJc w:val="left"/>
      <w:pPr>
        <w:ind w:left="0" w:firstLine="0"/>
      </w:pPr>
      <w:rPr>
        <w:rFonts w:hint="eastAsia"/>
      </w:rPr>
    </w:lvl>
    <w:lvl w:ilvl="6" w:tentative="0">
      <w:start w:val="1"/>
      <w:numFmt w:val="none"/>
      <w:pStyle w:val="8"/>
      <w:suff w:val="nothing"/>
      <w:lvlText w:val=""/>
      <w:lvlJc w:val="left"/>
      <w:pPr>
        <w:ind w:left="0" w:firstLine="0"/>
      </w:pPr>
      <w:rPr>
        <w:rFonts w:hint="eastAsia"/>
      </w:rPr>
    </w:lvl>
    <w:lvl w:ilvl="7" w:tentative="0">
      <w:start w:val="1"/>
      <w:numFmt w:val="none"/>
      <w:pStyle w:val="9"/>
      <w:suff w:val="nothing"/>
      <w:lvlText w:val=""/>
      <w:lvlJc w:val="left"/>
      <w:pPr>
        <w:ind w:left="0" w:firstLine="0"/>
      </w:pPr>
      <w:rPr>
        <w:rFonts w:hint="eastAsia"/>
      </w:rPr>
    </w:lvl>
    <w:lvl w:ilvl="8" w:tentative="0">
      <w:start w:val="1"/>
      <w:numFmt w:val="none"/>
      <w:pStyle w:val="10"/>
      <w:suff w:val="nothing"/>
      <w:lvlText w:val=""/>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mZDI3MjI4NDUxZjhhZDM5MjY0ZGY3MDgyMjc2MTcifQ=="/>
  </w:docVars>
  <w:rsids>
    <w:rsidRoot w:val="003C47B7"/>
    <w:rsid w:val="00000D8C"/>
    <w:rsid w:val="0011764A"/>
    <w:rsid w:val="0018410E"/>
    <w:rsid w:val="001C798F"/>
    <w:rsid w:val="00222B35"/>
    <w:rsid w:val="002856B8"/>
    <w:rsid w:val="002D2A52"/>
    <w:rsid w:val="002F241E"/>
    <w:rsid w:val="00310276"/>
    <w:rsid w:val="003374F6"/>
    <w:rsid w:val="003724B1"/>
    <w:rsid w:val="003A64C4"/>
    <w:rsid w:val="003C47B7"/>
    <w:rsid w:val="003F31DD"/>
    <w:rsid w:val="00407F5C"/>
    <w:rsid w:val="00417347"/>
    <w:rsid w:val="00423512"/>
    <w:rsid w:val="004B72F5"/>
    <w:rsid w:val="004C3B8B"/>
    <w:rsid w:val="004E6906"/>
    <w:rsid w:val="005A7736"/>
    <w:rsid w:val="005C3E12"/>
    <w:rsid w:val="005D2B87"/>
    <w:rsid w:val="006478CF"/>
    <w:rsid w:val="006D704D"/>
    <w:rsid w:val="00704877"/>
    <w:rsid w:val="00722231"/>
    <w:rsid w:val="007329C7"/>
    <w:rsid w:val="0078237C"/>
    <w:rsid w:val="007834B4"/>
    <w:rsid w:val="007910CC"/>
    <w:rsid w:val="007C776E"/>
    <w:rsid w:val="007E3FED"/>
    <w:rsid w:val="007F3F78"/>
    <w:rsid w:val="007F456A"/>
    <w:rsid w:val="00804366"/>
    <w:rsid w:val="00831C21"/>
    <w:rsid w:val="0085353A"/>
    <w:rsid w:val="00893323"/>
    <w:rsid w:val="008B2A3F"/>
    <w:rsid w:val="008D1616"/>
    <w:rsid w:val="008E4626"/>
    <w:rsid w:val="009237A6"/>
    <w:rsid w:val="009B1024"/>
    <w:rsid w:val="009E5302"/>
    <w:rsid w:val="00A069CE"/>
    <w:rsid w:val="00A14044"/>
    <w:rsid w:val="00A70A80"/>
    <w:rsid w:val="00AA4F79"/>
    <w:rsid w:val="00AA5DFB"/>
    <w:rsid w:val="00B5205C"/>
    <w:rsid w:val="00B53573"/>
    <w:rsid w:val="00C07670"/>
    <w:rsid w:val="00C502F7"/>
    <w:rsid w:val="00C946F2"/>
    <w:rsid w:val="00C9775F"/>
    <w:rsid w:val="00C97F70"/>
    <w:rsid w:val="00CA3EA9"/>
    <w:rsid w:val="00D31AFA"/>
    <w:rsid w:val="00DB59D2"/>
    <w:rsid w:val="00DD219E"/>
    <w:rsid w:val="00DD3E98"/>
    <w:rsid w:val="00DF64AE"/>
    <w:rsid w:val="00E00367"/>
    <w:rsid w:val="00E01DA3"/>
    <w:rsid w:val="00E3796C"/>
    <w:rsid w:val="00E37C02"/>
    <w:rsid w:val="00E6779A"/>
    <w:rsid w:val="00E67975"/>
    <w:rsid w:val="00EA69AF"/>
    <w:rsid w:val="00EE4C66"/>
    <w:rsid w:val="00F111BB"/>
    <w:rsid w:val="00F63EBB"/>
    <w:rsid w:val="099E00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semiHidden="0" w:name="annotation text"/>
    <w:lsdException w:qFormat="1" w:uiPriority="99"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unhideWhenUsed="0" w:uiPriority="0" w:semiHidden="0" w:name="page number"/>
    <w:lsdException w:qFormat="1" w:uiPriority="0" w:semiHidden="0" w:name="endnote reference"/>
    <w:lsdException w:qFormat="1"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60" w:lineRule="exact"/>
      <w:ind w:firstLine="200" w:firstLineChars="200"/>
      <w:jc w:val="both"/>
    </w:pPr>
    <w:rPr>
      <w:rFonts w:ascii="Times New Roman" w:hAnsi="Times New Roman" w:eastAsia="宋体" w:cs="Times New Roman"/>
      <w:kern w:val="0"/>
      <w:sz w:val="28"/>
      <w:szCs w:val="20"/>
      <w:lang w:val="en-US" w:eastAsia="zh-CN" w:bidi="ar-SA"/>
    </w:rPr>
  </w:style>
  <w:style w:type="paragraph" w:styleId="2">
    <w:name w:val="heading 1"/>
    <w:basedOn w:val="1"/>
    <w:next w:val="1"/>
    <w:link w:val="40"/>
    <w:qFormat/>
    <w:uiPriority w:val="9"/>
    <w:pPr>
      <w:keepNext/>
      <w:keepLines/>
      <w:widowControl w:val="0"/>
      <w:spacing w:before="340" w:after="330" w:line="578" w:lineRule="auto"/>
      <w:ind w:firstLine="0" w:firstLineChars="0"/>
      <w:outlineLvl w:val="0"/>
    </w:pPr>
    <w:rPr>
      <w:rFonts w:asciiTheme="minorHAnsi" w:hAnsiTheme="minorHAnsi" w:cstheme="minorBidi"/>
      <w:b/>
      <w:bCs/>
      <w:kern w:val="44"/>
      <w:sz w:val="44"/>
      <w:szCs w:val="44"/>
    </w:rPr>
  </w:style>
  <w:style w:type="paragraph" w:styleId="3">
    <w:name w:val="heading 2"/>
    <w:basedOn w:val="1"/>
    <w:next w:val="1"/>
    <w:link w:val="41"/>
    <w:unhideWhenUsed/>
    <w:qFormat/>
    <w:uiPriority w:val="9"/>
    <w:pPr>
      <w:keepNext/>
      <w:keepLines/>
      <w:ind w:firstLine="0" w:firstLineChars="0"/>
      <w:jc w:val="left"/>
      <w:outlineLvl w:val="1"/>
    </w:pPr>
    <w:rPr>
      <w:rFonts w:eastAsia="黑体" w:cstheme="majorBidi"/>
      <w:bCs/>
      <w:kern w:val="2"/>
      <w:szCs w:val="32"/>
    </w:rPr>
  </w:style>
  <w:style w:type="paragraph" w:styleId="4">
    <w:name w:val="heading 3"/>
    <w:basedOn w:val="1"/>
    <w:next w:val="1"/>
    <w:link w:val="42"/>
    <w:unhideWhenUsed/>
    <w:qFormat/>
    <w:uiPriority w:val="9"/>
    <w:pPr>
      <w:widowControl w:val="0"/>
      <w:snapToGrid w:val="0"/>
      <w:spacing w:line="240" w:lineRule="auto"/>
      <w:ind w:firstLine="0" w:firstLineChars="0"/>
      <w:outlineLvl w:val="2"/>
    </w:pPr>
    <w:rPr>
      <w:rFonts w:eastAsia="黑体" w:cs="宋体"/>
      <w:bCs/>
      <w:color w:val="000000" w:themeColor="text1"/>
      <w:sz w:val="24"/>
      <w:szCs w:val="22"/>
      <w14:textFill>
        <w14:solidFill>
          <w14:schemeClr w14:val="tx1"/>
        </w14:solidFill>
      </w14:textFill>
    </w:rPr>
  </w:style>
  <w:style w:type="paragraph" w:styleId="5">
    <w:name w:val="heading 4"/>
    <w:basedOn w:val="1"/>
    <w:next w:val="1"/>
    <w:link w:val="43"/>
    <w:unhideWhenUsed/>
    <w:qFormat/>
    <w:uiPriority w:val="9"/>
    <w:pPr>
      <w:keepNext/>
      <w:keepLines/>
      <w:spacing w:before="280" w:after="290" w:line="376" w:lineRule="atLeast"/>
      <w:outlineLvl w:val="3"/>
    </w:pPr>
    <w:rPr>
      <w:rFonts w:asciiTheme="majorHAnsi" w:hAnsiTheme="majorHAnsi" w:eastAsiaTheme="majorEastAsia" w:cstheme="majorBidi"/>
      <w:b/>
      <w:bCs/>
      <w:szCs w:val="28"/>
    </w:rPr>
  </w:style>
  <w:style w:type="paragraph" w:styleId="6">
    <w:name w:val="heading 5"/>
    <w:basedOn w:val="1"/>
    <w:next w:val="1"/>
    <w:link w:val="44"/>
    <w:unhideWhenUsed/>
    <w:qFormat/>
    <w:uiPriority w:val="9"/>
    <w:pPr>
      <w:keepNext/>
      <w:keepLines/>
      <w:widowControl w:val="0"/>
      <w:numPr>
        <w:ilvl w:val="4"/>
        <w:numId w:val="1"/>
      </w:numPr>
      <w:spacing w:before="280" w:after="290" w:line="376" w:lineRule="auto"/>
      <w:outlineLvl w:val="4"/>
    </w:pPr>
    <w:rPr>
      <w:b/>
      <w:bCs/>
      <w:kern w:val="2"/>
      <w:szCs w:val="28"/>
    </w:rPr>
  </w:style>
  <w:style w:type="paragraph" w:styleId="7">
    <w:name w:val="heading 6"/>
    <w:basedOn w:val="1"/>
    <w:next w:val="1"/>
    <w:link w:val="45"/>
    <w:semiHidden/>
    <w:unhideWhenUsed/>
    <w:qFormat/>
    <w:uiPriority w:val="0"/>
    <w:pPr>
      <w:keepNext/>
      <w:keepLines/>
      <w:widowControl w:val="0"/>
      <w:numPr>
        <w:ilvl w:val="5"/>
        <w:numId w:val="1"/>
      </w:numPr>
      <w:spacing w:before="240" w:after="64" w:line="320" w:lineRule="auto"/>
      <w:outlineLvl w:val="5"/>
    </w:pPr>
    <w:rPr>
      <w:rFonts w:ascii="Cambria" w:hAnsi="Cambria"/>
      <w:b/>
      <w:bCs/>
      <w:kern w:val="2"/>
      <w:sz w:val="24"/>
      <w:szCs w:val="24"/>
    </w:rPr>
  </w:style>
  <w:style w:type="paragraph" w:styleId="8">
    <w:name w:val="heading 7"/>
    <w:basedOn w:val="1"/>
    <w:next w:val="1"/>
    <w:link w:val="46"/>
    <w:semiHidden/>
    <w:unhideWhenUsed/>
    <w:qFormat/>
    <w:uiPriority w:val="0"/>
    <w:pPr>
      <w:keepNext/>
      <w:keepLines/>
      <w:widowControl w:val="0"/>
      <w:numPr>
        <w:ilvl w:val="6"/>
        <w:numId w:val="1"/>
      </w:numPr>
      <w:spacing w:before="240" w:after="64" w:line="320" w:lineRule="auto"/>
      <w:outlineLvl w:val="6"/>
    </w:pPr>
    <w:rPr>
      <w:b/>
      <w:bCs/>
      <w:kern w:val="2"/>
      <w:sz w:val="24"/>
      <w:szCs w:val="24"/>
    </w:rPr>
  </w:style>
  <w:style w:type="paragraph" w:styleId="9">
    <w:name w:val="heading 8"/>
    <w:basedOn w:val="1"/>
    <w:next w:val="1"/>
    <w:link w:val="47"/>
    <w:semiHidden/>
    <w:unhideWhenUsed/>
    <w:qFormat/>
    <w:uiPriority w:val="0"/>
    <w:pPr>
      <w:keepNext/>
      <w:keepLines/>
      <w:widowControl w:val="0"/>
      <w:numPr>
        <w:ilvl w:val="7"/>
        <w:numId w:val="1"/>
      </w:numPr>
      <w:spacing w:before="240" w:after="64" w:line="320" w:lineRule="auto"/>
      <w:outlineLvl w:val="7"/>
    </w:pPr>
    <w:rPr>
      <w:rFonts w:ascii="Cambria" w:hAnsi="Cambria"/>
      <w:kern w:val="2"/>
      <w:sz w:val="24"/>
      <w:szCs w:val="24"/>
    </w:rPr>
  </w:style>
  <w:style w:type="paragraph" w:styleId="10">
    <w:name w:val="heading 9"/>
    <w:basedOn w:val="1"/>
    <w:next w:val="1"/>
    <w:link w:val="48"/>
    <w:semiHidden/>
    <w:unhideWhenUsed/>
    <w:qFormat/>
    <w:uiPriority w:val="0"/>
    <w:pPr>
      <w:keepNext/>
      <w:keepLines/>
      <w:widowControl w:val="0"/>
      <w:numPr>
        <w:ilvl w:val="8"/>
        <w:numId w:val="1"/>
      </w:numPr>
      <w:spacing w:before="240" w:after="64" w:line="320" w:lineRule="auto"/>
      <w:outlineLvl w:val="8"/>
    </w:pPr>
    <w:rPr>
      <w:rFonts w:ascii="Cambria" w:hAnsi="Cambria"/>
      <w:kern w:val="2"/>
      <w:sz w:val="24"/>
      <w:szCs w:val="21"/>
    </w:rPr>
  </w:style>
  <w:style w:type="character" w:default="1" w:styleId="32">
    <w:name w:val="Default Paragraph Font"/>
    <w:semiHidden/>
    <w:unhideWhenUsed/>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styleId="11">
    <w:name w:val="caption"/>
    <w:basedOn w:val="1"/>
    <w:next w:val="1"/>
    <w:link w:val="51"/>
    <w:unhideWhenUsed/>
    <w:qFormat/>
    <w:uiPriority w:val="35"/>
    <w:rPr>
      <w:rFonts w:eastAsia="黑体" w:asciiTheme="majorHAnsi" w:hAnsiTheme="majorHAnsi" w:cstheme="majorBidi"/>
      <w:sz w:val="20"/>
    </w:rPr>
  </w:style>
  <w:style w:type="paragraph" w:styleId="12">
    <w:name w:val="Document Map"/>
    <w:basedOn w:val="1"/>
    <w:link w:val="57"/>
    <w:qFormat/>
    <w:uiPriority w:val="0"/>
    <w:pPr>
      <w:widowControl w:val="0"/>
      <w:spacing w:line="400" w:lineRule="exact"/>
    </w:pPr>
    <w:rPr>
      <w:rFonts w:ascii="宋体"/>
      <w:kern w:val="2"/>
      <w:sz w:val="18"/>
      <w:szCs w:val="18"/>
    </w:rPr>
  </w:style>
  <w:style w:type="paragraph" w:styleId="13">
    <w:name w:val="annotation text"/>
    <w:basedOn w:val="1"/>
    <w:link w:val="59"/>
    <w:qFormat/>
    <w:uiPriority w:val="0"/>
    <w:pPr>
      <w:widowControl w:val="0"/>
      <w:spacing w:line="400" w:lineRule="exact"/>
    </w:pPr>
    <w:rPr>
      <w:kern w:val="2"/>
      <w:sz w:val="20"/>
    </w:rPr>
  </w:style>
  <w:style w:type="paragraph" w:styleId="14">
    <w:name w:val="Body Text"/>
    <w:basedOn w:val="1"/>
    <w:link w:val="61"/>
    <w:qFormat/>
    <w:uiPriority w:val="0"/>
    <w:pPr>
      <w:widowControl w:val="0"/>
      <w:spacing w:after="120" w:line="400" w:lineRule="exact"/>
    </w:pPr>
    <w:rPr>
      <w:kern w:val="2"/>
      <w:sz w:val="24"/>
      <w:szCs w:val="24"/>
    </w:rPr>
  </w:style>
  <w:style w:type="paragraph" w:styleId="15">
    <w:name w:val="Body Text Indent"/>
    <w:basedOn w:val="1"/>
    <w:link w:val="63"/>
    <w:qFormat/>
    <w:uiPriority w:val="0"/>
    <w:pPr>
      <w:widowControl w:val="0"/>
      <w:spacing w:after="120" w:line="400" w:lineRule="exact"/>
      <w:ind w:left="420" w:leftChars="200"/>
    </w:pPr>
    <w:rPr>
      <w:kern w:val="2"/>
      <w:sz w:val="24"/>
      <w:szCs w:val="24"/>
    </w:rPr>
  </w:style>
  <w:style w:type="paragraph" w:styleId="16">
    <w:name w:val="Plain Text"/>
    <w:basedOn w:val="1"/>
    <w:link w:val="50"/>
    <w:unhideWhenUsed/>
    <w:qFormat/>
    <w:uiPriority w:val="99"/>
    <w:pPr>
      <w:widowControl w:val="0"/>
      <w:spacing w:line="240" w:lineRule="auto"/>
      <w:ind w:firstLine="0" w:firstLineChars="0"/>
    </w:pPr>
    <w:rPr>
      <w:rFonts w:ascii="宋体" w:hAnsi="Courier New" w:cstheme="minorBidi"/>
      <w:kern w:val="2"/>
      <w:sz w:val="21"/>
      <w:szCs w:val="21"/>
    </w:rPr>
  </w:style>
  <w:style w:type="paragraph" w:styleId="17">
    <w:name w:val="Date"/>
    <w:basedOn w:val="1"/>
    <w:next w:val="1"/>
    <w:link w:val="65"/>
    <w:unhideWhenUsed/>
    <w:qFormat/>
    <w:uiPriority w:val="99"/>
    <w:pPr>
      <w:widowControl w:val="0"/>
      <w:spacing w:line="360" w:lineRule="auto"/>
      <w:ind w:left="100" w:leftChars="2500"/>
    </w:pPr>
    <w:rPr>
      <w:kern w:val="2"/>
      <w:sz w:val="24"/>
      <w:szCs w:val="22"/>
    </w:rPr>
  </w:style>
  <w:style w:type="paragraph" w:styleId="18">
    <w:name w:val="Body Text Indent 2"/>
    <w:basedOn w:val="1"/>
    <w:link w:val="67"/>
    <w:uiPriority w:val="0"/>
    <w:pPr>
      <w:spacing w:after="120" w:line="480" w:lineRule="auto"/>
      <w:ind w:left="420" w:leftChars="200"/>
      <w:jc w:val="left"/>
    </w:pPr>
    <w:rPr>
      <w:sz w:val="24"/>
      <w:lang w:val="en-GB" w:eastAsia="en-US"/>
    </w:rPr>
  </w:style>
  <w:style w:type="paragraph" w:styleId="19">
    <w:name w:val="endnote text"/>
    <w:basedOn w:val="1"/>
    <w:link w:val="69"/>
    <w:unhideWhenUsed/>
    <w:qFormat/>
    <w:uiPriority w:val="0"/>
    <w:pPr>
      <w:widowControl w:val="0"/>
      <w:snapToGrid w:val="0"/>
      <w:spacing w:line="400" w:lineRule="exact"/>
      <w:jc w:val="left"/>
    </w:pPr>
    <w:rPr>
      <w:rFonts w:ascii="Calibri" w:hAnsi="Calibri"/>
      <w:kern w:val="2"/>
      <w:sz w:val="24"/>
      <w:szCs w:val="22"/>
    </w:rPr>
  </w:style>
  <w:style w:type="paragraph" w:styleId="20">
    <w:name w:val="Balloon Text"/>
    <w:basedOn w:val="1"/>
    <w:link w:val="71"/>
    <w:uiPriority w:val="99"/>
    <w:pPr>
      <w:widowControl w:val="0"/>
      <w:spacing w:line="400" w:lineRule="exact"/>
    </w:pPr>
    <w:rPr>
      <w:kern w:val="2"/>
      <w:sz w:val="18"/>
      <w:szCs w:val="18"/>
    </w:rPr>
  </w:style>
  <w:style w:type="paragraph" w:styleId="21">
    <w:name w:val="footer"/>
    <w:basedOn w:val="1"/>
    <w:link w:val="73"/>
    <w:unhideWhenUsed/>
    <w:uiPriority w:val="99"/>
    <w:pPr>
      <w:widowControl w:val="0"/>
      <w:tabs>
        <w:tab w:val="center" w:pos="4153"/>
        <w:tab w:val="right" w:pos="8306"/>
      </w:tabs>
      <w:snapToGrid w:val="0"/>
      <w:spacing w:line="240" w:lineRule="auto"/>
    </w:pPr>
    <w:rPr>
      <w:kern w:val="2"/>
      <w:sz w:val="18"/>
      <w:szCs w:val="18"/>
    </w:rPr>
  </w:style>
  <w:style w:type="paragraph" w:styleId="22">
    <w:name w:val="header"/>
    <w:basedOn w:val="1"/>
    <w:link w:val="74"/>
    <w:unhideWhenUsed/>
    <w:qFormat/>
    <w:uiPriority w:val="99"/>
    <w:pPr>
      <w:widowControl w:val="0"/>
      <w:pBdr>
        <w:bottom w:val="single" w:color="auto" w:sz="6" w:space="1"/>
      </w:pBdr>
      <w:tabs>
        <w:tab w:val="center" w:pos="4153"/>
        <w:tab w:val="right" w:pos="8306"/>
      </w:tabs>
      <w:snapToGrid w:val="0"/>
      <w:spacing w:line="240" w:lineRule="auto"/>
      <w:jc w:val="center"/>
    </w:pPr>
    <w:rPr>
      <w:kern w:val="2"/>
      <w:sz w:val="18"/>
      <w:szCs w:val="18"/>
    </w:rPr>
  </w:style>
  <w:style w:type="paragraph" w:styleId="23">
    <w:name w:val="toc 1"/>
    <w:basedOn w:val="1"/>
    <w:next w:val="1"/>
    <w:semiHidden/>
    <w:unhideWhenUsed/>
    <w:qFormat/>
    <w:uiPriority w:val="39"/>
    <w:pPr>
      <w:widowControl w:val="0"/>
      <w:spacing w:line="240" w:lineRule="auto"/>
    </w:pPr>
    <w:rPr>
      <w:kern w:val="2"/>
      <w:sz w:val="21"/>
      <w:szCs w:val="22"/>
    </w:rPr>
  </w:style>
  <w:style w:type="paragraph" w:styleId="24">
    <w:name w:val="Subtitle"/>
    <w:basedOn w:val="1"/>
    <w:next w:val="1"/>
    <w:link w:val="75"/>
    <w:qFormat/>
    <w:uiPriority w:val="0"/>
    <w:pPr>
      <w:widowControl w:val="0"/>
      <w:spacing w:before="120" w:after="240" w:line="240" w:lineRule="auto"/>
      <w:jc w:val="center"/>
      <w:outlineLvl w:val="1"/>
    </w:pPr>
    <w:rPr>
      <w:bCs/>
      <w:kern w:val="28"/>
      <w:sz w:val="22"/>
      <w:szCs w:val="32"/>
    </w:rPr>
  </w:style>
  <w:style w:type="paragraph" w:styleId="25">
    <w:name w:val="footnote text"/>
    <w:basedOn w:val="1"/>
    <w:link w:val="77"/>
    <w:qFormat/>
    <w:uiPriority w:val="0"/>
    <w:pPr>
      <w:widowControl w:val="0"/>
      <w:snapToGrid w:val="0"/>
      <w:spacing w:line="400" w:lineRule="exact"/>
      <w:jc w:val="left"/>
    </w:pPr>
    <w:rPr>
      <w:kern w:val="2"/>
      <w:sz w:val="18"/>
      <w:szCs w:val="18"/>
    </w:rPr>
  </w:style>
  <w:style w:type="paragraph" w:styleId="26">
    <w:name w:val="Body Text 2"/>
    <w:basedOn w:val="1"/>
    <w:link w:val="79"/>
    <w:qFormat/>
    <w:uiPriority w:val="0"/>
    <w:pPr>
      <w:widowControl w:val="0"/>
      <w:spacing w:after="120" w:line="480" w:lineRule="auto"/>
    </w:pPr>
    <w:rPr>
      <w:kern w:val="2"/>
      <w:sz w:val="24"/>
      <w:szCs w:val="24"/>
    </w:rPr>
  </w:style>
  <w:style w:type="paragraph" w:styleId="27">
    <w:name w:val="Normal (Web)"/>
    <w:basedOn w:val="1"/>
    <w:unhideWhenUsed/>
    <w:qFormat/>
    <w:uiPriority w:val="99"/>
    <w:pPr>
      <w:spacing w:before="100" w:beforeAutospacing="1" w:after="100" w:afterAutospacing="1" w:line="240" w:lineRule="auto"/>
      <w:jc w:val="left"/>
    </w:pPr>
    <w:rPr>
      <w:rFonts w:ascii="宋体" w:hAnsi="宋体" w:cs="宋体"/>
      <w:sz w:val="24"/>
      <w:szCs w:val="24"/>
    </w:rPr>
  </w:style>
  <w:style w:type="paragraph" w:styleId="28">
    <w:name w:val="Title"/>
    <w:basedOn w:val="1"/>
    <w:link w:val="81"/>
    <w:qFormat/>
    <w:uiPriority w:val="0"/>
    <w:pPr>
      <w:widowControl w:val="0"/>
      <w:adjustRightInd w:val="0"/>
      <w:spacing w:before="240" w:after="60" w:line="360" w:lineRule="atLeast"/>
      <w:jc w:val="center"/>
      <w:textAlignment w:val="baseline"/>
      <w:outlineLvl w:val="0"/>
    </w:pPr>
    <w:rPr>
      <w:rFonts w:ascii="Arial" w:hAnsi="Arial" w:cs="Arial"/>
      <w:b/>
      <w:bCs/>
      <w:sz w:val="32"/>
      <w:szCs w:val="32"/>
    </w:rPr>
  </w:style>
  <w:style w:type="paragraph" w:styleId="29">
    <w:name w:val="annotation subject"/>
    <w:basedOn w:val="13"/>
    <w:next w:val="13"/>
    <w:link w:val="83"/>
    <w:unhideWhenUsed/>
    <w:qFormat/>
    <w:uiPriority w:val="99"/>
    <w:pPr>
      <w:spacing w:line="240" w:lineRule="auto"/>
      <w:ind w:firstLine="0" w:firstLineChars="0"/>
      <w:jc w:val="left"/>
    </w:pPr>
    <w:rPr>
      <w:rFonts w:ascii="等线" w:hAnsi="等线" w:eastAsia="等线"/>
      <w:b/>
      <w:bCs/>
      <w:sz w:val="21"/>
      <w:szCs w:val="22"/>
    </w:rPr>
  </w:style>
  <w:style w:type="table" w:styleId="31">
    <w:name w:val="Table Grid"/>
    <w:basedOn w:val="30"/>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qFormat/>
    <w:uiPriority w:val="0"/>
    <w:rPr>
      <w:b/>
      <w:bCs/>
    </w:rPr>
  </w:style>
  <w:style w:type="character" w:styleId="34">
    <w:name w:val="endnote reference"/>
    <w:unhideWhenUsed/>
    <w:qFormat/>
    <w:uiPriority w:val="0"/>
    <w:rPr>
      <w:vertAlign w:val="superscript"/>
    </w:rPr>
  </w:style>
  <w:style w:type="character" w:styleId="35">
    <w:name w:val="page number"/>
    <w:basedOn w:val="32"/>
    <w:uiPriority w:val="0"/>
  </w:style>
  <w:style w:type="character" w:styleId="36">
    <w:name w:val="Emphasis"/>
    <w:qFormat/>
    <w:uiPriority w:val="0"/>
    <w:rPr>
      <w:i/>
      <w:iCs/>
    </w:rPr>
  </w:style>
  <w:style w:type="character" w:styleId="37">
    <w:name w:val="Hyperlink"/>
    <w:qFormat/>
    <w:uiPriority w:val="99"/>
    <w:rPr>
      <w:color w:val="0000FF"/>
      <w:u w:val="single"/>
    </w:rPr>
  </w:style>
  <w:style w:type="character" w:styleId="38">
    <w:name w:val="annotation reference"/>
    <w:qFormat/>
    <w:uiPriority w:val="0"/>
    <w:rPr>
      <w:sz w:val="16"/>
      <w:szCs w:val="16"/>
    </w:rPr>
  </w:style>
  <w:style w:type="character" w:styleId="39">
    <w:name w:val="footnote reference"/>
    <w:qFormat/>
    <w:uiPriority w:val="0"/>
    <w:rPr>
      <w:vertAlign w:val="superscript"/>
    </w:rPr>
  </w:style>
  <w:style w:type="character" w:customStyle="1" w:styleId="40">
    <w:name w:val="标题 1 字符"/>
    <w:basedOn w:val="32"/>
    <w:link w:val="2"/>
    <w:uiPriority w:val="9"/>
    <w:rPr>
      <w:b/>
      <w:bCs/>
      <w:kern w:val="44"/>
      <w:sz w:val="44"/>
      <w:szCs w:val="44"/>
    </w:rPr>
  </w:style>
  <w:style w:type="character" w:customStyle="1" w:styleId="41">
    <w:name w:val="标题 2 字符"/>
    <w:basedOn w:val="32"/>
    <w:link w:val="3"/>
    <w:uiPriority w:val="9"/>
    <w:rPr>
      <w:rFonts w:ascii="Times New Roman" w:hAnsi="Times New Roman" w:eastAsia="黑体" w:cstheme="majorBidi"/>
      <w:bCs/>
      <w:sz w:val="28"/>
      <w:szCs w:val="32"/>
    </w:rPr>
  </w:style>
  <w:style w:type="character" w:customStyle="1" w:styleId="42">
    <w:name w:val="标题 3 字符"/>
    <w:basedOn w:val="32"/>
    <w:link w:val="4"/>
    <w:uiPriority w:val="9"/>
    <w:rPr>
      <w:rFonts w:ascii="Times New Roman" w:hAnsi="Times New Roman" w:eastAsia="黑体" w:cs="宋体"/>
      <w:bCs/>
      <w:color w:val="000000" w:themeColor="text1"/>
      <w:kern w:val="0"/>
      <w:sz w:val="24"/>
      <w14:textFill>
        <w14:solidFill>
          <w14:schemeClr w14:val="tx1"/>
        </w14:solidFill>
      </w14:textFill>
    </w:rPr>
  </w:style>
  <w:style w:type="character" w:customStyle="1" w:styleId="43">
    <w:name w:val="标题 4 字符"/>
    <w:basedOn w:val="32"/>
    <w:link w:val="5"/>
    <w:qFormat/>
    <w:uiPriority w:val="9"/>
    <w:rPr>
      <w:rFonts w:asciiTheme="majorHAnsi" w:hAnsiTheme="majorHAnsi" w:eastAsiaTheme="majorEastAsia" w:cstheme="majorBidi"/>
      <w:b/>
      <w:bCs/>
      <w:kern w:val="0"/>
      <w:sz w:val="28"/>
      <w:szCs w:val="28"/>
    </w:rPr>
  </w:style>
  <w:style w:type="character" w:customStyle="1" w:styleId="44">
    <w:name w:val="标题 5 字符1"/>
    <w:link w:val="6"/>
    <w:uiPriority w:val="9"/>
    <w:rPr>
      <w:rFonts w:ascii="Times New Roman" w:hAnsi="Times New Roman" w:eastAsia="宋体" w:cs="Times New Roman"/>
      <w:b/>
      <w:bCs/>
      <w:sz w:val="28"/>
      <w:szCs w:val="28"/>
    </w:rPr>
  </w:style>
  <w:style w:type="character" w:customStyle="1" w:styleId="45">
    <w:name w:val="标题 6 字符1"/>
    <w:link w:val="7"/>
    <w:semiHidden/>
    <w:qFormat/>
    <w:uiPriority w:val="0"/>
    <w:rPr>
      <w:rFonts w:ascii="Cambria" w:hAnsi="Cambria" w:eastAsia="宋体" w:cs="Times New Roman"/>
      <w:b/>
      <w:bCs/>
      <w:sz w:val="24"/>
      <w:szCs w:val="24"/>
    </w:rPr>
  </w:style>
  <w:style w:type="character" w:customStyle="1" w:styleId="46">
    <w:name w:val="标题 7 字符1"/>
    <w:link w:val="8"/>
    <w:semiHidden/>
    <w:qFormat/>
    <w:uiPriority w:val="0"/>
    <w:rPr>
      <w:rFonts w:ascii="Times New Roman" w:hAnsi="Times New Roman" w:eastAsia="宋体" w:cs="Times New Roman"/>
      <w:b/>
      <w:bCs/>
      <w:sz w:val="24"/>
      <w:szCs w:val="24"/>
    </w:rPr>
  </w:style>
  <w:style w:type="character" w:customStyle="1" w:styleId="47">
    <w:name w:val="标题 8 字符1"/>
    <w:link w:val="9"/>
    <w:semiHidden/>
    <w:qFormat/>
    <w:uiPriority w:val="0"/>
    <w:rPr>
      <w:rFonts w:ascii="Cambria" w:hAnsi="Cambria" w:eastAsia="宋体" w:cs="Times New Roman"/>
      <w:sz w:val="24"/>
      <w:szCs w:val="24"/>
    </w:rPr>
  </w:style>
  <w:style w:type="character" w:customStyle="1" w:styleId="48">
    <w:name w:val="标题 9 字符1"/>
    <w:link w:val="10"/>
    <w:semiHidden/>
    <w:qFormat/>
    <w:uiPriority w:val="0"/>
    <w:rPr>
      <w:rFonts w:ascii="Cambria" w:hAnsi="Cambria" w:eastAsia="宋体" w:cs="Times New Roman"/>
      <w:sz w:val="24"/>
      <w:szCs w:val="21"/>
    </w:rPr>
  </w:style>
  <w:style w:type="paragraph" w:styleId="49">
    <w:name w:val="No Spacing"/>
    <w:qFormat/>
    <w:uiPriority w:val="1"/>
    <w:pPr>
      <w:spacing w:before="100" w:beforeLines="100" w:line="360" w:lineRule="auto"/>
      <w:jc w:val="both"/>
    </w:pPr>
    <w:rPr>
      <w:rFonts w:ascii="Times New Roman" w:hAnsi="Times New Roman" w:eastAsia="黑体" w:cs="Times New Roman"/>
      <w:kern w:val="0"/>
      <w:sz w:val="28"/>
      <w:szCs w:val="20"/>
      <w:lang w:val="en-US" w:eastAsia="zh-CN" w:bidi="ar-SA"/>
    </w:rPr>
  </w:style>
  <w:style w:type="character" w:customStyle="1" w:styleId="50">
    <w:name w:val="纯文本 字符"/>
    <w:basedOn w:val="32"/>
    <w:link w:val="16"/>
    <w:qFormat/>
    <w:uiPriority w:val="99"/>
    <w:rPr>
      <w:rFonts w:ascii="宋体" w:hAnsi="Courier New"/>
      <w:szCs w:val="21"/>
    </w:rPr>
  </w:style>
  <w:style w:type="character" w:customStyle="1" w:styleId="51">
    <w:name w:val="题注 字符"/>
    <w:link w:val="11"/>
    <w:qFormat/>
    <w:uiPriority w:val="35"/>
    <w:rPr>
      <w:rFonts w:eastAsia="黑体" w:asciiTheme="majorHAnsi" w:hAnsiTheme="majorHAnsi" w:cstheme="majorBidi"/>
      <w:kern w:val="0"/>
      <w:sz w:val="20"/>
      <w:szCs w:val="20"/>
    </w:rPr>
  </w:style>
  <w:style w:type="character" w:customStyle="1" w:styleId="52">
    <w:name w:val="标题 5 字符"/>
    <w:basedOn w:val="32"/>
    <w:semiHidden/>
    <w:uiPriority w:val="9"/>
    <w:rPr>
      <w:rFonts w:ascii="Times New Roman" w:hAnsi="Times New Roman" w:eastAsia="宋体" w:cs="Times New Roman"/>
      <w:b/>
      <w:bCs/>
      <w:kern w:val="0"/>
      <w:sz w:val="28"/>
      <w:szCs w:val="28"/>
    </w:rPr>
  </w:style>
  <w:style w:type="character" w:customStyle="1" w:styleId="53">
    <w:name w:val="标题 6 字符"/>
    <w:basedOn w:val="32"/>
    <w:semiHidden/>
    <w:uiPriority w:val="9"/>
    <w:rPr>
      <w:rFonts w:asciiTheme="majorHAnsi" w:hAnsiTheme="majorHAnsi" w:eastAsiaTheme="majorEastAsia" w:cstheme="majorBidi"/>
      <w:b/>
      <w:bCs/>
      <w:kern w:val="0"/>
      <w:sz w:val="24"/>
      <w:szCs w:val="24"/>
    </w:rPr>
  </w:style>
  <w:style w:type="character" w:customStyle="1" w:styleId="54">
    <w:name w:val="标题 7 字符"/>
    <w:basedOn w:val="32"/>
    <w:semiHidden/>
    <w:uiPriority w:val="9"/>
    <w:rPr>
      <w:rFonts w:ascii="Times New Roman" w:hAnsi="Times New Roman" w:eastAsia="宋体" w:cs="Times New Roman"/>
      <w:b/>
      <w:bCs/>
      <w:kern w:val="0"/>
      <w:sz w:val="24"/>
      <w:szCs w:val="24"/>
    </w:rPr>
  </w:style>
  <w:style w:type="character" w:customStyle="1" w:styleId="55">
    <w:name w:val="标题 8 字符"/>
    <w:basedOn w:val="32"/>
    <w:semiHidden/>
    <w:uiPriority w:val="9"/>
    <w:rPr>
      <w:rFonts w:asciiTheme="majorHAnsi" w:hAnsiTheme="majorHAnsi" w:eastAsiaTheme="majorEastAsia" w:cstheme="majorBidi"/>
      <w:kern w:val="0"/>
      <w:sz w:val="24"/>
      <w:szCs w:val="24"/>
    </w:rPr>
  </w:style>
  <w:style w:type="character" w:customStyle="1" w:styleId="56">
    <w:name w:val="标题 9 字符"/>
    <w:basedOn w:val="32"/>
    <w:semiHidden/>
    <w:qFormat/>
    <w:uiPriority w:val="9"/>
    <w:rPr>
      <w:rFonts w:asciiTheme="majorHAnsi" w:hAnsiTheme="majorHAnsi" w:eastAsiaTheme="majorEastAsia" w:cstheme="majorBidi"/>
      <w:kern w:val="0"/>
      <w:szCs w:val="21"/>
    </w:rPr>
  </w:style>
  <w:style w:type="character" w:customStyle="1" w:styleId="57">
    <w:name w:val="文档结构图 字符1"/>
    <w:link w:val="12"/>
    <w:qFormat/>
    <w:uiPriority w:val="0"/>
    <w:rPr>
      <w:rFonts w:ascii="宋体" w:hAnsi="Times New Roman" w:eastAsia="宋体" w:cs="Times New Roman"/>
      <w:sz w:val="18"/>
      <w:szCs w:val="18"/>
    </w:rPr>
  </w:style>
  <w:style w:type="character" w:customStyle="1" w:styleId="58">
    <w:name w:val="文档结构图 字符"/>
    <w:basedOn w:val="32"/>
    <w:semiHidden/>
    <w:qFormat/>
    <w:uiPriority w:val="99"/>
    <w:rPr>
      <w:rFonts w:ascii="Microsoft YaHei UI" w:hAnsi="Times New Roman" w:eastAsia="Microsoft YaHei UI" w:cs="Times New Roman"/>
      <w:kern w:val="0"/>
      <w:sz w:val="18"/>
      <w:szCs w:val="18"/>
    </w:rPr>
  </w:style>
  <w:style w:type="character" w:customStyle="1" w:styleId="59">
    <w:name w:val="批注文字 字符1"/>
    <w:link w:val="13"/>
    <w:qFormat/>
    <w:uiPriority w:val="0"/>
    <w:rPr>
      <w:rFonts w:ascii="Times New Roman" w:hAnsi="Times New Roman" w:eastAsia="宋体" w:cs="Times New Roman"/>
      <w:sz w:val="20"/>
      <w:szCs w:val="20"/>
    </w:rPr>
  </w:style>
  <w:style w:type="character" w:customStyle="1" w:styleId="60">
    <w:name w:val="批注文字 字符"/>
    <w:basedOn w:val="32"/>
    <w:semiHidden/>
    <w:qFormat/>
    <w:uiPriority w:val="99"/>
    <w:rPr>
      <w:rFonts w:ascii="Times New Roman" w:hAnsi="Times New Roman" w:eastAsia="宋体" w:cs="Times New Roman"/>
      <w:kern w:val="0"/>
      <w:sz w:val="28"/>
      <w:szCs w:val="20"/>
    </w:rPr>
  </w:style>
  <w:style w:type="character" w:customStyle="1" w:styleId="61">
    <w:name w:val="正文文本 字符1"/>
    <w:link w:val="14"/>
    <w:qFormat/>
    <w:uiPriority w:val="0"/>
    <w:rPr>
      <w:rFonts w:ascii="Times New Roman" w:hAnsi="Times New Roman" w:eastAsia="宋体" w:cs="Times New Roman"/>
      <w:sz w:val="24"/>
      <w:szCs w:val="24"/>
    </w:rPr>
  </w:style>
  <w:style w:type="character" w:customStyle="1" w:styleId="62">
    <w:name w:val="正文文本 字符"/>
    <w:basedOn w:val="32"/>
    <w:semiHidden/>
    <w:uiPriority w:val="99"/>
    <w:rPr>
      <w:rFonts w:ascii="Times New Roman" w:hAnsi="Times New Roman" w:eastAsia="宋体" w:cs="Times New Roman"/>
      <w:kern w:val="0"/>
      <w:sz w:val="28"/>
      <w:szCs w:val="20"/>
    </w:rPr>
  </w:style>
  <w:style w:type="character" w:customStyle="1" w:styleId="63">
    <w:name w:val="正文文本缩进 字符1"/>
    <w:link w:val="15"/>
    <w:qFormat/>
    <w:uiPriority w:val="0"/>
    <w:rPr>
      <w:rFonts w:ascii="Times New Roman" w:hAnsi="Times New Roman" w:eastAsia="宋体" w:cs="Times New Roman"/>
      <w:sz w:val="24"/>
      <w:szCs w:val="24"/>
    </w:rPr>
  </w:style>
  <w:style w:type="character" w:customStyle="1" w:styleId="64">
    <w:name w:val="正文文本缩进 字符"/>
    <w:basedOn w:val="32"/>
    <w:semiHidden/>
    <w:qFormat/>
    <w:uiPriority w:val="99"/>
    <w:rPr>
      <w:rFonts w:ascii="Times New Roman" w:hAnsi="Times New Roman" w:eastAsia="宋体" w:cs="Times New Roman"/>
      <w:kern w:val="0"/>
      <w:sz w:val="28"/>
      <w:szCs w:val="20"/>
    </w:rPr>
  </w:style>
  <w:style w:type="character" w:customStyle="1" w:styleId="65">
    <w:name w:val="日期 字符1"/>
    <w:link w:val="17"/>
    <w:qFormat/>
    <w:uiPriority w:val="99"/>
    <w:rPr>
      <w:rFonts w:ascii="Times New Roman" w:hAnsi="Times New Roman" w:eastAsia="宋体" w:cs="Times New Roman"/>
      <w:sz w:val="24"/>
    </w:rPr>
  </w:style>
  <w:style w:type="character" w:customStyle="1" w:styleId="66">
    <w:name w:val="日期 字符"/>
    <w:basedOn w:val="32"/>
    <w:semiHidden/>
    <w:qFormat/>
    <w:uiPriority w:val="99"/>
    <w:rPr>
      <w:rFonts w:ascii="Times New Roman" w:hAnsi="Times New Roman" w:eastAsia="宋体" w:cs="Times New Roman"/>
      <w:kern w:val="0"/>
      <w:sz w:val="28"/>
      <w:szCs w:val="20"/>
    </w:rPr>
  </w:style>
  <w:style w:type="character" w:customStyle="1" w:styleId="67">
    <w:name w:val="正文文本缩进 2 字符1"/>
    <w:link w:val="18"/>
    <w:uiPriority w:val="0"/>
    <w:rPr>
      <w:rFonts w:ascii="Times New Roman" w:hAnsi="Times New Roman" w:eastAsia="宋体" w:cs="Times New Roman"/>
      <w:kern w:val="0"/>
      <w:sz w:val="24"/>
      <w:szCs w:val="20"/>
      <w:lang w:val="en-GB" w:eastAsia="en-US"/>
    </w:rPr>
  </w:style>
  <w:style w:type="character" w:customStyle="1" w:styleId="68">
    <w:name w:val="正文文本缩进 2 字符"/>
    <w:basedOn w:val="32"/>
    <w:semiHidden/>
    <w:uiPriority w:val="99"/>
    <w:rPr>
      <w:rFonts w:ascii="Times New Roman" w:hAnsi="Times New Roman" w:eastAsia="宋体" w:cs="Times New Roman"/>
      <w:kern w:val="0"/>
      <w:sz w:val="28"/>
      <w:szCs w:val="20"/>
    </w:rPr>
  </w:style>
  <w:style w:type="character" w:customStyle="1" w:styleId="69">
    <w:name w:val="尾注文本 字符1"/>
    <w:link w:val="19"/>
    <w:qFormat/>
    <w:uiPriority w:val="0"/>
    <w:rPr>
      <w:rFonts w:ascii="Calibri" w:hAnsi="Calibri" w:eastAsia="宋体" w:cs="Times New Roman"/>
      <w:sz w:val="24"/>
    </w:rPr>
  </w:style>
  <w:style w:type="character" w:customStyle="1" w:styleId="70">
    <w:name w:val="尾注文本 字符"/>
    <w:basedOn w:val="32"/>
    <w:semiHidden/>
    <w:uiPriority w:val="99"/>
    <w:rPr>
      <w:rFonts w:ascii="Times New Roman" w:hAnsi="Times New Roman" w:eastAsia="宋体" w:cs="Times New Roman"/>
      <w:kern w:val="0"/>
      <w:sz w:val="28"/>
      <w:szCs w:val="20"/>
    </w:rPr>
  </w:style>
  <w:style w:type="character" w:customStyle="1" w:styleId="71">
    <w:name w:val="批注框文本 字符1"/>
    <w:link w:val="20"/>
    <w:uiPriority w:val="99"/>
    <w:rPr>
      <w:rFonts w:ascii="Times New Roman" w:hAnsi="Times New Roman" w:eastAsia="宋体" w:cs="Times New Roman"/>
      <w:sz w:val="18"/>
      <w:szCs w:val="18"/>
    </w:rPr>
  </w:style>
  <w:style w:type="character" w:customStyle="1" w:styleId="72">
    <w:name w:val="批注框文本 字符"/>
    <w:basedOn w:val="32"/>
    <w:semiHidden/>
    <w:uiPriority w:val="99"/>
    <w:rPr>
      <w:rFonts w:ascii="Times New Roman" w:hAnsi="Times New Roman" w:eastAsia="宋体" w:cs="Times New Roman"/>
      <w:kern w:val="0"/>
      <w:sz w:val="18"/>
      <w:szCs w:val="18"/>
    </w:rPr>
  </w:style>
  <w:style w:type="character" w:customStyle="1" w:styleId="73">
    <w:name w:val="页脚 字符"/>
    <w:basedOn w:val="32"/>
    <w:link w:val="21"/>
    <w:qFormat/>
    <w:uiPriority w:val="99"/>
    <w:rPr>
      <w:rFonts w:ascii="Times New Roman" w:hAnsi="Times New Roman" w:eastAsia="宋体" w:cs="Times New Roman"/>
      <w:sz w:val="18"/>
      <w:szCs w:val="18"/>
    </w:rPr>
  </w:style>
  <w:style w:type="character" w:customStyle="1" w:styleId="74">
    <w:name w:val="页眉 字符"/>
    <w:basedOn w:val="32"/>
    <w:link w:val="22"/>
    <w:uiPriority w:val="99"/>
    <w:rPr>
      <w:rFonts w:ascii="Times New Roman" w:hAnsi="Times New Roman" w:eastAsia="宋体" w:cs="Times New Roman"/>
      <w:sz w:val="18"/>
      <w:szCs w:val="18"/>
    </w:rPr>
  </w:style>
  <w:style w:type="character" w:customStyle="1" w:styleId="75">
    <w:name w:val="副标题 字符1"/>
    <w:link w:val="24"/>
    <w:qFormat/>
    <w:uiPriority w:val="0"/>
    <w:rPr>
      <w:rFonts w:ascii="Times New Roman" w:hAnsi="Times New Roman" w:eastAsia="宋体" w:cs="Times New Roman"/>
      <w:bCs/>
      <w:kern w:val="28"/>
      <w:sz w:val="22"/>
      <w:szCs w:val="32"/>
    </w:rPr>
  </w:style>
  <w:style w:type="character" w:customStyle="1" w:styleId="76">
    <w:name w:val="副标题 字符"/>
    <w:basedOn w:val="32"/>
    <w:qFormat/>
    <w:uiPriority w:val="11"/>
    <w:rPr>
      <w:b/>
      <w:bCs/>
      <w:kern w:val="28"/>
      <w:sz w:val="32"/>
      <w:szCs w:val="32"/>
    </w:rPr>
  </w:style>
  <w:style w:type="character" w:customStyle="1" w:styleId="77">
    <w:name w:val="脚注文本 字符1"/>
    <w:link w:val="25"/>
    <w:uiPriority w:val="0"/>
    <w:rPr>
      <w:rFonts w:ascii="Times New Roman" w:hAnsi="Times New Roman" w:eastAsia="宋体" w:cs="Times New Roman"/>
      <w:sz w:val="18"/>
      <w:szCs w:val="18"/>
    </w:rPr>
  </w:style>
  <w:style w:type="character" w:customStyle="1" w:styleId="78">
    <w:name w:val="脚注文本 字符"/>
    <w:basedOn w:val="32"/>
    <w:qFormat/>
    <w:uiPriority w:val="0"/>
    <w:rPr>
      <w:rFonts w:ascii="Times New Roman" w:hAnsi="Times New Roman" w:eastAsia="宋体" w:cs="Times New Roman"/>
      <w:kern w:val="0"/>
      <w:sz w:val="18"/>
      <w:szCs w:val="18"/>
    </w:rPr>
  </w:style>
  <w:style w:type="character" w:customStyle="1" w:styleId="79">
    <w:name w:val="正文文本 2 字符1"/>
    <w:link w:val="26"/>
    <w:qFormat/>
    <w:uiPriority w:val="0"/>
    <w:rPr>
      <w:rFonts w:ascii="Times New Roman" w:hAnsi="Times New Roman" w:eastAsia="宋体" w:cs="Times New Roman"/>
      <w:sz w:val="24"/>
      <w:szCs w:val="24"/>
    </w:rPr>
  </w:style>
  <w:style w:type="character" w:customStyle="1" w:styleId="80">
    <w:name w:val="正文文本 2 字符"/>
    <w:basedOn w:val="32"/>
    <w:semiHidden/>
    <w:qFormat/>
    <w:uiPriority w:val="99"/>
    <w:rPr>
      <w:rFonts w:ascii="Times New Roman" w:hAnsi="Times New Roman" w:eastAsia="宋体" w:cs="Times New Roman"/>
      <w:kern w:val="0"/>
      <w:sz w:val="28"/>
      <w:szCs w:val="20"/>
    </w:rPr>
  </w:style>
  <w:style w:type="character" w:customStyle="1" w:styleId="81">
    <w:name w:val="标题 字符1"/>
    <w:link w:val="28"/>
    <w:qFormat/>
    <w:uiPriority w:val="0"/>
    <w:rPr>
      <w:rFonts w:ascii="Arial" w:hAnsi="Arial" w:eastAsia="宋体" w:cs="Arial"/>
      <w:b/>
      <w:bCs/>
      <w:kern w:val="0"/>
      <w:sz w:val="32"/>
      <w:szCs w:val="32"/>
    </w:rPr>
  </w:style>
  <w:style w:type="character" w:customStyle="1" w:styleId="82">
    <w:name w:val="标题 字符"/>
    <w:basedOn w:val="32"/>
    <w:uiPriority w:val="10"/>
    <w:rPr>
      <w:rFonts w:asciiTheme="majorHAnsi" w:hAnsiTheme="majorHAnsi" w:eastAsiaTheme="majorEastAsia" w:cstheme="majorBidi"/>
      <w:b/>
      <w:bCs/>
      <w:kern w:val="0"/>
      <w:sz w:val="32"/>
      <w:szCs w:val="32"/>
    </w:rPr>
  </w:style>
  <w:style w:type="character" w:customStyle="1" w:styleId="83">
    <w:name w:val="批注主题 字符"/>
    <w:basedOn w:val="60"/>
    <w:link w:val="29"/>
    <w:qFormat/>
    <w:uiPriority w:val="99"/>
    <w:rPr>
      <w:rFonts w:ascii="等线" w:hAnsi="等线" w:eastAsia="等线" w:cs="Times New Roman"/>
      <w:b/>
      <w:bCs/>
      <w:kern w:val="0"/>
      <w:sz w:val="28"/>
      <w:szCs w:val="20"/>
    </w:rPr>
  </w:style>
  <w:style w:type="paragraph" w:customStyle="1" w:styleId="84">
    <w:name w:val="标题3"/>
    <w:basedOn w:val="1"/>
    <w:next w:val="1"/>
    <w:link w:val="85"/>
    <w:qFormat/>
    <w:uiPriority w:val="0"/>
    <w:pPr>
      <w:widowControl w:val="0"/>
      <w:spacing w:before="240" w:after="120" w:line="400" w:lineRule="exact"/>
      <w:jc w:val="left"/>
      <w:outlineLvl w:val="2"/>
    </w:pPr>
    <w:rPr>
      <w:rFonts w:eastAsia="黑体"/>
      <w:kern w:val="44"/>
      <w:sz w:val="26"/>
      <w:szCs w:val="44"/>
    </w:rPr>
  </w:style>
  <w:style w:type="character" w:customStyle="1" w:styleId="85">
    <w:name w:val="标题3 字符"/>
    <w:basedOn w:val="40"/>
    <w:link w:val="84"/>
    <w:uiPriority w:val="0"/>
    <w:rPr>
      <w:rFonts w:ascii="Times New Roman" w:hAnsi="Times New Roman" w:eastAsia="黑体" w:cs="Times New Roman"/>
      <w:b w:val="0"/>
      <w:bCs w:val="0"/>
      <w:kern w:val="44"/>
      <w:sz w:val="26"/>
      <w:szCs w:val="44"/>
    </w:rPr>
  </w:style>
  <w:style w:type="paragraph" w:customStyle="1" w:styleId="86">
    <w:name w:val="标题  3"/>
    <w:basedOn w:val="2"/>
    <w:link w:val="87"/>
    <w:uiPriority w:val="0"/>
    <w:pPr>
      <w:ind w:left="25" w:leftChars="25" w:firstLine="200" w:firstLineChars="200"/>
    </w:pPr>
    <w:rPr>
      <w:rFonts w:ascii="Times New Roman" w:hAnsi="Times New Roman" w:eastAsia="黑体" w:cs="Times New Roman"/>
      <w:sz w:val="32"/>
    </w:rPr>
  </w:style>
  <w:style w:type="character" w:customStyle="1" w:styleId="87">
    <w:name w:val="标题  3 字符"/>
    <w:basedOn w:val="40"/>
    <w:link w:val="86"/>
    <w:uiPriority w:val="0"/>
    <w:rPr>
      <w:rFonts w:ascii="Times New Roman" w:hAnsi="Times New Roman" w:eastAsia="黑体" w:cs="Times New Roman"/>
      <w:kern w:val="44"/>
      <w:sz w:val="32"/>
      <w:szCs w:val="44"/>
    </w:rPr>
  </w:style>
  <w:style w:type="character" w:customStyle="1" w:styleId="88">
    <w:name w:val="页眉 Char"/>
    <w:uiPriority w:val="99"/>
    <w:rPr>
      <w:rFonts w:ascii="Times New Roman" w:hAnsi="Times New Roman" w:eastAsia="宋体" w:cs="Times New Roman"/>
      <w:sz w:val="18"/>
      <w:szCs w:val="18"/>
    </w:rPr>
  </w:style>
  <w:style w:type="character" w:customStyle="1" w:styleId="89">
    <w:name w:val="页脚 Char"/>
    <w:uiPriority w:val="99"/>
    <w:rPr>
      <w:rFonts w:ascii="Times New Roman" w:hAnsi="Times New Roman" w:eastAsia="宋体" w:cs="Times New Roman"/>
      <w:sz w:val="18"/>
      <w:szCs w:val="18"/>
    </w:rPr>
  </w:style>
  <w:style w:type="character" w:customStyle="1" w:styleId="90">
    <w:name w:val="标题 1 Char"/>
    <w:uiPriority w:val="9"/>
    <w:rPr>
      <w:rFonts w:ascii="Times New Roman" w:hAnsi="Times New Roman" w:eastAsia="黑体" w:cs="Times New Roman"/>
      <w:bCs/>
      <w:kern w:val="44"/>
      <w:sz w:val="32"/>
      <w:szCs w:val="44"/>
    </w:rPr>
  </w:style>
  <w:style w:type="character" w:customStyle="1" w:styleId="91">
    <w:name w:val="标题 2 Char"/>
    <w:uiPriority w:val="9"/>
    <w:rPr>
      <w:rFonts w:ascii="Times New Roman" w:hAnsi="Times New Roman" w:eastAsia="黑体" w:cs="Times New Roman"/>
      <w:bCs/>
      <w:sz w:val="28"/>
      <w:szCs w:val="32"/>
    </w:rPr>
  </w:style>
  <w:style w:type="character" w:customStyle="1" w:styleId="92">
    <w:name w:val="标题 3 Char"/>
    <w:uiPriority w:val="9"/>
    <w:rPr>
      <w:rFonts w:ascii="Times New Roman" w:hAnsi="Times New Roman" w:eastAsia="黑体" w:cs="Times New Roman"/>
      <w:bCs/>
      <w:sz w:val="26"/>
      <w:szCs w:val="32"/>
    </w:rPr>
  </w:style>
  <w:style w:type="paragraph" w:customStyle="1" w:styleId="93">
    <w:name w:val="样式2"/>
    <w:basedOn w:val="1"/>
    <w:link w:val="94"/>
    <w:qFormat/>
    <w:uiPriority w:val="0"/>
    <w:pPr>
      <w:widowControl w:val="0"/>
      <w:spacing w:before="120" w:after="120" w:line="240" w:lineRule="auto"/>
      <w:jc w:val="right"/>
    </w:pPr>
    <w:rPr>
      <w:kern w:val="2"/>
      <w:sz w:val="24"/>
      <w:szCs w:val="22"/>
    </w:rPr>
  </w:style>
  <w:style w:type="character" w:customStyle="1" w:styleId="94">
    <w:name w:val="样式2 Char"/>
    <w:link w:val="93"/>
    <w:uiPriority w:val="0"/>
    <w:rPr>
      <w:rFonts w:ascii="Times New Roman" w:hAnsi="Times New Roman" w:eastAsia="宋体" w:cs="Times New Roman"/>
      <w:sz w:val="24"/>
    </w:rPr>
  </w:style>
  <w:style w:type="paragraph" w:customStyle="1" w:styleId="95">
    <w:name w:val="表头"/>
    <w:link w:val="96"/>
    <w:qFormat/>
    <w:uiPriority w:val="0"/>
    <w:pPr>
      <w:spacing w:before="240" w:after="120"/>
      <w:jc w:val="center"/>
    </w:pPr>
    <w:rPr>
      <w:rFonts w:ascii="Times New Roman" w:hAnsi="Times New Roman" w:eastAsia="宋体" w:cs="Times New Roman"/>
      <w:bCs/>
      <w:kern w:val="28"/>
      <w:sz w:val="22"/>
      <w:szCs w:val="32"/>
      <w:lang w:val="en-US" w:eastAsia="zh-CN" w:bidi="ar-SA"/>
    </w:rPr>
  </w:style>
  <w:style w:type="character" w:customStyle="1" w:styleId="96">
    <w:name w:val="表头 Char"/>
    <w:link w:val="95"/>
    <w:qFormat/>
    <w:uiPriority w:val="0"/>
    <w:rPr>
      <w:rFonts w:ascii="Times New Roman" w:hAnsi="Times New Roman" w:eastAsia="宋体" w:cs="Times New Roman"/>
      <w:bCs/>
      <w:kern w:val="28"/>
      <w:sz w:val="22"/>
      <w:szCs w:val="32"/>
    </w:rPr>
  </w:style>
  <w:style w:type="paragraph" w:customStyle="1" w:styleId="97">
    <w:name w:val="表格"/>
    <w:link w:val="98"/>
    <w:qFormat/>
    <w:uiPriority w:val="0"/>
    <w:pPr>
      <w:spacing w:before="60" w:after="60"/>
      <w:jc w:val="center"/>
    </w:pPr>
    <w:rPr>
      <w:rFonts w:ascii="Times New Roman" w:hAnsi="Times New Roman" w:eastAsia="宋体" w:cs="Times New Roman"/>
      <w:kern w:val="2"/>
      <w:sz w:val="22"/>
      <w:szCs w:val="22"/>
      <w:lang w:val="en-US" w:eastAsia="zh-CN" w:bidi="ar-SA"/>
    </w:rPr>
  </w:style>
  <w:style w:type="character" w:customStyle="1" w:styleId="98">
    <w:name w:val="表格 Char"/>
    <w:link w:val="97"/>
    <w:uiPriority w:val="0"/>
    <w:rPr>
      <w:rFonts w:ascii="Times New Roman" w:hAnsi="Times New Roman" w:eastAsia="宋体" w:cs="Times New Roman"/>
      <w:sz w:val="22"/>
    </w:rPr>
  </w:style>
  <w:style w:type="paragraph" w:customStyle="1" w:styleId="99">
    <w:name w:val="图序"/>
    <w:basedOn w:val="1"/>
    <w:link w:val="100"/>
    <w:qFormat/>
    <w:uiPriority w:val="0"/>
    <w:pPr>
      <w:widowControl w:val="0"/>
      <w:spacing w:before="120" w:after="240" w:line="240" w:lineRule="auto"/>
      <w:jc w:val="center"/>
    </w:pPr>
    <w:rPr>
      <w:kern w:val="2"/>
      <w:sz w:val="22"/>
      <w:szCs w:val="24"/>
    </w:rPr>
  </w:style>
  <w:style w:type="character" w:customStyle="1" w:styleId="100">
    <w:name w:val="图序 Char"/>
    <w:link w:val="99"/>
    <w:uiPriority w:val="0"/>
    <w:rPr>
      <w:rFonts w:ascii="Times New Roman" w:hAnsi="Times New Roman" w:eastAsia="宋体" w:cs="Times New Roman"/>
      <w:sz w:val="22"/>
      <w:szCs w:val="24"/>
    </w:rPr>
  </w:style>
  <w:style w:type="paragraph" w:customStyle="1" w:styleId="101">
    <w:name w:val="图片"/>
    <w:basedOn w:val="99"/>
    <w:link w:val="102"/>
    <w:qFormat/>
    <w:uiPriority w:val="0"/>
    <w:pPr>
      <w:spacing w:before="0" w:after="0"/>
    </w:pPr>
  </w:style>
  <w:style w:type="character" w:customStyle="1" w:styleId="102">
    <w:name w:val="图片 Char"/>
    <w:link w:val="101"/>
    <w:uiPriority w:val="0"/>
    <w:rPr>
      <w:rFonts w:ascii="Times New Roman" w:hAnsi="Times New Roman" w:eastAsia="宋体" w:cs="Times New Roman"/>
      <w:sz w:val="22"/>
      <w:szCs w:val="24"/>
    </w:rPr>
  </w:style>
  <w:style w:type="paragraph" w:customStyle="1" w:styleId="103">
    <w:name w:val="段落"/>
    <w:basedOn w:val="1"/>
    <w:uiPriority w:val="0"/>
    <w:pPr>
      <w:adjustRightInd w:val="0"/>
      <w:spacing w:line="420" w:lineRule="exact"/>
      <w:ind w:firstLine="520"/>
      <w:jc w:val="left"/>
      <w:textAlignment w:val="baseline"/>
    </w:pPr>
    <w:rPr>
      <w:color w:val="000000"/>
      <w:spacing w:val="10"/>
      <w:sz w:val="24"/>
    </w:rPr>
  </w:style>
  <w:style w:type="paragraph" w:customStyle="1" w:styleId="104">
    <w:name w:val="缩写表"/>
    <w:basedOn w:val="23"/>
    <w:uiPriority w:val="0"/>
    <w:pPr>
      <w:tabs>
        <w:tab w:val="right" w:leader="dot" w:pos="8268"/>
      </w:tabs>
      <w:adjustRightInd w:val="0"/>
      <w:spacing w:before="120" w:after="120" w:line="400" w:lineRule="exact"/>
      <w:jc w:val="left"/>
      <w:textAlignment w:val="baseline"/>
    </w:pPr>
    <w:rPr>
      <w:rFonts w:eastAsia="黑体"/>
      <w:spacing w:val="10"/>
      <w:kern w:val="0"/>
      <w:sz w:val="24"/>
      <w:szCs w:val="20"/>
    </w:rPr>
  </w:style>
  <w:style w:type="paragraph" w:customStyle="1" w:styleId="105">
    <w:name w:val="公式"/>
    <w:basedOn w:val="1"/>
    <w:link w:val="106"/>
    <w:uiPriority w:val="0"/>
    <w:pPr>
      <w:widowControl w:val="0"/>
      <w:adjustRightInd w:val="0"/>
      <w:spacing w:before="160" w:after="40" w:line="420" w:lineRule="atLeast"/>
      <w:ind w:firstLine="522"/>
      <w:jc w:val="left"/>
      <w:textAlignment w:val="baseline"/>
    </w:pPr>
    <w:rPr>
      <w:color w:val="000000"/>
      <w:spacing w:val="10"/>
      <w:sz w:val="24"/>
    </w:rPr>
  </w:style>
  <w:style w:type="character" w:customStyle="1" w:styleId="106">
    <w:name w:val="公式 Char"/>
    <w:link w:val="105"/>
    <w:uiPriority w:val="0"/>
    <w:rPr>
      <w:rFonts w:ascii="Times New Roman" w:hAnsi="Times New Roman" w:eastAsia="宋体" w:cs="Times New Roman"/>
      <w:color w:val="000000"/>
      <w:spacing w:val="10"/>
      <w:kern w:val="0"/>
      <w:sz w:val="24"/>
      <w:szCs w:val="20"/>
    </w:rPr>
  </w:style>
  <w:style w:type="paragraph" w:customStyle="1" w:styleId="107">
    <w:name w:val="样式 公式 + 居中 首行缩进:  0 厘米 段前: 6 磅 段后: 6 磅 行距: 单倍行距"/>
    <w:basedOn w:val="105"/>
    <w:link w:val="108"/>
    <w:uiPriority w:val="0"/>
    <w:pPr>
      <w:spacing w:before="120" w:after="120" w:line="240" w:lineRule="auto"/>
      <w:ind w:firstLine="2"/>
      <w:jc w:val="right"/>
    </w:pPr>
    <w:rPr>
      <w:rFonts w:cs="宋体"/>
    </w:rPr>
  </w:style>
  <w:style w:type="character" w:customStyle="1" w:styleId="108">
    <w:name w:val="样式 公式 + 居中 首行缩进:  0 厘米 段前: 6 磅 段后: 6 磅 行距: 单倍行距 Char"/>
    <w:link w:val="107"/>
    <w:uiPriority w:val="0"/>
    <w:rPr>
      <w:rFonts w:ascii="Times New Roman" w:hAnsi="Times New Roman" w:eastAsia="宋体" w:cs="宋体"/>
      <w:color w:val="000000"/>
      <w:spacing w:val="10"/>
      <w:kern w:val="0"/>
      <w:sz w:val="24"/>
      <w:szCs w:val="20"/>
    </w:rPr>
  </w:style>
  <w:style w:type="paragraph" w:customStyle="1" w:styleId="109">
    <w:name w:val="样式 样式 公式 + 居中 首行缩进:  0 厘米 段前: 6 磅 段后: 6 磅 行距: 单倍行距 + 宋体"/>
    <w:basedOn w:val="107"/>
    <w:link w:val="110"/>
    <w:uiPriority w:val="0"/>
    <w:pPr>
      <w:ind w:firstLine="0"/>
    </w:pPr>
  </w:style>
  <w:style w:type="character" w:customStyle="1" w:styleId="110">
    <w:name w:val="样式 样式 公式 + 居中 首行缩进:  0 厘米 段前: 6 磅 段后: 6 磅 行距: 单倍行距 + 宋体 Char"/>
    <w:link w:val="109"/>
    <w:uiPriority w:val="0"/>
    <w:rPr>
      <w:rFonts w:ascii="Times New Roman" w:hAnsi="Times New Roman" w:eastAsia="宋体" w:cs="宋体"/>
      <w:color w:val="000000"/>
      <w:spacing w:val="10"/>
      <w:kern w:val="0"/>
      <w:sz w:val="24"/>
      <w:szCs w:val="20"/>
    </w:rPr>
  </w:style>
  <w:style w:type="character" w:customStyle="1" w:styleId="111">
    <w:name w:val="标题 4 Char"/>
    <w:qFormat/>
    <w:uiPriority w:val="9"/>
    <w:rPr>
      <w:rFonts w:ascii="Times New Roman" w:hAnsi="Times New Roman" w:eastAsia="黑体" w:cs="Times New Roman"/>
      <w:bCs/>
      <w:sz w:val="24"/>
      <w:szCs w:val="28"/>
    </w:rPr>
  </w:style>
  <w:style w:type="paragraph" w:customStyle="1" w:styleId="112">
    <w:name w:val="表内容"/>
    <w:basedOn w:val="1"/>
    <w:uiPriority w:val="0"/>
    <w:pPr>
      <w:widowControl w:val="0"/>
      <w:autoSpaceDE w:val="0"/>
      <w:autoSpaceDN w:val="0"/>
      <w:adjustRightInd w:val="0"/>
      <w:spacing w:before="60" w:after="60" w:line="400" w:lineRule="exact"/>
      <w:jc w:val="center"/>
      <w:textAlignment w:val="baseline"/>
    </w:pPr>
    <w:rPr>
      <w:rFonts w:ascii="MS Song" w:hAnsi="MS Song"/>
      <w:color w:val="000000"/>
      <w:spacing w:val="10"/>
      <w:sz w:val="22"/>
      <w:szCs w:val="22"/>
    </w:rPr>
  </w:style>
  <w:style w:type="paragraph" w:customStyle="1" w:styleId="113">
    <w:name w:val="中文表题"/>
    <w:basedOn w:val="1"/>
    <w:qFormat/>
    <w:uiPriority w:val="0"/>
    <w:pPr>
      <w:overflowPunct w:val="0"/>
      <w:autoSpaceDE w:val="0"/>
      <w:autoSpaceDN w:val="0"/>
      <w:adjustRightInd w:val="0"/>
      <w:spacing w:before="240" w:after="120" w:line="240" w:lineRule="auto"/>
      <w:jc w:val="center"/>
      <w:textAlignment w:val="baseline"/>
    </w:pPr>
    <w:rPr>
      <w:rFonts w:hAnsi="宋体"/>
      <w:color w:val="000000"/>
      <w:spacing w:val="6"/>
      <w:sz w:val="22"/>
    </w:rPr>
  </w:style>
  <w:style w:type="paragraph" w:customStyle="1" w:styleId="114">
    <w:name w:val="参考文献"/>
    <w:basedOn w:val="1"/>
    <w:qFormat/>
    <w:uiPriority w:val="0"/>
    <w:pPr>
      <w:numPr>
        <w:ilvl w:val="0"/>
        <w:numId w:val="2"/>
      </w:numPr>
      <w:adjustRightInd w:val="0"/>
      <w:spacing w:before="60" w:line="320" w:lineRule="exact"/>
      <w:ind w:firstLine="0"/>
      <w:textAlignment w:val="baseline"/>
    </w:pPr>
    <w:rPr>
      <w:color w:val="000000"/>
      <w:spacing w:val="8"/>
      <w:sz w:val="24"/>
    </w:rPr>
  </w:style>
  <w:style w:type="character" w:customStyle="1" w:styleId="115">
    <w:name w:val="datatitle1"/>
    <w:qFormat/>
    <w:uiPriority w:val="0"/>
    <w:rPr>
      <w:b/>
      <w:bCs/>
      <w:color w:val="10619F"/>
      <w:sz w:val="21"/>
      <w:szCs w:val="21"/>
    </w:rPr>
  </w:style>
  <w:style w:type="paragraph" w:customStyle="1" w:styleId="116">
    <w:name w:val="图题"/>
    <w:basedOn w:val="1"/>
    <w:link w:val="117"/>
    <w:qFormat/>
    <w:uiPriority w:val="0"/>
    <w:pPr>
      <w:widowControl w:val="0"/>
      <w:adjustRightInd w:val="0"/>
      <w:spacing w:before="120" w:after="240" w:line="400" w:lineRule="exact"/>
      <w:jc w:val="center"/>
      <w:textAlignment w:val="baseline"/>
    </w:pPr>
    <w:rPr>
      <w:spacing w:val="10"/>
      <w:sz w:val="22"/>
    </w:rPr>
  </w:style>
  <w:style w:type="character" w:customStyle="1" w:styleId="117">
    <w:name w:val="图题 Char"/>
    <w:link w:val="116"/>
    <w:qFormat/>
    <w:uiPriority w:val="0"/>
    <w:rPr>
      <w:rFonts w:ascii="Times New Roman" w:hAnsi="Times New Roman" w:eastAsia="宋体" w:cs="Times New Roman"/>
      <w:spacing w:val="10"/>
      <w:kern w:val="0"/>
      <w:sz w:val="22"/>
      <w:szCs w:val="20"/>
    </w:rPr>
  </w:style>
  <w:style w:type="paragraph" w:customStyle="1" w:styleId="118">
    <w:name w:val="表达式"/>
    <w:basedOn w:val="105"/>
    <w:qFormat/>
    <w:uiPriority w:val="0"/>
    <w:pPr>
      <w:adjustRightInd/>
      <w:spacing w:before="120" w:after="120" w:line="240" w:lineRule="auto"/>
      <w:ind w:firstLine="0"/>
      <w:jc w:val="center"/>
      <w:textAlignment w:val="auto"/>
    </w:pPr>
    <w:rPr>
      <w:color w:val="auto"/>
      <w:spacing w:val="0"/>
      <w:kern w:val="2"/>
      <w:szCs w:val="24"/>
    </w:rPr>
  </w:style>
  <w:style w:type="paragraph" w:customStyle="1" w:styleId="119">
    <w:name w:val="带公式的段落"/>
    <w:basedOn w:val="1"/>
    <w:qFormat/>
    <w:uiPriority w:val="0"/>
    <w:pPr>
      <w:widowControl w:val="0"/>
      <w:adjustRightInd w:val="0"/>
      <w:spacing w:before="60" w:after="60" w:line="288" w:lineRule="auto"/>
      <w:jc w:val="left"/>
      <w:textAlignment w:val="baseline"/>
    </w:pPr>
    <w:rPr>
      <w:sz w:val="24"/>
    </w:rPr>
  </w:style>
  <w:style w:type="paragraph" w:customStyle="1" w:styleId="120">
    <w:name w:val="标准段落"/>
    <w:basedOn w:val="1"/>
    <w:qFormat/>
    <w:uiPriority w:val="0"/>
    <w:pPr>
      <w:widowControl w:val="0"/>
      <w:adjustRightInd w:val="0"/>
      <w:spacing w:line="400" w:lineRule="exact"/>
      <w:textAlignment w:val="baseline"/>
    </w:pPr>
    <w:rPr>
      <w:sz w:val="24"/>
      <w:szCs w:val="24"/>
    </w:rPr>
  </w:style>
  <w:style w:type="paragraph" w:customStyle="1" w:styleId="121">
    <w:name w:val="Title1"/>
    <w:basedOn w:val="28"/>
    <w:qFormat/>
    <w:uiPriority w:val="0"/>
    <w:pPr>
      <w:widowControl/>
      <w:spacing w:after="360" w:line="420" w:lineRule="exact"/>
      <w:ind w:firstLine="522"/>
      <w:outlineLvl w:val="9"/>
    </w:pPr>
    <w:rPr>
      <w:rFonts w:cs="Times New Roman"/>
      <w:b w:val="0"/>
      <w:bCs w:val="0"/>
      <w:color w:val="000000"/>
      <w:spacing w:val="10"/>
      <w:sz w:val="30"/>
      <w:szCs w:val="20"/>
    </w:rPr>
  </w:style>
  <w:style w:type="paragraph" w:customStyle="1" w:styleId="122">
    <w:name w:val="篇眉"/>
    <w:basedOn w:val="22"/>
    <w:qFormat/>
    <w:uiPriority w:val="0"/>
    <w:pPr>
      <w:spacing w:line="400" w:lineRule="exact"/>
    </w:pPr>
    <w:rPr>
      <w:sz w:val="21"/>
      <w:szCs w:val="21"/>
    </w:rPr>
  </w:style>
  <w:style w:type="paragraph" w:customStyle="1" w:styleId="123">
    <w:name w:val="标题1"/>
    <w:basedOn w:val="28"/>
    <w:qFormat/>
    <w:uiPriority w:val="0"/>
    <w:pPr>
      <w:widowControl/>
      <w:spacing w:after="360" w:line="420" w:lineRule="exact"/>
      <w:outlineLvl w:val="9"/>
    </w:pPr>
    <w:rPr>
      <w:rFonts w:cs="Times New Roman"/>
      <w:b w:val="0"/>
      <w:bCs w:val="0"/>
      <w:sz w:val="30"/>
      <w:szCs w:val="20"/>
    </w:rPr>
  </w:style>
  <w:style w:type="paragraph" w:customStyle="1" w:styleId="124">
    <w:name w:val="符号表"/>
    <w:basedOn w:val="1"/>
    <w:qFormat/>
    <w:uiPriority w:val="0"/>
    <w:pPr>
      <w:widowControl w:val="0"/>
      <w:adjustRightInd w:val="0"/>
      <w:spacing w:line="420" w:lineRule="exact"/>
      <w:ind w:left="1593" w:hanging="1593"/>
      <w:jc w:val="left"/>
      <w:textAlignment w:val="baseline"/>
    </w:pPr>
    <w:rPr>
      <w:sz w:val="24"/>
    </w:rPr>
  </w:style>
  <w:style w:type="paragraph" w:customStyle="1" w:styleId="125">
    <w:name w:val="表标题"/>
    <w:basedOn w:val="1"/>
    <w:qFormat/>
    <w:uiPriority w:val="0"/>
    <w:pPr>
      <w:widowControl w:val="0"/>
      <w:adjustRightInd w:val="0"/>
      <w:spacing w:before="240" w:after="120" w:line="240" w:lineRule="auto"/>
      <w:jc w:val="center"/>
      <w:textAlignment w:val="baseline"/>
    </w:pPr>
    <w:rPr>
      <w:sz w:val="22"/>
      <w:szCs w:val="22"/>
    </w:rPr>
  </w:style>
  <w:style w:type="character" w:customStyle="1" w:styleId="126">
    <w:name w:val="a"/>
    <w:basedOn w:val="32"/>
    <w:qFormat/>
    <w:uiPriority w:val="0"/>
  </w:style>
  <w:style w:type="character" w:customStyle="1" w:styleId="127">
    <w:name w:val="data_bold1"/>
    <w:qFormat/>
    <w:uiPriority w:val="0"/>
    <w:rPr>
      <w:b/>
      <w:bCs/>
    </w:rPr>
  </w:style>
  <w:style w:type="paragraph" w:customStyle="1" w:styleId="128">
    <w:name w:val="表格文字"/>
    <w:basedOn w:val="1"/>
    <w:qFormat/>
    <w:uiPriority w:val="0"/>
    <w:pPr>
      <w:widowControl w:val="0"/>
      <w:spacing w:before="60" w:after="60" w:line="240" w:lineRule="auto"/>
      <w:jc w:val="center"/>
    </w:pPr>
    <w:rPr>
      <w:kern w:val="2"/>
      <w:sz w:val="22"/>
      <w:szCs w:val="24"/>
    </w:rPr>
  </w:style>
  <w:style w:type="paragraph" w:customStyle="1" w:styleId="129">
    <w:name w:val="Default"/>
    <w:qFormat/>
    <w:uiPriority w:val="0"/>
    <w:pPr>
      <w:autoSpaceDE w:val="0"/>
      <w:autoSpaceDN w:val="0"/>
      <w:adjustRightInd w:val="0"/>
    </w:pPr>
    <w:rPr>
      <w:rFonts w:ascii="Times New Roman" w:hAnsi="Times New Roman" w:eastAsia="宋体" w:cs="Times New Roman"/>
      <w:color w:val="000000"/>
      <w:kern w:val="0"/>
      <w:sz w:val="24"/>
      <w:szCs w:val="24"/>
      <w:lang w:val="en-US" w:eastAsia="zh-CN" w:bidi="ar-SA"/>
    </w:rPr>
  </w:style>
  <w:style w:type="character" w:customStyle="1" w:styleId="130">
    <w:name w:val="subjectsearched1"/>
    <w:qFormat/>
    <w:uiPriority w:val="0"/>
    <w:rPr>
      <w:rFonts w:hint="default" w:ascii="Verdana" w:hAnsi="Verdana"/>
      <w:color w:val="333399"/>
      <w:sz w:val="17"/>
      <w:szCs w:val="17"/>
    </w:rPr>
  </w:style>
  <w:style w:type="paragraph" w:customStyle="1" w:styleId="131">
    <w:name w:val="Body Text 22"/>
    <w:basedOn w:val="1"/>
    <w:qFormat/>
    <w:uiPriority w:val="0"/>
    <w:pPr>
      <w:tabs>
        <w:tab w:val="left" w:pos="0"/>
        <w:tab w:val="left" w:pos="720"/>
      </w:tabs>
      <w:spacing w:line="240" w:lineRule="auto"/>
    </w:pPr>
    <w:rPr>
      <w:rFonts w:ascii="Times" w:hAnsi="Times" w:eastAsia="Times New Roman"/>
      <w:snapToGrid w:val="0"/>
      <w:sz w:val="24"/>
      <w:lang w:eastAsia="en-US"/>
    </w:rPr>
  </w:style>
  <w:style w:type="paragraph" w:customStyle="1" w:styleId="132">
    <w:name w:val="表格注明"/>
    <w:link w:val="133"/>
    <w:qFormat/>
    <w:uiPriority w:val="0"/>
    <w:pPr>
      <w:spacing w:before="120" w:after="240"/>
    </w:pPr>
    <w:rPr>
      <w:rFonts w:ascii="Times New Roman" w:hAnsi="Times New Roman" w:eastAsia="宋体" w:cs="Times New Roman"/>
      <w:kern w:val="2"/>
      <w:sz w:val="21"/>
      <w:szCs w:val="21"/>
      <w:lang w:val="en-US" w:eastAsia="zh-CN" w:bidi="ar-SA"/>
    </w:rPr>
  </w:style>
  <w:style w:type="character" w:customStyle="1" w:styleId="133">
    <w:name w:val="表格注明 Char"/>
    <w:link w:val="132"/>
    <w:qFormat/>
    <w:uiPriority w:val="0"/>
    <w:rPr>
      <w:rFonts w:ascii="Times New Roman" w:hAnsi="Times New Roman" w:eastAsia="宋体" w:cs="Times New Roman"/>
      <w:szCs w:val="21"/>
    </w:rPr>
  </w:style>
  <w:style w:type="paragraph" w:styleId="134">
    <w:name w:val="List Paragraph"/>
    <w:basedOn w:val="1"/>
    <w:qFormat/>
    <w:uiPriority w:val="34"/>
    <w:pPr>
      <w:widowControl w:val="0"/>
      <w:spacing w:line="240" w:lineRule="auto"/>
      <w:ind w:firstLine="420"/>
    </w:pPr>
    <w:rPr>
      <w:kern w:val="2"/>
      <w:sz w:val="21"/>
      <w:szCs w:val="22"/>
    </w:rPr>
  </w:style>
  <w:style w:type="paragraph" w:customStyle="1" w:styleId="135">
    <w:name w:val="Table Paragraph"/>
    <w:basedOn w:val="1"/>
    <w:qFormat/>
    <w:uiPriority w:val="1"/>
    <w:pPr>
      <w:widowControl w:val="0"/>
      <w:autoSpaceDE w:val="0"/>
      <w:autoSpaceDN w:val="0"/>
      <w:spacing w:line="240" w:lineRule="auto"/>
      <w:jc w:val="center"/>
    </w:pPr>
    <w:rPr>
      <w:rFonts w:eastAsia="Times New Roman"/>
      <w:sz w:val="22"/>
      <w:szCs w:val="22"/>
      <w:lang w:val="zh-CN" w:bidi="zh-CN"/>
    </w:rPr>
  </w:style>
  <w:style w:type="paragraph" w:customStyle="1" w:styleId="136">
    <w:name w:val="表格名称"/>
    <w:basedOn w:val="97"/>
    <w:uiPriority w:val="0"/>
    <w:pPr>
      <w:widowControl w:val="0"/>
      <w:adjustRightInd w:val="0"/>
      <w:snapToGrid w:val="0"/>
      <w:spacing w:before="50" w:beforeLines="50" w:after="0" w:line="360" w:lineRule="auto"/>
    </w:pPr>
    <w:rPr>
      <w:rFonts w:cs="宋体"/>
      <w:position w:val="-6"/>
      <w:sz w:val="24"/>
      <w:szCs w:val="20"/>
    </w:rPr>
  </w:style>
  <w:style w:type="paragraph" w:customStyle="1" w:styleId="137">
    <w:name w:val="图名"/>
    <w:basedOn w:val="97"/>
    <w:qFormat/>
    <w:uiPriority w:val="0"/>
    <w:pPr>
      <w:widowControl w:val="0"/>
      <w:adjustRightInd w:val="0"/>
      <w:snapToGrid w:val="0"/>
      <w:spacing w:before="50" w:beforeLines="50" w:after="0" w:line="360" w:lineRule="auto"/>
    </w:pPr>
    <w:rPr>
      <w:rFonts w:cs="宋体"/>
      <w:position w:val="-6"/>
      <w:sz w:val="21"/>
      <w:szCs w:val="20"/>
    </w:rPr>
  </w:style>
  <w:style w:type="paragraph" w:customStyle="1" w:styleId="138">
    <w:name w:val="_Style 150"/>
    <w:basedOn w:val="1"/>
    <w:next w:val="134"/>
    <w:qFormat/>
    <w:uiPriority w:val="34"/>
    <w:pPr>
      <w:widowControl w:val="0"/>
      <w:spacing w:before="50" w:beforeLines="50" w:line="360" w:lineRule="auto"/>
      <w:ind w:firstLine="420"/>
    </w:pPr>
    <w:rPr>
      <w:kern w:val="2"/>
      <w:sz w:val="24"/>
      <w:szCs w:val="22"/>
    </w:rPr>
  </w:style>
  <w:style w:type="paragraph" w:customStyle="1" w:styleId="139">
    <w:name w:val="附录文字"/>
    <w:basedOn w:val="1"/>
    <w:link w:val="140"/>
    <w:autoRedefine/>
    <w:qFormat/>
    <w:uiPriority w:val="0"/>
    <w:pPr>
      <w:spacing w:line="360" w:lineRule="auto"/>
      <w:ind w:left="284" w:firstLine="420"/>
      <w:jc w:val="left"/>
    </w:pPr>
    <w:rPr>
      <w:kern w:val="2"/>
      <w:sz w:val="21"/>
      <w:szCs w:val="21"/>
    </w:rPr>
  </w:style>
  <w:style w:type="character" w:customStyle="1" w:styleId="140">
    <w:name w:val="附录文字 字符"/>
    <w:basedOn w:val="32"/>
    <w:link w:val="139"/>
    <w:autoRedefine/>
    <w:qFormat/>
    <w:uiPriority w:val="0"/>
    <w:rPr>
      <w:rFonts w:ascii="Times New Roman" w:hAnsi="Times New Roman" w:eastAsia="宋体" w:cs="Times New Roman"/>
      <w:szCs w:val="21"/>
    </w:rPr>
  </w:style>
  <w:style w:type="paragraph" w:customStyle="1" w:styleId="141">
    <w:name w:val="段"/>
    <w:link w:val="142"/>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character" w:customStyle="1" w:styleId="142">
    <w:name w:val="段 Char"/>
    <w:link w:val="141"/>
    <w:uiPriority w:val="0"/>
    <w:rPr>
      <w:rFonts w:ascii="宋体" w:hAnsi="Times New Roman" w:eastAsia="宋体" w:cs="Times New Roman"/>
      <w:kern w:val="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BA3DA-EC30-4AAA-8744-67ECBA25447E}">
  <ds:schemaRefs/>
</ds:datastoreItem>
</file>

<file path=docProps/app.xml><?xml version="1.0" encoding="utf-8"?>
<Properties xmlns="http://schemas.openxmlformats.org/officeDocument/2006/extended-properties" xmlns:vt="http://schemas.openxmlformats.org/officeDocument/2006/docPropsVTypes">
  <Template>Normal.dotm</Template>
  <Pages>19</Pages>
  <Words>8987</Words>
  <Characters>9829</Characters>
  <Lines>75</Lines>
  <Paragraphs>21</Paragraphs>
  <TotalTime>338</TotalTime>
  <ScaleCrop>false</ScaleCrop>
  <LinksUpToDate>false</LinksUpToDate>
  <CharactersWithSpaces>9917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2024-07-19T07:44:00Z</dcterms:created>
  <dc:creator>焱赫 李</dc:creator>
  <cp:lastModifiedBy>buffoon</cp:lastModifiedBy>
  <dcterms:modified xsi:type="dcterms:W3CDTF">2024-08-30T01:42:04Z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6BB70FB2F8C44553839E05FE374ABB8F_12</vt:lpwstr>
  </property>
</Properties>
</file>