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F8DF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82640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12229F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xxx</w:t>
            </w:r>
            <w:r>
              <w:rPr>
                <w:rFonts w:ascii="黑体" w:hAnsi="黑体" w:eastAsia="黑体"/>
                <w:sz w:val="21"/>
                <w:szCs w:val="21"/>
              </w:rPr>
              <w:fldChar w:fldCharType="end"/>
            </w:r>
            <w:bookmarkEnd w:id="0"/>
          </w:p>
        </w:tc>
      </w:tr>
      <w:tr w14:paraId="1A27D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D9D0E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67BD665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xxx</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56870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262881C">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14:paraId="316755EF">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AE7344C">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150976B3">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222FD9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CC109D7">
      <w:pPr>
        <w:pStyle w:val="51"/>
        <w:framePr w:w="9639" w:h="6976" w:hRule="exact" w:hSpace="0" w:vSpace="0" w:wrap="around" w:hAnchor="page" w:y="6408"/>
        <w:jc w:val="center"/>
        <w:rPr>
          <w:rFonts w:ascii="黑体" w:hAnsi="黑体" w:eastAsia="黑体"/>
          <w:b w:val="0"/>
          <w:bCs w:val="0"/>
          <w:w w:val="100"/>
        </w:rPr>
      </w:pPr>
    </w:p>
    <w:p w14:paraId="2212D416">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昭乌达牛选育疫病防治技术规范</w:t>
      </w:r>
      <w:r>
        <w:fldChar w:fldCharType="end"/>
      </w:r>
      <w:bookmarkEnd w:id="9"/>
    </w:p>
    <w:p w14:paraId="7FF24F85">
      <w:pPr>
        <w:framePr w:w="9639" w:h="6974" w:hRule="exact" w:wrap="around" w:vAnchor="page" w:hAnchor="page" w:x="1419" w:y="6408" w:anchorLock="1"/>
        <w:ind w:left="-1418"/>
      </w:pPr>
    </w:p>
    <w:p w14:paraId="13B0F558">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specification of prevention and treatment for epidemic of zhaowuda </w:t>
      </w:r>
    </w:p>
    <w:p w14:paraId="3B44333D">
      <w:pPr>
        <w:pStyle w:val="126"/>
        <w:framePr w:w="9639" w:h="6974" w:hRule="exact" w:wrap="around" w:vAnchor="page" w:hAnchor="page" w:x="1419" w:y="6408" w:anchorLock="1"/>
        <w:textAlignment w:val="bottom"/>
        <w:rPr>
          <w:rFonts w:eastAsia="黑体"/>
          <w:szCs w:val="28"/>
        </w:rPr>
      </w:pPr>
      <w:r>
        <w:rPr>
          <w:rFonts w:hint="eastAsia" w:eastAsia="黑体"/>
          <w:szCs w:val="28"/>
        </w:rPr>
        <w:t>cattle select</w:t>
      </w:r>
      <w:r>
        <w:rPr>
          <w:rFonts w:eastAsia="黑体"/>
          <w:szCs w:val="28"/>
        </w:rPr>
        <w:fldChar w:fldCharType="end"/>
      </w:r>
      <w:bookmarkEnd w:id="10"/>
    </w:p>
    <w:p w14:paraId="7EE05FFF">
      <w:pPr>
        <w:framePr w:w="9639" w:h="6974" w:hRule="exact" w:wrap="around" w:vAnchor="page" w:hAnchor="page" w:x="1419" w:y="6408" w:anchorLock="1"/>
        <w:spacing w:line="760" w:lineRule="exact"/>
        <w:ind w:left="-1418"/>
      </w:pPr>
    </w:p>
    <w:p w14:paraId="48A41072">
      <w:pPr>
        <w:pStyle w:val="126"/>
        <w:framePr w:w="9639" w:h="6974" w:hRule="exact" w:wrap="around" w:vAnchor="page" w:hAnchor="page" w:x="1419" w:y="6408" w:anchorLock="1"/>
        <w:textAlignment w:val="bottom"/>
        <w:rPr>
          <w:rFonts w:eastAsia="黑体"/>
          <w:szCs w:val="28"/>
        </w:rPr>
      </w:pPr>
    </w:p>
    <w:p w14:paraId="2C98769D">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4812E3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01EF685">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BA4A9E6">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6"/>
      <w:r>
        <w:rPr>
          <w:rFonts w:hint="eastAsia"/>
        </w:rPr>
        <w:t>发布</w:t>
      </w:r>
    </w:p>
    <w:p w14:paraId="7489E525">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9"/>
      <w:r>
        <w:rPr>
          <w:rFonts w:hint="eastAsia"/>
        </w:rPr>
        <w:t>实施</w:t>
      </w:r>
    </w:p>
    <w:p w14:paraId="73D587C9">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5867EE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39558DE7">
      <w:pPr>
        <w:spacing w:line="20" w:lineRule="exact"/>
        <w:jc w:val="center"/>
        <w:rPr>
          <w:rFonts w:ascii="黑体" w:hAnsi="黑体" w:eastAsia="黑体"/>
          <w:sz w:val="32"/>
          <w:szCs w:val="32"/>
        </w:rPr>
      </w:pPr>
      <w:bookmarkStart w:id="21" w:name="BookMark4"/>
    </w:p>
    <w:p w14:paraId="72572ADD">
      <w:pPr>
        <w:spacing w:line="20" w:lineRule="exact"/>
        <w:jc w:val="center"/>
        <w:rPr>
          <w:rFonts w:ascii="黑体" w:hAnsi="黑体" w:eastAsia="黑体"/>
          <w:sz w:val="32"/>
          <w:szCs w:val="32"/>
        </w:rPr>
      </w:pPr>
    </w:p>
    <w:sdt>
      <w:sdtPr>
        <w:rPr>
          <w:rFonts w:ascii="宋体" w:eastAsia="宋体"/>
          <w:sz w:val="21"/>
        </w:rPr>
        <w:tag w:val="NEW_STAND_NAME"/>
        <w:id w:val="595910757"/>
        <w:lock w:val="sdtLocked"/>
        <w:placeholder>
          <w:docPart w:val="07DBFB969B734393A2128F887F63D3E3"/>
        </w:placeholder>
      </w:sdtPr>
      <w:sdtEndPr>
        <w:rPr>
          <w:rFonts w:ascii="宋体" w:eastAsia="宋体"/>
          <w:sz w:val="21"/>
        </w:rPr>
      </w:sdtEndPr>
      <w:sdtContent>
        <w:p w14:paraId="111AAE27">
          <w:pPr>
            <w:pStyle w:val="238"/>
          </w:pPr>
          <w:bookmarkStart w:id="22" w:name="_Toc531183279"/>
          <w:bookmarkStart w:id="23" w:name="_Toc531183238"/>
          <w:bookmarkStart w:id="24" w:name="_Toc531183318"/>
          <w:bookmarkStart w:id="25" w:name="_Toc531183356"/>
          <w:bookmarkStart w:id="26" w:name="NEW_STAND_NAME"/>
          <w:r>
            <w:rPr>
              <w:rFonts w:hint="eastAsia"/>
            </w:rPr>
            <w:t>前</w:t>
          </w:r>
          <w:bookmarkStart w:id="27" w:name="BKQY"/>
          <w:r>
            <w:t>  </w:t>
          </w:r>
          <w:r>
            <w:rPr>
              <w:rFonts w:hint="eastAsia"/>
            </w:rPr>
            <w:t>言</w:t>
          </w:r>
          <w:bookmarkEnd w:id="22"/>
          <w:bookmarkEnd w:id="23"/>
          <w:bookmarkEnd w:id="24"/>
          <w:bookmarkEnd w:id="25"/>
          <w:bookmarkEnd w:id="27"/>
        </w:p>
        <w:p w14:paraId="0D5F201F">
          <w:pPr>
            <w:pStyle w:val="57"/>
            <w:spacing w:line="560" w:lineRule="exact"/>
            <w:ind w:firstLine="600"/>
            <w:rPr>
              <w:sz w:val="30"/>
              <w:szCs w:val="30"/>
            </w:rPr>
          </w:pPr>
        </w:p>
        <w:p w14:paraId="56787DCE">
          <w:pPr>
            <w:spacing w:line="360" w:lineRule="auto"/>
            <w:ind w:firstLine="420" w:firstLineChars="200"/>
            <w:rPr>
              <w:rFonts w:ascii="宋体" w:hAnsi="宋体" w:cs="宋体"/>
              <w:color w:val="000000"/>
              <w:kern w:val="0"/>
            </w:rPr>
          </w:pPr>
          <w:r>
            <w:rPr>
              <w:rFonts w:hint="eastAsia" w:ascii="宋体" w:hAnsi="宋体" w:cs="宋体"/>
              <w:color w:val="000000"/>
              <w:kern w:val="0"/>
            </w:rPr>
            <w:t>本文件按照GB/T 1.1-2020《标准化工作导则 第I部分:标准化文件的结构和起草规则》的规定起草。</w:t>
          </w:r>
        </w:p>
        <w:p w14:paraId="096EF05B">
          <w:pPr>
            <w:ind w:firstLine="420" w:firstLineChars="200"/>
            <w:rPr>
              <w:rFonts w:ascii="宋体" w:hAnsi="宋体"/>
              <w:bCs/>
              <w:color w:val="000000"/>
            </w:rPr>
          </w:pPr>
          <w:r>
            <w:rPr>
              <w:rFonts w:ascii="宋体" w:hAnsi="宋体"/>
              <w:bCs/>
              <w:color w:val="000000"/>
            </w:rPr>
            <w:t>本</w:t>
          </w:r>
          <w:r>
            <w:rPr>
              <w:rFonts w:hint="eastAsia" w:ascii="宋体" w:hAnsi="宋体"/>
              <w:bCs/>
              <w:color w:val="000000"/>
            </w:rPr>
            <w:t>文件</w:t>
          </w:r>
          <w:r>
            <w:rPr>
              <w:rFonts w:ascii="宋体" w:hAnsi="宋体"/>
              <w:bCs/>
              <w:color w:val="000000"/>
            </w:rPr>
            <w:t>由</w:t>
          </w:r>
          <w:r>
            <w:rPr>
              <w:rFonts w:hint="eastAsia" w:ascii="宋体" w:hAnsi="宋体"/>
              <w:bCs/>
              <w:color w:val="000000"/>
            </w:rPr>
            <w:t>赤峰市农牧技术推广中心</w:t>
          </w:r>
          <w:r>
            <w:rPr>
              <w:rFonts w:ascii="宋体" w:hAnsi="宋体"/>
              <w:bCs/>
              <w:color w:val="000000"/>
            </w:rPr>
            <w:t>提出。</w:t>
          </w:r>
        </w:p>
        <w:p w14:paraId="109D68B0">
          <w:pPr>
            <w:pStyle w:val="57"/>
            <w:spacing w:line="360" w:lineRule="auto"/>
            <w:ind w:firstLine="420"/>
            <w:rPr>
              <w:rFonts w:hAnsi="宋体"/>
              <w:bCs/>
              <w:szCs w:val="21"/>
            </w:rPr>
          </w:pPr>
          <w:r>
            <w:rPr>
              <w:rFonts w:hAnsi="宋体"/>
              <w:bCs/>
              <w:szCs w:val="21"/>
            </w:rPr>
            <w:t>本</w:t>
          </w:r>
          <w:r>
            <w:rPr>
              <w:rFonts w:hint="eastAsia" w:hAnsi="宋体"/>
              <w:bCs/>
              <w:szCs w:val="21"/>
            </w:rPr>
            <w:t>文件</w:t>
          </w:r>
          <w:r>
            <w:rPr>
              <w:rFonts w:hAnsi="宋体"/>
              <w:bCs/>
              <w:szCs w:val="21"/>
            </w:rPr>
            <w:t>由赤峰市农牧局归口。</w:t>
          </w:r>
        </w:p>
        <w:p w14:paraId="079533DF">
          <w:pPr>
            <w:pStyle w:val="57"/>
            <w:spacing w:line="360" w:lineRule="auto"/>
            <w:ind w:firstLine="420"/>
            <w:rPr>
              <w:szCs w:val="21"/>
            </w:rPr>
          </w:pPr>
          <w:r>
            <w:rPr>
              <w:rFonts w:hint="eastAsia"/>
              <w:szCs w:val="21"/>
            </w:rPr>
            <w:t>本文件起草单位：</w:t>
          </w:r>
          <w:r>
            <w:rPr>
              <w:rFonts w:hint="eastAsia" w:hAnsi="宋体"/>
              <w:bCs/>
              <w:color w:val="000000"/>
              <w:szCs w:val="21"/>
            </w:rPr>
            <w:t>赤峰市农牧技术推广中心、赤峰市农牧局、阿鲁科尔沁旗农牧技术推广中心、克什克腾旗农牧技术推广中心、敖汉旗农牧技术推广中心、巴林右旗农牧技术推广中心。</w:t>
          </w:r>
        </w:p>
        <w:p w14:paraId="39553CF9">
          <w:pPr>
            <w:pStyle w:val="236"/>
            <w:spacing w:line="360" w:lineRule="auto"/>
            <w:rPr>
              <w:rFonts w:hint="eastAsia" w:eastAsia="宋体"/>
              <w:szCs w:val="21"/>
              <w:lang w:val="en-US" w:eastAsia="zh-CN"/>
            </w:rPr>
          </w:pPr>
          <w:r>
            <w:rPr>
              <w:rFonts w:hint="eastAsia"/>
              <w:szCs w:val="21"/>
            </w:rPr>
            <w:t xml:space="preserve">本文件主要起草人：卢焱炜 王金环 梁术奎 左兰明 田如刚 韩景虎 黄国成 黄海栓 那仁图雅 梁智杰 张明俊 耿军君 夏青 宋玲 毛广广 呼德力根 王雪洁 石岩 黄海 赛汉 </w:t>
          </w:r>
          <w:r>
            <w:rPr>
              <w:rFonts w:hint="eastAsia"/>
              <w:szCs w:val="21"/>
              <w:lang w:eastAsia="zh-CN"/>
            </w:rPr>
            <w:t>王向红</w:t>
          </w:r>
        </w:p>
        <w:p w14:paraId="6465A107">
          <w:pPr>
            <w:pStyle w:val="178"/>
            <w:spacing w:before="3" w:beforeLines="1" w:after="686" w:afterLines="220"/>
          </w:pPr>
        </w:p>
        <w:p w14:paraId="14D07E6B">
          <w:pPr>
            <w:pStyle w:val="178"/>
            <w:spacing w:before="3" w:beforeLines="1" w:after="686" w:afterLines="220"/>
          </w:pPr>
        </w:p>
        <w:p w14:paraId="27BC8736">
          <w:pPr>
            <w:pStyle w:val="178"/>
            <w:spacing w:before="3" w:beforeLines="1" w:after="686" w:afterLines="220"/>
          </w:pPr>
        </w:p>
        <w:p w14:paraId="573C2857">
          <w:pPr>
            <w:pStyle w:val="178"/>
            <w:spacing w:before="3" w:beforeLines="1" w:after="686" w:afterLines="220"/>
          </w:pPr>
        </w:p>
        <w:p w14:paraId="511406B0">
          <w:pPr>
            <w:pStyle w:val="178"/>
            <w:spacing w:before="3" w:beforeLines="1" w:after="686" w:afterLines="220"/>
          </w:pPr>
        </w:p>
        <w:p w14:paraId="1A66C037">
          <w:pPr>
            <w:pStyle w:val="178"/>
            <w:spacing w:before="3" w:beforeLines="1" w:after="686" w:afterLines="220"/>
          </w:pPr>
        </w:p>
        <w:p w14:paraId="6B4D1955">
          <w:pPr>
            <w:pStyle w:val="178"/>
            <w:spacing w:before="3" w:beforeLines="1" w:after="686" w:afterLines="220"/>
            <w:jc w:val="both"/>
          </w:pPr>
          <w:bookmarkStart w:id="29" w:name="_GoBack"/>
          <w:bookmarkEnd w:id="29"/>
        </w:p>
        <w:p w14:paraId="5E121384">
          <w:pPr>
            <w:ind w:left="-420" w:leftChars="-200"/>
            <w:jc w:val="center"/>
            <w:rPr>
              <w:rFonts w:ascii="黑体" w:hAnsi="黑体" w:eastAsia="黑体" w:cs="黑体"/>
              <w:sz w:val="32"/>
              <w:szCs w:val="32"/>
            </w:rPr>
          </w:pPr>
          <w:r>
            <w:rPr>
              <w:rFonts w:hint="eastAsia" w:ascii="黑体" w:hAnsi="黑体" w:eastAsia="黑体" w:cs="黑体"/>
              <w:sz w:val="32"/>
              <w:szCs w:val="32"/>
            </w:rPr>
            <w:t>昭乌达牛选育疫病防治技术规范</w:t>
          </w:r>
        </w:p>
        <w:p w14:paraId="138F7372">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ascii="黑体" w:hAnsi="黑体" w:eastAsia="黑体" w:cs="黑体"/>
              <w:kern w:val="0"/>
            </w:rPr>
          </w:pPr>
          <w:r>
            <w:rPr>
              <w:rFonts w:hint="eastAsia" w:ascii="黑体" w:hAnsi="黑体" w:eastAsia="黑体" w:cs="黑体"/>
              <w:kern w:val="0"/>
            </w:rPr>
            <w:t>1范围</w:t>
          </w:r>
        </w:p>
        <w:p w14:paraId="50431434">
          <w:pPr>
            <w:widowControl/>
            <w:spacing w:line="360" w:lineRule="auto"/>
            <w:ind w:firstLine="420" w:firstLineChars="200"/>
            <w:jc w:val="left"/>
            <w:rPr>
              <w:rFonts w:ascii="宋体" w:hAnsi="宋体" w:cs="宋体"/>
              <w:kern w:val="0"/>
            </w:rPr>
          </w:pPr>
          <w:r>
            <w:rPr>
              <w:rFonts w:hint="eastAsia" w:ascii="宋体" w:hAnsi="宋体" w:cs="宋体"/>
              <w:kern w:val="0"/>
            </w:rPr>
            <w:t>本规范规定了昭乌达牛养殖场区环境、设施设备、卫生与消毒、寄生虫防治、主要传染病防治、档案建立方面的技术要求。</w:t>
          </w:r>
        </w:p>
        <w:p w14:paraId="27CC240D">
          <w:pPr>
            <w:widowControl/>
            <w:spacing w:line="360" w:lineRule="auto"/>
            <w:ind w:firstLine="420" w:firstLineChars="200"/>
            <w:jc w:val="left"/>
            <w:rPr>
              <w:rFonts w:ascii="宋体" w:hAnsi="宋体" w:cs="宋体"/>
              <w:kern w:val="0"/>
            </w:rPr>
          </w:pPr>
          <w:r>
            <w:rPr>
              <w:rFonts w:hint="eastAsia" w:ascii="宋体" w:hAnsi="宋体" w:cs="宋体"/>
              <w:kern w:val="0"/>
            </w:rPr>
            <w:t>本规范适用于赤峰地区的昭乌达牛的疫病防治。</w:t>
          </w:r>
        </w:p>
        <w:p w14:paraId="14D5EA93">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2规范性引用文件</w:t>
          </w:r>
        </w:p>
        <w:p w14:paraId="2A045E46">
          <w:pPr>
            <w:widowControl/>
            <w:spacing w:line="360" w:lineRule="auto"/>
            <w:ind w:firstLine="420" w:firstLineChars="200"/>
            <w:jc w:val="left"/>
            <w:rPr>
              <w:rFonts w:ascii="宋体" w:hAnsi="宋体" w:cs="宋体"/>
              <w:kern w:val="0"/>
            </w:rPr>
          </w:pPr>
          <w:r>
            <w:rPr>
              <w:rFonts w:hint="eastAsia" w:ascii="宋体" w:hAnsi="宋体" w:cs="宋体"/>
              <w:kern w:val="0"/>
            </w:rPr>
            <w:t>下列文件对于本文件的应用是必不可少的。凡是注日期的引用文件，仅所注日期的版本适用于本文件。凡是不注日期的引用文件，其最新版本(包括所有的修改单)适用于本文件。</w:t>
          </w:r>
        </w:p>
        <w:p w14:paraId="002CADFC">
          <w:pPr>
            <w:widowControl/>
            <w:spacing w:line="360" w:lineRule="auto"/>
            <w:ind w:firstLine="420" w:firstLineChars="200"/>
            <w:jc w:val="left"/>
            <w:rPr>
              <w:rFonts w:ascii="宋体" w:hAnsi="宋体" w:cs="宋体"/>
              <w:kern w:val="0"/>
            </w:rPr>
          </w:pPr>
          <w:r>
            <w:rPr>
              <w:rFonts w:hint="eastAsia" w:ascii="宋体" w:hAnsi="宋体" w:cs="宋体"/>
              <w:kern w:val="0"/>
            </w:rPr>
            <w:t>GB/T 16569 畜禽产品消毒规范</w:t>
          </w:r>
        </w:p>
        <w:p w14:paraId="08FB2706">
          <w:pPr>
            <w:widowControl/>
            <w:spacing w:line="360" w:lineRule="auto"/>
            <w:ind w:firstLine="420" w:firstLineChars="200"/>
            <w:jc w:val="left"/>
            <w:rPr>
              <w:rFonts w:ascii="宋体" w:hAnsi="宋体" w:cs="宋体"/>
              <w:kern w:val="0"/>
            </w:rPr>
          </w:pPr>
          <w:r>
            <w:rPr>
              <w:rFonts w:hint="eastAsia" w:ascii="宋体" w:hAnsi="宋体" w:cs="宋体"/>
              <w:kern w:val="0"/>
            </w:rPr>
            <w:t>GB/T 18645 动物结核病诊断技术</w:t>
          </w:r>
        </w:p>
        <w:p w14:paraId="5F2A75A2">
          <w:pPr>
            <w:widowControl/>
            <w:spacing w:line="360" w:lineRule="auto"/>
            <w:ind w:firstLine="420" w:firstLineChars="200"/>
            <w:jc w:val="left"/>
            <w:rPr>
              <w:rFonts w:ascii="宋体" w:hAnsi="宋体" w:cs="宋体"/>
              <w:kern w:val="0"/>
            </w:rPr>
          </w:pPr>
          <w:r>
            <w:rPr>
              <w:rFonts w:hint="eastAsia" w:ascii="宋体" w:hAnsi="宋体" w:cs="宋体"/>
              <w:kern w:val="0"/>
            </w:rPr>
            <w:t>GB/T 18646 动物布鲁氏菌病诊断技术</w:t>
          </w:r>
        </w:p>
        <w:p w14:paraId="2B1C802D">
          <w:pPr>
            <w:widowControl/>
            <w:spacing w:line="360" w:lineRule="auto"/>
            <w:ind w:firstLine="420" w:firstLineChars="200"/>
            <w:jc w:val="left"/>
            <w:rPr>
              <w:rFonts w:ascii="宋体" w:hAnsi="宋体" w:cs="宋体"/>
              <w:kern w:val="0"/>
            </w:rPr>
          </w:pPr>
          <w:r>
            <w:rPr>
              <w:rFonts w:hint="eastAsia" w:ascii="宋体" w:hAnsi="宋体" w:cs="宋体"/>
              <w:kern w:val="0"/>
            </w:rPr>
            <w:t>GB/T 22330 无规定动物疫病小区管理技术规范</w:t>
          </w:r>
        </w:p>
        <w:p w14:paraId="6E2FF60B">
          <w:pPr>
            <w:widowControl/>
            <w:spacing w:line="360" w:lineRule="auto"/>
            <w:ind w:firstLine="420" w:firstLineChars="200"/>
            <w:jc w:val="left"/>
            <w:rPr>
              <w:rFonts w:ascii="宋体" w:hAnsi="宋体" w:cs="宋体"/>
              <w:kern w:val="0"/>
            </w:rPr>
          </w:pPr>
          <w:r>
            <w:rPr>
              <w:rFonts w:hint="eastAsia" w:ascii="宋体" w:hAnsi="宋体" w:cs="宋体"/>
              <w:kern w:val="0"/>
            </w:rPr>
            <w:t>NY/T 1167  畜禽场环境质量及卫生控制规范</w:t>
          </w:r>
        </w:p>
        <w:p w14:paraId="4AD2FEE6">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中华人民共和国动物防疫法（2021年修订）</w:t>
          </w:r>
        </w:p>
        <w:p w14:paraId="74B81E46">
          <w:pPr>
            <w:widowControl/>
            <w:spacing w:line="360" w:lineRule="auto"/>
            <w:ind w:left="529" w:leftChars="152" w:hanging="210" w:hangingChars="100"/>
            <w:jc w:val="left"/>
            <w:rPr>
              <w:rFonts w:ascii="宋体" w:hAnsi="宋体" w:cs="宋体"/>
              <w:kern w:val="0"/>
            </w:rPr>
          </w:pPr>
          <w:r>
            <w:rPr>
              <w:rFonts w:hint="eastAsia" w:ascii="宋体" w:hAnsi="宋体" w:cs="宋体"/>
              <w:kern w:val="0"/>
            </w:rPr>
            <w:t>《动物防疫条件审查办法》（中华人民共和国农业农村令 2022年第8号）</w:t>
          </w:r>
        </w:p>
        <w:p w14:paraId="633C38BC">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3术语和定义</w:t>
          </w:r>
        </w:p>
        <w:p w14:paraId="78EEB5C6">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下列术语和定义适用于本文件</w:t>
          </w:r>
        </w:p>
        <w:p w14:paraId="7BFC44E7">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3.1</w:t>
          </w:r>
        </w:p>
        <w:p w14:paraId="7BB1807C">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动物疫病 animal epidemic disease</w:t>
          </w:r>
        </w:p>
        <w:p w14:paraId="1F6A499B">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动物的传染病和寄生虫病。</w:t>
          </w:r>
        </w:p>
        <w:p w14:paraId="7DB29F44">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3.2</w:t>
          </w:r>
        </w:p>
        <w:p w14:paraId="710E1E56">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病原体 pathogen</w:t>
          </w:r>
        </w:p>
        <w:p w14:paraId="2F767B83">
          <w:pPr>
            <w:widowControl/>
            <w:spacing w:line="360" w:lineRule="auto"/>
            <w:ind w:left="-420" w:leftChars="-200" w:firstLine="840" w:firstLineChars="400"/>
            <w:jc w:val="left"/>
            <w:rPr>
              <w:rFonts w:ascii="黑体" w:hAnsi="黑体" w:eastAsia="黑体" w:cs="黑体"/>
              <w:kern w:val="0"/>
            </w:rPr>
          </w:pPr>
          <w:r>
            <w:rPr>
              <w:rFonts w:hint="eastAsia" w:ascii="宋体" w:hAnsi="宋体" w:cs="宋体"/>
              <w:kern w:val="0"/>
            </w:rPr>
            <w:t>能引起疾病的生物体，包括寄生虫和致病微生物。</w:t>
          </w:r>
        </w:p>
        <w:p w14:paraId="0332BEFF">
          <w:pPr>
            <w:widowControl/>
            <w:spacing w:line="360" w:lineRule="auto"/>
            <w:ind w:left="-420" w:leftChars="-200" w:firstLine="420" w:firstLineChars="200"/>
            <w:jc w:val="left"/>
            <w:rPr>
              <w:rFonts w:ascii="黑体" w:hAnsi="黑体" w:eastAsia="黑体" w:cs="宋体"/>
              <w:kern w:val="0"/>
            </w:rPr>
          </w:pPr>
          <w:r>
            <w:rPr>
              <w:rFonts w:hint="eastAsia" w:ascii="黑体" w:hAnsi="黑体" w:eastAsia="黑体" w:cs="宋体"/>
              <w:kern w:val="0"/>
            </w:rPr>
            <w:t>3.3</w:t>
          </w:r>
        </w:p>
        <w:p w14:paraId="5CCFA0D9">
          <w:pPr>
            <w:widowControl/>
            <w:spacing w:line="360" w:lineRule="auto"/>
            <w:ind w:left="-420" w:leftChars="-200" w:firstLine="420" w:firstLineChars="200"/>
            <w:jc w:val="left"/>
            <w:rPr>
              <w:rFonts w:ascii="黑体" w:hAnsi="黑体" w:eastAsia="黑体" w:cs="宋体"/>
              <w:kern w:val="0"/>
            </w:rPr>
          </w:pPr>
          <w:r>
            <w:rPr>
              <w:rFonts w:hint="eastAsia" w:ascii="黑体" w:hAnsi="黑体" w:eastAsia="黑体" w:cs="宋体"/>
              <w:kern w:val="0"/>
            </w:rPr>
            <w:t>动物防疫animal epidemic prevention</w:t>
          </w:r>
        </w:p>
        <w:p w14:paraId="66BFD3DA">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动物疫病的预防、控制、扑灭和动物、动物产品的检疫。</w:t>
          </w:r>
        </w:p>
        <w:p w14:paraId="30014322">
          <w:pPr>
            <w:widowControl/>
            <w:spacing w:line="360" w:lineRule="auto"/>
            <w:ind w:left="-420" w:leftChars="-200" w:firstLine="420" w:firstLineChars="200"/>
            <w:rPr>
              <w:rFonts w:ascii="黑体" w:hAnsi="黑体" w:eastAsia="黑体" w:cs="黑体"/>
              <w:kern w:val="0"/>
            </w:rPr>
          </w:pPr>
          <w:r>
            <w:rPr>
              <w:rFonts w:hint="eastAsia" w:ascii="黑体" w:hAnsi="黑体" w:eastAsia="黑体" w:cs="黑体"/>
              <w:kern w:val="0"/>
            </w:rPr>
            <w:t>3.4</w:t>
          </w:r>
        </w:p>
        <w:p w14:paraId="568B8136">
          <w:pPr>
            <w:widowControl/>
            <w:spacing w:line="360" w:lineRule="auto"/>
            <w:ind w:left="-420" w:leftChars="-200" w:firstLine="420" w:firstLineChars="200"/>
            <w:rPr>
              <w:rFonts w:ascii="黑体" w:hAnsi="黑体" w:eastAsia="黑体" w:cs="黑体"/>
              <w:kern w:val="0"/>
            </w:rPr>
          </w:pPr>
          <w:r>
            <w:rPr>
              <w:rFonts w:hint="eastAsia" w:ascii="黑体" w:hAnsi="黑体" w:eastAsia="黑体" w:cs="黑体"/>
              <w:kern w:val="0"/>
            </w:rPr>
            <w:t>疫苗 vaccine</w:t>
          </w:r>
        </w:p>
        <w:p w14:paraId="5B2EA67B">
          <w:pPr>
            <w:widowControl/>
            <w:spacing w:line="360" w:lineRule="auto"/>
            <w:ind w:firstLine="420" w:firstLineChars="200"/>
            <w:rPr>
              <w:rFonts w:ascii="宋体" w:hAnsi="宋体" w:cs="宋体"/>
              <w:kern w:val="0"/>
            </w:rPr>
          </w:pPr>
          <w:r>
            <w:rPr>
              <w:rFonts w:hint="eastAsia" w:ascii="宋体" w:hAnsi="宋体" w:cs="宋体"/>
              <w:kern w:val="0"/>
            </w:rPr>
            <w:t>是由完整的微生物(天然或人工改造的)或微生物的分泌成份(毒素)或微生物的部分基因序列经生物学、生物化学和分子生物学等技术加工制成的用于疾病预防控制的一种生物制品，由于它具有药物的某些特性，又不同于一般的药品，因此常将其称为一种具有免疫生物活性的特殊药品。</w:t>
          </w:r>
        </w:p>
        <w:p w14:paraId="2FA8D7C7">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3.5</w:t>
          </w:r>
        </w:p>
        <w:p w14:paraId="3F20CA73">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免疫监测immune surveillance</w:t>
          </w:r>
        </w:p>
        <w:p w14:paraId="4454345A">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普查或抽查动物群体的抗体水平，以监测群体的免疫状态，为实施计划免疫和加强免疫提供依据。</w:t>
          </w:r>
        </w:p>
        <w:p w14:paraId="1DDBB610">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3.6</w:t>
          </w:r>
        </w:p>
        <w:p w14:paraId="251E221D">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疫病监测 epidemic surveillance</w:t>
          </w:r>
        </w:p>
        <w:p w14:paraId="4006814D">
          <w:pPr>
            <w:widowControl/>
            <w:spacing w:line="360" w:lineRule="auto"/>
            <w:ind w:left="-420" w:leftChars="-200" w:firstLine="840" w:firstLineChars="400"/>
            <w:jc w:val="left"/>
            <w:rPr>
              <w:rFonts w:ascii="宋体" w:hAnsi="宋体" w:cs="宋体"/>
              <w:kern w:val="0"/>
            </w:rPr>
          </w:pPr>
          <w:r>
            <w:rPr>
              <w:rFonts w:hint="eastAsia" w:ascii="宋体" w:hAnsi="宋体" w:cs="宋体"/>
              <w:kern w:val="0"/>
            </w:rPr>
            <w:t>由动物防疫部门组织实施，按照规定的方法，对规定的动物疫病进行定期检测和结果分析。</w:t>
          </w:r>
        </w:p>
        <w:p w14:paraId="377B7AA3">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4牛场场区环境</w:t>
          </w:r>
        </w:p>
        <w:p w14:paraId="18A9B92C">
          <w:pPr>
            <w:widowControl/>
            <w:spacing w:line="360" w:lineRule="auto"/>
            <w:jc w:val="left"/>
            <w:rPr>
              <w:rFonts w:ascii="宋体" w:hAnsi="宋体" w:cs="宋体"/>
              <w:kern w:val="0"/>
            </w:rPr>
          </w:pPr>
          <w:r>
            <w:rPr>
              <w:rFonts w:hint="eastAsia" w:ascii="宋体" w:hAnsi="宋体" w:cs="宋体"/>
              <w:kern w:val="0"/>
            </w:rPr>
            <w:t>4.1牛饲养场的环境卫生质量应符合《动物防疫条件审查办法》规定要求。各场区之间，各场区与动物诊疗场所、居民生活区、生活饮用水水源地、学校、医院等公共场所之间保持必要的距离。</w:t>
          </w:r>
        </w:p>
        <w:p w14:paraId="077F6108">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4.2 场区周围建有围墙等隔离设施；场区出入口处设置运输车辆消毒通道，并单独设置人员消毒通道；生产经营区与生活办公区分开，并有隔离设施；生产经营区入口处设置人员更衣消毒室。</w:t>
          </w:r>
        </w:p>
        <w:p w14:paraId="60EDA11F">
          <w:pPr>
            <w:autoSpaceDE w:val="0"/>
            <w:autoSpaceDN w:val="0"/>
            <w:spacing w:line="360" w:lineRule="auto"/>
            <w:ind w:left="-420" w:leftChars="-200" w:firstLine="420" w:firstLineChars="200"/>
            <w:jc w:val="left"/>
            <w:rPr>
              <w:rFonts w:ascii="宋体" w:hAnsi="宋体" w:cs="宋体"/>
              <w:kern w:val="0"/>
            </w:rPr>
          </w:pPr>
          <w:r>
            <w:rPr>
              <w:rFonts w:hint="eastAsia" w:ascii="宋体" w:hAnsi="宋体" w:cs="宋体"/>
              <w:kern w:val="0"/>
            </w:rPr>
            <w:t>4.3 场区周围设有围墙、防风林、灌木、防疫沟或其它物理屏障等隔离设施或措施。</w:t>
          </w:r>
        </w:p>
        <w:p w14:paraId="451EE2B1">
          <w:pPr>
            <w:spacing w:line="360" w:lineRule="auto"/>
            <w:ind w:left="-420" w:leftChars="-200" w:firstLine="420" w:firstLineChars="200"/>
            <w:rPr>
              <w:rFonts w:ascii="宋体" w:hAnsi="宋体" w:cs="宋体"/>
              <w:kern w:val="0"/>
            </w:rPr>
          </w:pPr>
          <w:bookmarkStart w:id="28" w:name="_Hlk132315099"/>
          <w:r>
            <w:rPr>
              <w:rFonts w:hint="eastAsia" w:ascii="宋体" w:hAnsi="宋体" w:cs="宋体"/>
              <w:kern w:val="0"/>
            </w:rPr>
            <w:t>4.4场</w:t>
          </w:r>
          <w:bookmarkEnd w:id="28"/>
          <w:r>
            <w:rPr>
              <w:rFonts w:hint="eastAsia" w:ascii="宋体" w:hAnsi="宋体" w:cs="宋体"/>
              <w:kern w:val="0"/>
            </w:rPr>
            <w:t>区明显位置设防疫警示标语、警示标牌等防疫标志。</w:t>
          </w:r>
        </w:p>
        <w:p w14:paraId="5A12C8BD">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5设施设备</w:t>
          </w:r>
        </w:p>
        <w:p w14:paraId="0AFD511A">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5.1配备必要的防疫设施设备，建立档案，按计划开展维护和保养，保存相关记录。</w:t>
          </w:r>
        </w:p>
        <w:p w14:paraId="32FED5AC">
          <w:pPr>
            <w:widowControl/>
            <w:spacing w:line="360" w:lineRule="auto"/>
            <w:jc w:val="left"/>
            <w:rPr>
              <w:rFonts w:ascii="宋体" w:hAnsi="宋体" w:cs="宋体"/>
              <w:kern w:val="0"/>
            </w:rPr>
          </w:pPr>
          <w:r>
            <w:rPr>
              <w:rFonts w:hint="eastAsia" w:ascii="宋体" w:hAnsi="宋体" w:cs="宋体"/>
              <w:kern w:val="0"/>
            </w:rPr>
            <w:t>5.2设置明显的防疫标志，并设置与外界有效隔离的设施，设置防鸟、防鼠、防犬猫进入的措施和设施。5.3牛场门口设置消毒池，配备消毒车、高压喷枪等对全场定期进行消毒，配备洗手盆、更衣室、人员消毒通道等，对进入人员进行消毒，每栋牛舍门口设置消毒池和洗手设备。</w:t>
          </w:r>
        </w:p>
        <w:p w14:paraId="10B0D453">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5.4设置隔离舍，保持隔离舍与生产区的有效隔离。</w:t>
          </w:r>
        </w:p>
        <w:p w14:paraId="68C7A377">
          <w:pPr>
            <w:widowControl/>
            <w:spacing w:line="360" w:lineRule="auto"/>
            <w:jc w:val="left"/>
            <w:rPr>
              <w:rFonts w:ascii="宋体" w:hAnsi="宋体" w:cs="宋体"/>
              <w:kern w:val="0"/>
            </w:rPr>
          </w:pPr>
          <w:r>
            <w:rPr>
              <w:rFonts w:hint="eastAsia" w:ascii="宋体" w:hAnsi="宋体" w:cs="宋体"/>
              <w:kern w:val="0"/>
            </w:rPr>
            <w:t>5.5设置兽医室，配备冷藏、常用临床诊疗器械及医疗器械、消毒等设备，满足日常诊疗、采样和血清分离等工作需要。</w:t>
          </w:r>
        </w:p>
        <w:p w14:paraId="4D80AFCC">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5.6 配备处理粪污的环保设施设备，设固定的牛粪储存、堆放设施和场所，有防雨、防渗漏、防溢流措施。</w:t>
          </w:r>
        </w:p>
        <w:p w14:paraId="32F8283E">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6 卫生与消毒</w:t>
          </w:r>
        </w:p>
        <w:p w14:paraId="54E9AFE6">
          <w:pPr>
            <w:widowControl/>
            <w:spacing w:line="360" w:lineRule="auto"/>
            <w:jc w:val="left"/>
            <w:rPr>
              <w:rFonts w:ascii="宋体" w:hAnsi="宋体" w:cs="宋体"/>
              <w:kern w:val="0"/>
            </w:rPr>
          </w:pPr>
          <w:r>
            <w:rPr>
              <w:rFonts w:hint="eastAsia" w:ascii="宋体" w:hAnsi="宋体" w:cs="宋体"/>
              <w:kern w:val="0"/>
            </w:rPr>
            <w:t>6.1常用消毒药物3%氢氧化钠，0.2%过氧乙酸，0.5%次氯酸钠，0.1%消毒威和生石灰等其它具有合法生产批准文号的消毒药。消毒药物不能长期使用1种，至少要3种以上交替使用；也不可同时混合使用。6.2定期进行圈舍和场区环境的清扫。每天清洗牛舍槽道和地面，清除粪便和污物；运动场保持干燥，及时清除粪便；场区内垫平洼地，清除杂草，灭蝇灭鼠。</w:t>
          </w:r>
        </w:p>
        <w:p w14:paraId="60BEC8BF">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6.3场内建立必要的出入消毒通道。车辆进出口应设消毒池，池内放置2%过氧化钠溶液或20%石灰乳并对进入车辆进行喷雾消毒,人员出入通道设消毒池。</w:t>
          </w:r>
        </w:p>
        <w:p w14:paraId="08AB38D1">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6.4养殖场必须定期消毒。按照GB/T 16569的要求，场区每半月消毒1次，圈舍每周消毒1次，饲养用具每周用消毒液刷洗1次，场区内道路、建筑应每季度消毒1次。</w:t>
          </w:r>
        </w:p>
        <w:p w14:paraId="60DA4C48">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6.5工作人员进入生产区必须通过消毒通道，更换消毒衣、帽、鞋才能进入牛舍。严禁非生产人员进入饲养区。</w:t>
          </w:r>
        </w:p>
        <w:p w14:paraId="40436388">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7寄生虫防治</w:t>
          </w:r>
        </w:p>
        <w:p w14:paraId="07DFEC8A">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7.1驱虫基本原则</w:t>
          </w:r>
        </w:p>
        <w:p w14:paraId="1CB5066B">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7.1.1根据本场寄生虫病发生与流行特点，选择高效、低毒驱虫药物，制定本场年度驱虫计划。</w:t>
          </w:r>
        </w:p>
        <w:p w14:paraId="338757D7">
          <w:pPr>
            <w:widowControl/>
            <w:spacing w:line="360" w:lineRule="auto"/>
            <w:ind w:left="210" w:hanging="210" w:hangingChars="100"/>
            <w:jc w:val="left"/>
            <w:rPr>
              <w:rFonts w:ascii="宋体" w:hAnsi="宋体" w:cs="宋体"/>
              <w:kern w:val="0"/>
            </w:rPr>
          </w:pPr>
          <w:r>
            <w:rPr>
              <w:rFonts w:hint="eastAsia" w:ascii="宋体" w:hAnsi="宋体" w:cs="宋体"/>
              <w:kern w:val="0"/>
            </w:rPr>
            <w:t>7.1.2用药时应严格按照说明使用，要考虑剂量的控制，不能随意提高或降低剂量，特别是对孕畜和仔畜。</w:t>
          </w:r>
        </w:p>
        <w:p w14:paraId="4AD99B8E">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7.1.3驱虫时要保证全群同步按计划进行，为减少对新场地的寄生虫污染，尽可能安排转场前驱虫。</w:t>
          </w:r>
        </w:p>
        <w:p w14:paraId="728067CA">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7.1.4要考虑交替用药，避免抗药性的产生。</w:t>
          </w:r>
        </w:p>
        <w:p w14:paraId="2D35125D">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7.1.5驱虫后要严格处理粪便，堆积发酵，杀灭成虫虫卵，以避免重复感染。</w:t>
          </w:r>
        </w:p>
        <w:p w14:paraId="533B8653">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7.2常用驱虫药物。</w:t>
          </w:r>
        </w:p>
        <w:p w14:paraId="7A334D49">
          <w:pPr>
            <w:keepNext w:val="0"/>
            <w:keepLines w:val="0"/>
            <w:pageBreakBefore w:val="0"/>
            <w:widowControl/>
            <w:kinsoku/>
            <w:wordWrap/>
            <w:overflowPunct/>
            <w:topLinePunct w:val="0"/>
            <w:autoSpaceDE/>
            <w:autoSpaceDN/>
            <w:bidi w:val="0"/>
            <w:adjustRightInd w:val="0"/>
            <w:snapToGrid/>
            <w:spacing w:line="360" w:lineRule="auto"/>
            <w:ind w:left="0" w:leftChars="0"/>
            <w:jc w:val="left"/>
            <w:textAlignment w:val="auto"/>
            <w:rPr>
              <w:rFonts w:ascii="宋体" w:hAnsi="宋体" w:cs="宋体"/>
              <w:kern w:val="0"/>
            </w:rPr>
          </w:pPr>
          <w:r>
            <w:rPr>
              <w:rFonts w:hint="eastAsia" w:ascii="宋体" w:hAnsi="宋体" w:cs="宋体"/>
              <w:kern w:val="0"/>
            </w:rPr>
            <w:t>伊维菌素、丙硫苯咪唑、芬苯哒唑、硫双二氯酚、螨净、倍硫磷、蝇毒磷等其它具有合法生产批准文号的药品。驱虫时间及用药见附录A。</w:t>
          </w:r>
        </w:p>
        <w:p w14:paraId="2B1EB8FE">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8主要传染病防治</w:t>
          </w:r>
        </w:p>
        <w:p w14:paraId="369AA06C">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8.1传染病预防基本原则</w:t>
          </w:r>
        </w:p>
        <w:p w14:paraId="258EA1E0">
          <w:pPr>
            <w:keepNext w:val="0"/>
            <w:keepLines w:val="0"/>
            <w:pageBreakBefore w:val="0"/>
            <w:widowControl/>
            <w:kinsoku/>
            <w:wordWrap/>
            <w:overflowPunct/>
            <w:topLinePunct w:val="0"/>
            <w:autoSpaceDE/>
            <w:autoSpaceDN/>
            <w:bidi w:val="0"/>
            <w:adjustRightInd w:val="0"/>
            <w:snapToGrid/>
            <w:spacing w:line="360" w:lineRule="auto"/>
            <w:ind w:left="0" w:leftChars="0"/>
            <w:jc w:val="left"/>
            <w:textAlignment w:val="auto"/>
            <w:rPr>
              <w:rFonts w:ascii="宋体" w:hAnsi="宋体" w:cs="宋体"/>
              <w:kern w:val="0"/>
            </w:rPr>
          </w:pPr>
          <w:r>
            <w:rPr>
              <w:rFonts w:hint="eastAsia" w:ascii="宋体" w:hAnsi="宋体" w:cs="宋体"/>
              <w:kern w:val="0"/>
            </w:rPr>
            <w:t>牛场应无口蹄疫、牛肺疫、牛海绵状脑病发生。牛结核病、布鲁氏菌病应达到净化标准，并应逐步开展牛传染性鼻气管炎、牛病毒性腹泻和粘膜病、牛白血病、牛副结核的检疫净化工作。要符合 GB/T 22330的要求。</w:t>
          </w:r>
        </w:p>
        <w:p w14:paraId="19D1EDA6">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8.1.1在严格控制外来传染病进入的基础上，制定年度检疫、免疫、消毒计划，定期开展对主要传染病的检疫净化、免疫等工作。</w:t>
          </w:r>
        </w:p>
        <w:p w14:paraId="5F1EC190">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8.1.2应建立本场重大疫病应急预案。牛场发生或怀疑发生一类疫病时，驻场兽医应立即进行临床诊断，并采集病料在规定时间内立即向当地动物防疫机构报告，封锁现场。当发现疑似非一类传染病牛时应及时隔离和检疫。根据检疫结果和农业农村部对各种不同传染病的防控技术要求予以处置。</w:t>
          </w:r>
        </w:p>
        <w:p w14:paraId="0C1B2104">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宋体" w:hAnsi="宋体" w:cs="宋体"/>
              <w:kern w:val="0"/>
            </w:rPr>
            <w:t>8.1.3牛场应根据《中华人民共和国动物防疫法》及其配套法规的要求，结合当地实际情况，有选择地进行疫病的预防接种工作，并注意选择适宜的疫苗和免疫方法。重大疫病强制免疫接种率要达到100%。</w:t>
          </w:r>
        </w:p>
        <w:p w14:paraId="6601670D">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8.1.4按法规要求，对捕杀后的染疫牛应进行无害化处理。</w:t>
          </w:r>
        </w:p>
        <w:p w14:paraId="54B2753A">
          <w:pPr>
            <w:widowControl/>
            <w:spacing w:line="360" w:lineRule="auto"/>
            <w:ind w:left="-420" w:leftChars="-200" w:firstLine="420" w:firstLineChars="200"/>
            <w:jc w:val="left"/>
            <w:rPr>
              <w:rFonts w:ascii="宋体" w:hAnsi="宋体" w:cs="宋体"/>
              <w:kern w:val="0"/>
            </w:rPr>
          </w:pPr>
          <w:r>
            <w:rPr>
              <w:rFonts w:hint="eastAsia" w:ascii="宋体" w:hAnsi="宋体" w:cs="宋体"/>
              <w:kern w:val="0"/>
            </w:rPr>
            <w:t>8.1.5传染病扑灭后及疫区解除封锁前，对全场进行一次消毒。</w:t>
          </w:r>
        </w:p>
        <w:p w14:paraId="70953ED4">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8.2口蹄疫预防</w:t>
          </w:r>
        </w:p>
        <w:p w14:paraId="29ABCA8B">
          <w:pPr>
            <w:keepNext w:val="0"/>
            <w:keepLines w:val="0"/>
            <w:pageBreakBefore w:val="0"/>
            <w:widowControl/>
            <w:kinsoku/>
            <w:wordWrap/>
            <w:overflowPunct/>
            <w:topLinePunct w:val="0"/>
            <w:autoSpaceDE/>
            <w:autoSpaceDN/>
            <w:bidi w:val="0"/>
            <w:adjustRightInd w:val="0"/>
            <w:snapToGrid/>
            <w:spacing w:line="360" w:lineRule="auto"/>
            <w:ind w:left="0" w:leftChars="0" w:firstLine="0" w:firstLineChars="0"/>
            <w:jc w:val="left"/>
            <w:textAlignment w:val="auto"/>
            <w:rPr>
              <w:rFonts w:hint="eastAsia" w:ascii="宋体" w:hAnsi="宋体" w:cs="宋体"/>
              <w:kern w:val="0"/>
            </w:rPr>
          </w:pPr>
          <w:r>
            <w:rPr>
              <w:rFonts w:hint="eastAsia" w:ascii="宋体" w:hAnsi="宋体" w:cs="宋体"/>
              <w:kern w:val="0"/>
            </w:rPr>
            <w:t>用牛O型亚洲I型双价口蹄疫灭活苗实施100%高密度免疫，每年3次，必需注意孕牛、犊牛的补免。在此基础上，用液相阻断ELISA法定期进行抗体水平监测，进行免疫效果评价，并根据情况对免疫程序进行调整。</w:t>
          </w:r>
        </w:p>
        <w:p w14:paraId="2840412B">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8.3牛结核病预防</w:t>
          </w:r>
        </w:p>
        <w:p w14:paraId="3ACB936F">
          <w:pPr>
            <w:keepNext w:val="0"/>
            <w:keepLines w:val="0"/>
            <w:pageBreakBefore w:val="0"/>
            <w:widowControl/>
            <w:kinsoku/>
            <w:wordWrap/>
            <w:overflowPunct/>
            <w:topLinePunct w:val="0"/>
            <w:autoSpaceDE/>
            <w:autoSpaceDN/>
            <w:bidi w:val="0"/>
            <w:adjustRightInd w:val="0"/>
            <w:snapToGrid/>
            <w:spacing w:line="360" w:lineRule="auto"/>
            <w:ind w:left="0" w:leftChars="0" w:firstLine="0" w:firstLineChars="0"/>
            <w:jc w:val="left"/>
            <w:textAlignment w:val="auto"/>
            <w:rPr>
              <w:rFonts w:ascii="宋体" w:hAnsi="宋体" w:cs="宋体"/>
              <w:kern w:val="0"/>
            </w:rPr>
          </w:pPr>
          <w:r>
            <w:rPr>
              <w:rFonts w:hint="eastAsia" w:ascii="宋体" w:hAnsi="宋体" w:cs="宋体"/>
              <w:kern w:val="0"/>
            </w:rPr>
            <w:t>采取检疫扑杀阳性牛方法达到净化。检疫采用结核分枝杆菌PPD皮内变态反应实验按GB/T 18645执行，种公牛、生产母牛、青年牛、育肥牛的10%每年2次检疫，初生犊牛20日龄进行第一次检疫，检疫阳性牛扑杀，并作无害化处理。</w:t>
          </w:r>
        </w:p>
        <w:p w14:paraId="00AD95BB">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8.4牛布鲁氏菌病预防</w:t>
          </w:r>
        </w:p>
        <w:p w14:paraId="449B60F4">
          <w:pPr>
            <w:keepNext w:val="0"/>
            <w:keepLines w:val="0"/>
            <w:pageBreakBefore w:val="0"/>
            <w:widowControl/>
            <w:kinsoku/>
            <w:wordWrap/>
            <w:overflowPunct/>
            <w:topLinePunct w:val="0"/>
            <w:autoSpaceDE/>
            <w:autoSpaceDN/>
            <w:bidi w:val="0"/>
            <w:adjustRightInd w:val="0"/>
            <w:snapToGrid/>
            <w:spacing w:line="360" w:lineRule="auto"/>
            <w:ind w:left="0" w:leftChars="0" w:firstLine="0" w:firstLineChars="0"/>
            <w:jc w:val="left"/>
            <w:textAlignment w:val="auto"/>
            <w:rPr>
              <w:rFonts w:ascii="宋体" w:hAnsi="宋体" w:cs="宋体"/>
              <w:kern w:val="0"/>
            </w:rPr>
          </w:pPr>
          <w:r>
            <w:rPr>
              <w:rFonts w:hint="eastAsia" w:ascii="宋体" w:hAnsi="宋体" w:cs="宋体"/>
              <w:kern w:val="0"/>
            </w:rPr>
            <w:t>疫情不严重牛场，原则不采取免疫控制而采取检疫扑杀阳性牛方法达到净化。疫情严重牛场，采取免疫控制和阳性牛扑杀方法达到净化。检疫采用虎红平板凝集试验(RBPT)进行初检，用试管凝集试验(SAT)进行复检，复检按 GB/T 18646 执行，非免疫地区种公牛、生产母牛、青年牛、育肥牛的10%每年2次检疫，免疫地区牛免疫18个月以后进行检疫，检疫阳性牛扑杀，并作无害化处理。</w:t>
          </w:r>
        </w:p>
        <w:p w14:paraId="4180EB8E">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8.5牛结节性皮肤病预防</w:t>
          </w:r>
        </w:p>
        <w:p w14:paraId="454A6E55">
          <w:pPr>
            <w:keepNext w:val="0"/>
            <w:keepLines w:val="0"/>
            <w:pageBreakBefore w:val="0"/>
            <w:widowControl/>
            <w:kinsoku/>
            <w:wordWrap/>
            <w:overflowPunct/>
            <w:topLinePunct w:val="0"/>
            <w:autoSpaceDE/>
            <w:autoSpaceDN/>
            <w:bidi w:val="0"/>
            <w:adjustRightInd w:val="0"/>
            <w:snapToGrid/>
            <w:spacing w:line="360" w:lineRule="auto"/>
            <w:ind w:left="0" w:leftChars="0" w:firstLine="0" w:firstLineChars="0"/>
            <w:jc w:val="left"/>
            <w:textAlignment w:val="auto"/>
            <w:rPr>
              <w:rFonts w:ascii="宋体" w:hAnsi="宋体" w:cs="宋体"/>
              <w:kern w:val="0"/>
            </w:rPr>
          </w:pPr>
          <w:r>
            <w:rPr>
              <w:rFonts w:hint="eastAsia" w:ascii="宋体" w:hAnsi="宋体" w:cs="宋体"/>
              <w:kern w:val="0"/>
            </w:rPr>
            <w:t>加强检疫,发现感染牛要及时扑杀。该病的恢复牛具有高滴度的中和抗体，可持续数年。新生犊牛可以通过初乳获得抗体，并在体内持续半年。羊痘病毒疫苗可用于疫区接种来预防该病。本病的鸡胚化弱毒疫苗进行免疫接种，具有良好的免疫保护作用。</w:t>
          </w:r>
        </w:p>
        <w:p w14:paraId="641C3D7E">
          <w:pPr>
            <w:widowControl/>
            <w:spacing w:line="360" w:lineRule="auto"/>
            <w:jc w:val="left"/>
            <w:rPr>
              <w:rFonts w:ascii="宋体" w:hAnsi="宋体" w:cs="宋体"/>
              <w:kern w:val="0"/>
            </w:rPr>
          </w:pPr>
          <w:r>
            <w:rPr>
              <w:rFonts w:hint="eastAsia" w:ascii="宋体" w:hAnsi="宋体" w:cs="宋体"/>
              <w:kern w:val="0"/>
            </w:rPr>
            <w:t>8.6每年对现有种公牛、生产母牛、青年牛进行一次牛传染性鼻气管炎、牛病毒性腹泻和粘膜病全面检测，建立健康牛群，阳性牛隔离饲养并淘汰处理。</w:t>
          </w:r>
        </w:p>
        <w:p w14:paraId="5F03EFE8">
          <w:pPr>
            <w:widowControl/>
            <w:spacing w:line="360" w:lineRule="auto"/>
            <w:jc w:val="left"/>
            <w:rPr>
              <w:rFonts w:ascii="宋体" w:hAnsi="宋体" w:cs="宋体"/>
              <w:kern w:val="0"/>
            </w:rPr>
          </w:pPr>
          <w:r>
            <w:rPr>
              <w:rFonts w:hint="eastAsia" w:ascii="宋体" w:hAnsi="宋体" w:cs="宋体"/>
              <w:kern w:val="0"/>
            </w:rPr>
            <w:t>8.7每年应根据当地疫情注意开展牛炭疽、牛出血性败血症、牛气肿疽、犊牛腹泻等传染病的免疫预防工作。</w:t>
          </w:r>
        </w:p>
        <w:p w14:paraId="44A1D4AF">
          <w:pPr>
            <w:keepNext w:val="0"/>
            <w:keepLines w:val="0"/>
            <w:pageBreakBefore w:val="0"/>
            <w:widowControl/>
            <w:kinsoku/>
            <w:wordWrap/>
            <w:overflowPunct/>
            <w:topLinePunct w:val="0"/>
            <w:autoSpaceDE/>
            <w:autoSpaceDN/>
            <w:bidi w:val="0"/>
            <w:adjustRightInd w:val="0"/>
            <w:snapToGrid/>
            <w:spacing w:before="313" w:beforeLines="100" w:after="313" w:afterLines="100" w:line="360" w:lineRule="auto"/>
            <w:ind w:left="-420" w:leftChars="-200" w:firstLine="420" w:firstLineChars="200"/>
            <w:jc w:val="left"/>
            <w:textAlignment w:val="auto"/>
            <w:rPr>
              <w:rFonts w:hint="eastAsia" w:ascii="黑体" w:hAnsi="黑体" w:eastAsia="黑体" w:cs="黑体"/>
              <w:kern w:val="0"/>
            </w:rPr>
          </w:pPr>
          <w:r>
            <w:rPr>
              <w:rFonts w:hint="eastAsia" w:ascii="黑体" w:hAnsi="黑体" w:eastAsia="黑体" w:cs="黑体"/>
              <w:kern w:val="0"/>
            </w:rPr>
            <w:t>9档案的建立</w:t>
          </w:r>
        </w:p>
        <w:p w14:paraId="3C3DF951">
          <w:pPr>
            <w:widowControl/>
            <w:spacing w:line="360" w:lineRule="auto"/>
            <w:ind w:left="-420" w:leftChars="-200" w:firstLine="420" w:firstLineChars="200"/>
            <w:jc w:val="left"/>
            <w:rPr>
              <w:rFonts w:ascii="黑体" w:hAnsi="黑体" w:eastAsia="黑体" w:cs="黑体"/>
              <w:kern w:val="0"/>
            </w:rPr>
          </w:pPr>
          <w:r>
            <w:rPr>
              <w:rFonts w:hint="eastAsia" w:ascii="黑体" w:hAnsi="黑体" w:eastAsia="黑体" w:cs="黑体"/>
              <w:kern w:val="0"/>
            </w:rPr>
            <w:t>9.1兽医室应建立完备的检疫、免疫、诊疗等档案。</w:t>
          </w:r>
        </w:p>
        <w:p w14:paraId="16DBF022">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仿宋" w:hAnsi="仿宋" w:eastAsia="仿宋" w:cs="Arial"/>
              <w:kern w:val="0"/>
              <w:sz w:val="32"/>
              <w:szCs w:val="32"/>
            </w:rPr>
          </w:pPr>
          <w:r>
            <w:rPr>
              <w:rFonts w:hint="eastAsia" w:ascii="黑体" w:hAnsi="黑体" w:eastAsia="黑体" w:cs="黑体"/>
              <w:kern w:val="0"/>
            </w:rPr>
            <w:t>9.2工作档案。</w:t>
          </w:r>
          <w:r>
            <w:rPr>
              <w:rFonts w:hint="eastAsia" w:ascii="宋体" w:hAnsi="宋体" w:cs="宋体"/>
              <w:kern w:val="0"/>
            </w:rPr>
            <w:t>包括兽医工作职责、重大疫病应急预案，年度检疫免疫计划、请示报告、药品采购计划、疫病发生与控制工作总结、年度工作总结等</w:t>
          </w:r>
          <w:r>
            <w:rPr>
              <w:rFonts w:hint="eastAsia" w:ascii="仿宋" w:hAnsi="仿宋" w:eastAsia="仿宋" w:cs="Arial"/>
              <w:kern w:val="0"/>
              <w:sz w:val="32"/>
              <w:szCs w:val="32"/>
            </w:rPr>
            <w:t>。</w:t>
          </w:r>
        </w:p>
        <w:p w14:paraId="434D92BB">
          <w:pPr>
            <w:widowControl/>
            <w:spacing w:line="360" w:lineRule="auto"/>
            <w:jc w:val="left"/>
            <w:rPr>
              <w:rFonts w:ascii="宋体" w:hAnsi="宋体" w:cs="宋体"/>
              <w:kern w:val="0"/>
            </w:rPr>
          </w:pPr>
          <w:r>
            <w:rPr>
              <w:rFonts w:hint="eastAsia" w:ascii="黑体" w:hAnsi="黑体" w:eastAsia="黑体" w:cs="黑体"/>
              <w:kern w:val="0"/>
            </w:rPr>
            <w:t>9.3检疫和免疫接种档案</w:t>
          </w:r>
          <w:r>
            <w:rPr>
              <w:rFonts w:hint="eastAsia" w:ascii="宋体" w:hAnsi="宋体" w:cs="宋体"/>
              <w:kern w:val="0"/>
            </w:rPr>
            <w:t>。详细记录检疫用试剂盒、诊断液及疫苗的生产厂、批号、生产日期记、录每次检疫牛数、结果及阳性畜处置、消毒等情况；记录每次免疫情况，包括免疫牛数、应补免数量及不良反应等，每次检疫和免疫工作小结。</w:t>
          </w:r>
        </w:p>
        <w:p w14:paraId="5176539A">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黑体" w:hAnsi="黑体" w:eastAsia="黑体" w:cs="黑体"/>
              <w:kern w:val="0"/>
            </w:rPr>
            <w:t>9.4寄生虫防治档案。</w:t>
          </w:r>
          <w:r>
            <w:rPr>
              <w:rFonts w:hint="eastAsia" w:ascii="宋体" w:hAnsi="宋体" w:cs="宋体"/>
              <w:kern w:val="0"/>
            </w:rPr>
            <w:t>详细记录驱虫药品的生产厂、批号、生产日期及售药单位；不同年龄牛的用药剂量；每次驱虫牛数及不良反应，每次驱虫工作小结。</w:t>
          </w:r>
        </w:p>
        <w:p w14:paraId="1C7EBA6D">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kern w:val="0"/>
            </w:rPr>
          </w:pPr>
          <w:r>
            <w:rPr>
              <w:rFonts w:hint="eastAsia" w:ascii="黑体" w:hAnsi="黑体" w:eastAsia="黑体" w:cs="黑体"/>
              <w:kern w:val="0"/>
            </w:rPr>
            <w:t>9.5临床诊疗档案</w:t>
          </w:r>
          <w:r>
            <w:rPr>
              <w:rFonts w:hint="eastAsia" w:ascii="宋体" w:hAnsi="宋体" w:cs="宋体"/>
              <w:kern w:val="0"/>
            </w:rPr>
            <w:t>。对病牛的临床症状、实验室检查结果、发病前的免疫接种、治疗用药、病程与转归情况进行详细记载。其中种公牛和生产母牛要建立个体诊疗档案。</w:t>
          </w:r>
        </w:p>
        <w:p w14:paraId="1562EC39">
          <w:pPr>
            <w:keepNext w:val="0"/>
            <w:keepLines w:val="0"/>
            <w:pageBreakBefore w:val="0"/>
            <w:widowControl/>
            <w:kinsoku/>
            <w:wordWrap/>
            <w:overflowPunct/>
            <w:topLinePunct w:val="0"/>
            <w:autoSpaceDE/>
            <w:autoSpaceDN/>
            <w:bidi w:val="0"/>
            <w:adjustRightInd w:val="0"/>
            <w:snapToGrid/>
            <w:spacing w:line="360" w:lineRule="auto"/>
            <w:ind w:left="0" w:firstLine="0" w:firstLineChars="0"/>
            <w:jc w:val="left"/>
            <w:textAlignment w:val="auto"/>
            <w:rPr>
              <w:rFonts w:ascii="宋体" w:hAnsi="宋体" w:cs="宋体"/>
            </w:rPr>
          </w:pPr>
          <w:r>
            <w:rPr>
              <w:rFonts w:hint="eastAsia" w:ascii="黑体" w:hAnsi="黑体" w:eastAsia="黑体" w:cs="黑体"/>
              <w:kern w:val="0"/>
            </w:rPr>
            <w:t>9.6疫病发生与控制档案。</w:t>
          </w:r>
          <w:r>
            <w:rPr>
              <w:rFonts w:hint="eastAsia" w:ascii="宋体" w:hAnsi="宋体" w:cs="宋体"/>
              <w:kern w:val="0"/>
            </w:rPr>
            <w:t>对场内寄生虫病和传染病的流行、中毒病的发生等较大疫病应有完善的诊疗记录和总结，应详细记录发病时间、数量、临床症状、剖检病理变化、发病率、死亡率、病料采集时间、送检单位、诊断结果、治疗及处置结果。</w:t>
          </w:r>
        </w:p>
        <w:p w14:paraId="17310C21">
          <w:pPr>
            <w:widowControl/>
            <w:spacing w:line="360" w:lineRule="auto"/>
            <w:ind w:left="210" w:hanging="210" w:hangingChars="100"/>
            <w:jc w:val="left"/>
            <w:rPr>
              <w:rFonts w:ascii="宋体" w:hAnsi="宋体" w:cs="宋体"/>
              <w:kern w:val="0"/>
            </w:rPr>
          </w:pPr>
        </w:p>
        <w:p w14:paraId="78DEAAF2">
          <w:pPr>
            <w:spacing w:line="240" w:lineRule="auto"/>
            <w:jc w:val="both"/>
            <w:rPr>
              <w:rFonts w:ascii="黑体" w:hAnsi="黑体" w:eastAsia="黑体" w:cs="黑体"/>
            </w:rPr>
          </w:pPr>
        </w:p>
        <w:p w14:paraId="36671698">
          <w:pPr>
            <w:spacing w:line="240" w:lineRule="auto"/>
            <w:jc w:val="center"/>
            <w:rPr>
              <w:rFonts w:ascii="黑体" w:hAnsi="黑体" w:eastAsia="黑体" w:cs="黑体"/>
            </w:rPr>
          </w:pPr>
        </w:p>
        <w:p w14:paraId="369A824A">
          <w:pPr>
            <w:spacing w:line="240" w:lineRule="auto"/>
            <w:jc w:val="center"/>
            <w:rPr>
              <w:rFonts w:ascii="黑体" w:hAnsi="黑体" w:eastAsia="黑体" w:cs="黑体"/>
            </w:rPr>
          </w:pPr>
          <w:r>
            <w:rPr>
              <w:rFonts w:hint="eastAsia" w:ascii="黑体" w:hAnsi="黑体" w:eastAsia="黑体" w:cs="黑体"/>
            </w:rPr>
            <w:t>附录A</w:t>
          </w:r>
        </w:p>
        <w:p w14:paraId="50746EDE">
          <w:pPr>
            <w:spacing w:line="240" w:lineRule="auto"/>
            <w:jc w:val="center"/>
            <w:rPr>
              <w:rFonts w:ascii="黑体" w:hAnsi="黑体" w:eastAsia="黑体" w:cs="黑体"/>
            </w:rPr>
          </w:pPr>
          <w:r>
            <w:rPr>
              <w:rFonts w:hint="eastAsia" w:ascii="黑体" w:hAnsi="黑体" w:eastAsia="黑体" w:cs="黑体"/>
            </w:rPr>
            <w:t>资料性附录</w:t>
          </w:r>
        </w:p>
        <w:p w14:paraId="2F86E1D6">
          <w:pPr>
            <w:spacing w:line="240" w:lineRule="auto"/>
            <w:jc w:val="center"/>
            <w:rPr>
              <w:rFonts w:ascii="黑体" w:hAnsi="黑体" w:eastAsia="黑体" w:cs="黑体"/>
            </w:rPr>
          </w:pPr>
          <w:r>
            <w:rPr>
              <w:rFonts w:hint="eastAsia" w:ascii="黑体" w:hAnsi="黑体" w:eastAsia="黑体" w:cs="黑体"/>
            </w:rPr>
            <w:t>牛场常用驱虫药物</w:t>
          </w:r>
        </w:p>
        <w:p w14:paraId="13711C9C">
          <w:pPr>
            <w:spacing w:line="240" w:lineRule="auto"/>
            <w:jc w:val="center"/>
            <w:rPr>
              <w:rFonts w:ascii="宋体" w:hAnsi="宋体" w:cs="宋体"/>
            </w:rPr>
          </w:pPr>
        </w:p>
        <w:p w14:paraId="42071FC6">
          <w:pPr>
            <w:spacing w:line="240" w:lineRule="auto"/>
            <w:rPr>
              <w:rFonts w:ascii="宋体" w:hAnsi="宋体" w:cs="宋体"/>
            </w:rPr>
          </w:pPr>
        </w:p>
        <w:tbl>
          <w:tblPr>
            <w:tblStyle w:val="28"/>
            <w:tblW w:w="93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3148"/>
            <w:gridCol w:w="2057"/>
            <w:gridCol w:w="1920"/>
          </w:tblGrid>
          <w:tr w14:paraId="2FB2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2235" w:type="dxa"/>
              </w:tcPr>
              <w:p w14:paraId="61A71F00">
                <w:pPr>
                  <w:spacing w:line="240" w:lineRule="auto"/>
                  <w:jc w:val="center"/>
                  <w:rPr>
                    <w:rFonts w:ascii="宋体" w:hAnsi="宋体" w:cs="宋体"/>
                  </w:rPr>
                </w:pPr>
                <w:r>
                  <w:rPr>
                    <w:rFonts w:hint="eastAsia" w:ascii="宋体" w:hAnsi="宋体" w:cs="宋体"/>
                  </w:rPr>
                  <w:t>寄生虫病</w:t>
                </w:r>
              </w:p>
            </w:tc>
            <w:tc>
              <w:tcPr>
                <w:tcW w:w="3148" w:type="dxa"/>
              </w:tcPr>
              <w:p w14:paraId="1796AC29">
                <w:pPr>
                  <w:spacing w:line="240" w:lineRule="auto"/>
                  <w:jc w:val="center"/>
                  <w:rPr>
                    <w:rFonts w:ascii="宋体" w:hAnsi="宋体" w:cs="宋体"/>
                  </w:rPr>
                </w:pPr>
                <w:r>
                  <w:rPr>
                    <w:rFonts w:hint="eastAsia" w:ascii="宋体" w:hAnsi="宋体" w:cs="宋体"/>
                  </w:rPr>
                  <w:t>用药</w:t>
                </w:r>
              </w:p>
            </w:tc>
            <w:tc>
              <w:tcPr>
                <w:tcW w:w="2057" w:type="dxa"/>
              </w:tcPr>
              <w:p w14:paraId="6B649E85">
                <w:pPr>
                  <w:spacing w:line="240" w:lineRule="auto"/>
                  <w:jc w:val="center"/>
                  <w:rPr>
                    <w:rFonts w:ascii="宋体" w:hAnsi="宋体" w:cs="宋体"/>
                  </w:rPr>
                </w:pPr>
                <w:r>
                  <w:rPr>
                    <w:rFonts w:hint="eastAsia" w:ascii="宋体" w:hAnsi="宋体" w:cs="宋体"/>
                  </w:rPr>
                  <w:t>时间及次数</w:t>
                </w:r>
              </w:p>
            </w:tc>
            <w:tc>
              <w:tcPr>
                <w:tcW w:w="1920" w:type="dxa"/>
              </w:tcPr>
              <w:p w14:paraId="355DC0FF">
                <w:pPr>
                  <w:spacing w:line="240" w:lineRule="auto"/>
                  <w:jc w:val="center"/>
                  <w:rPr>
                    <w:rFonts w:ascii="宋体" w:hAnsi="宋体" w:cs="宋体"/>
                  </w:rPr>
                </w:pPr>
                <w:r>
                  <w:rPr>
                    <w:rFonts w:hint="eastAsia" w:ascii="宋体" w:hAnsi="宋体" w:cs="宋体"/>
                  </w:rPr>
                  <w:t>备注</w:t>
                </w:r>
              </w:p>
            </w:tc>
          </w:tr>
          <w:tr w14:paraId="693D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2235" w:type="dxa"/>
              </w:tcPr>
              <w:p w14:paraId="624EE59F">
                <w:pPr>
                  <w:spacing w:line="240" w:lineRule="auto"/>
                  <w:rPr>
                    <w:rFonts w:ascii="宋体" w:hAnsi="宋体" w:cs="宋体"/>
                  </w:rPr>
                </w:pPr>
                <w:r>
                  <w:rPr>
                    <w:rFonts w:hint="eastAsia" w:ascii="宋体" w:hAnsi="宋体" w:cs="宋体"/>
                  </w:rPr>
                  <w:t>胃肠道线虫，肺线虫，疥螨</w:t>
                </w:r>
              </w:p>
            </w:tc>
            <w:tc>
              <w:tcPr>
                <w:tcW w:w="3148" w:type="dxa"/>
              </w:tcPr>
              <w:p w14:paraId="3FE26DC5">
                <w:pPr>
                  <w:spacing w:line="240" w:lineRule="auto"/>
                  <w:rPr>
                    <w:rFonts w:ascii="宋体" w:hAnsi="宋体" w:cs="宋体"/>
                  </w:rPr>
                </w:pPr>
                <w:r>
                  <w:rPr>
                    <w:rFonts w:hint="eastAsia" w:ascii="宋体" w:hAnsi="宋体" w:cs="宋体"/>
                  </w:rPr>
                  <w:t>丙硫咪唑，阿维菌素，伊维菌素</w:t>
                </w:r>
              </w:p>
            </w:tc>
            <w:tc>
              <w:tcPr>
                <w:tcW w:w="2057" w:type="dxa"/>
              </w:tcPr>
              <w:p w14:paraId="67491F6C">
                <w:pPr>
                  <w:spacing w:line="240" w:lineRule="auto"/>
                  <w:rPr>
                    <w:rFonts w:ascii="宋体" w:hAnsi="宋体" w:cs="宋体"/>
                    <w:kern w:val="0"/>
                  </w:rPr>
                </w:pPr>
                <w:r>
                  <w:rPr>
                    <w:rFonts w:hint="eastAsia" w:ascii="宋体" w:hAnsi="宋体" w:cs="宋体"/>
                  </w:rPr>
                  <w:t>2</w:t>
                </w:r>
                <w:r>
                  <w:rPr>
                    <w:rFonts w:hint="eastAsia" w:ascii="宋体" w:hAnsi="宋体" w:cs="宋体"/>
                    <w:kern w:val="0"/>
                  </w:rPr>
                  <w:t>～3月，8～9月</w:t>
                </w:r>
              </w:p>
            </w:tc>
            <w:tc>
              <w:tcPr>
                <w:tcW w:w="1920" w:type="dxa"/>
              </w:tcPr>
              <w:p w14:paraId="05FFDBAC">
                <w:pPr>
                  <w:spacing w:line="240" w:lineRule="auto"/>
                  <w:rPr>
                    <w:rFonts w:ascii="宋体" w:hAnsi="宋体" w:cs="宋体"/>
                  </w:rPr>
                </w:pPr>
                <w:r>
                  <w:rPr>
                    <w:rFonts w:hint="eastAsia" w:ascii="宋体" w:hAnsi="宋体" w:cs="宋体"/>
                  </w:rPr>
                  <w:t>严重地区可在5</w:t>
                </w:r>
                <w:r>
                  <w:rPr>
                    <w:rFonts w:hint="eastAsia" w:ascii="宋体" w:hAnsi="宋体" w:cs="宋体"/>
                    <w:kern w:val="0"/>
                  </w:rPr>
                  <w:t>～6月份增加一次</w:t>
                </w:r>
              </w:p>
            </w:tc>
          </w:tr>
          <w:tr w14:paraId="1818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2235" w:type="dxa"/>
              </w:tcPr>
              <w:p w14:paraId="2243492D">
                <w:pPr>
                  <w:spacing w:line="240" w:lineRule="auto"/>
                  <w:jc w:val="center"/>
                  <w:rPr>
                    <w:rFonts w:ascii="宋体" w:hAnsi="宋体" w:cs="宋体"/>
                  </w:rPr>
                </w:pPr>
                <w:r>
                  <w:rPr>
                    <w:rFonts w:hint="eastAsia" w:ascii="宋体" w:hAnsi="宋体" w:cs="宋体"/>
                  </w:rPr>
                  <w:t>肝片吸虫</w:t>
                </w:r>
              </w:p>
            </w:tc>
            <w:tc>
              <w:tcPr>
                <w:tcW w:w="3148" w:type="dxa"/>
              </w:tcPr>
              <w:p w14:paraId="5C3BD947">
                <w:pPr>
                  <w:spacing w:line="240" w:lineRule="auto"/>
                  <w:rPr>
                    <w:rFonts w:ascii="宋体" w:hAnsi="宋体" w:cs="宋体"/>
                  </w:rPr>
                </w:pPr>
                <w:r>
                  <w:rPr>
                    <w:rFonts w:hint="eastAsia" w:ascii="宋体" w:hAnsi="宋体" w:cs="宋体"/>
                  </w:rPr>
                  <w:t>硫双二氯酚，丙硫苯咪唑</w:t>
                </w:r>
              </w:p>
            </w:tc>
            <w:tc>
              <w:tcPr>
                <w:tcW w:w="2057" w:type="dxa"/>
              </w:tcPr>
              <w:p w14:paraId="1B3D804F">
                <w:pPr>
                  <w:spacing w:line="240" w:lineRule="auto"/>
                  <w:rPr>
                    <w:rFonts w:ascii="宋体" w:hAnsi="宋体" w:cs="宋体"/>
                  </w:rPr>
                </w:pPr>
                <w:r>
                  <w:rPr>
                    <w:rFonts w:hint="eastAsia" w:ascii="宋体" w:hAnsi="宋体" w:cs="宋体"/>
                  </w:rPr>
                  <w:t>2</w:t>
                </w:r>
                <w:r>
                  <w:rPr>
                    <w:rFonts w:hint="eastAsia" w:ascii="宋体" w:hAnsi="宋体" w:cs="宋体"/>
                    <w:kern w:val="0"/>
                  </w:rPr>
                  <w:t>～3月，9～10月</w:t>
                </w:r>
              </w:p>
            </w:tc>
            <w:tc>
              <w:tcPr>
                <w:tcW w:w="1920" w:type="dxa"/>
              </w:tcPr>
              <w:p w14:paraId="1A37E713">
                <w:pPr>
                  <w:spacing w:line="240" w:lineRule="auto"/>
                  <w:jc w:val="center"/>
                  <w:rPr>
                    <w:rFonts w:ascii="宋体" w:hAnsi="宋体" w:cs="宋体"/>
                  </w:rPr>
                </w:pPr>
                <w:r>
                  <w:rPr>
                    <w:rFonts w:hint="eastAsia" w:ascii="宋体" w:hAnsi="宋体" w:cs="宋体"/>
                  </w:rPr>
                  <w:t>混合灌服</w:t>
                </w:r>
              </w:p>
            </w:tc>
          </w:tr>
          <w:tr w14:paraId="7741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235" w:type="dxa"/>
              </w:tcPr>
              <w:p w14:paraId="5B878412">
                <w:pPr>
                  <w:spacing w:line="240" w:lineRule="auto"/>
                  <w:jc w:val="center"/>
                  <w:rPr>
                    <w:rFonts w:ascii="宋体" w:hAnsi="宋体" w:cs="宋体"/>
                  </w:rPr>
                </w:pPr>
                <w:r>
                  <w:rPr>
                    <w:rFonts w:hint="eastAsia" w:ascii="宋体" w:hAnsi="宋体" w:cs="宋体"/>
                  </w:rPr>
                  <w:t>焦虫</w:t>
                </w:r>
              </w:p>
            </w:tc>
            <w:tc>
              <w:tcPr>
                <w:tcW w:w="3148" w:type="dxa"/>
              </w:tcPr>
              <w:p w14:paraId="01D4C2B2">
                <w:pPr>
                  <w:spacing w:line="240" w:lineRule="auto"/>
                  <w:rPr>
                    <w:rFonts w:ascii="宋体" w:hAnsi="宋体" w:cs="宋体"/>
                  </w:rPr>
                </w:pPr>
                <w:r>
                  <w:rPr>
                    <w:rFonts w:hint="eastAsia" w:ascii="宋体" w:hAnsi="宋体" w:cs="宋体"/>
                  </w:rPr>
                  <w:t>牛泰勒氏焦虫疫苗</w:t>
                </w:r>
              </w:p>
            </w:tc>
            <w:tc>
              <w:tcPr>
                <w:tcW w:w="2057" w:type="dxa"/>
              </w:tcPr>
              <w:p w14:paraId="3E4DFA7C">
                <w:pPr>
                  <w:spacing w:line="240" w:lineRule="auto"/>
                  <w:jc w:val="center"/>
                  <w:rPr>
                    <w:rFonts w:ascii="宋体" w:hAnsi="宋体" w:cs="宋体"/>
                  </w:rPr>
                </w:pPr>
                <w:r>
                  <w:rPr>
                    <w:rFonts w:hint="eastAsia" w:ascii="宋体" w:hAnsi="宋体" w:cs="宋体"/>
                  </w:rPr>
                  <w:t>冬末春初</w:t>
                </w:r>
              </w:p>
            </w:tc>
            <w:tc>
              <w:tcPr>
                <w:tcW w:w="1920" w:type="dxa"/>
              </w:tcPr>
              <w:p w14:paraId="70869E6B">
                <w:pPr>
                  <w:spacing w:line="240" w:lineRule="auto"/>
                  <w:jc w:val="center"/>
                  <w:rPr>
                    <w:rFonts w:ascii="宋体" w:hAnsi="宋体" w:cs="宋体"/>
                  </w:rPr>
                </w:pPr>
              </w:p>
            </w:tc>
          </w:tr>
          <w:tr w14:paraId="2C36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2235" w:type="dxa"/>
              </w:tcPr>
              <w:p w14:paraId="294B5ACF">
                <w:pPr>
                  <w:spacing w:line="240" w:lineRule="auto"/>
                  <w:jc w:val="center"/>
                  <w:rPr>
                    <w:rFonts w:ascii="宋体" w:hAnsi="宋体" w:cs="宋体"/>
                  </w:rPr>
                </w:pPr>
                <w:r>
                  <w:rPr>
                    <w:rFonts w:hint="eastAsia" w:ascii="宋体" w:hAnsi="宋体" w:cs="宋体"/>
                  </w:rPr>
                  <w:t>牛皮蝇</w:t>
                </w:r>
              </w:p>
            </w:tc>
            <w:tc>
              <w:tcPr>
                <w:tcW w:w="3148" w:type="dxa"/>
              </w:tcPr>
              <w:p w14:paraId="79202125">
                <w:pPr>
                  <w:spacing w:line="240" w:lineRule="auto"/>
                  <w:rPr>
                    <w:rFonts w:ascii="宋体" w:hAnsi="宋体" w:cs="宋体"/>
                  </w:rPr>
                </w:pPr>
                <w:r>
                  <w:rPr>
                    <w:rFonts w:hint="eastAsia" w:ascii="宋体" w:hAnsi="宋体" w:cs="宋体"/>
                  </w:rPr>
                  <w:t>除虫菊酯，伊维菌素，倍硫磷</w:t>
                </w:r>
              </w:p>
            </w:tc>
            <w:tc>
              <w:tcPr>
                <w:tcW w:w="2057" w:type="dxa"/>
              </w:tcPr>
              <w:p w14:paraId="0FD99553">
                <w:pPr>
                  <w:spacing w:line="240" w:lineRule="auto"/>
                  <w:rPr>
                    <w:rFonts w:ascii="宋体" w:hAnsi="宋体" w:cs="宋体"/>
                  </w:rPr>
                </w:pPr>
                <w:r>
                  <w:rPr>
                    <w:rFonts w:hint="eastAsia" w:ascii="宋体" w:hAnsi="宋体" w:cs="宋体"/>
                    <w:kern w:val="0"/>
                  </w:rPr>
                  <w:t>6～9月，10～11月</w:t>
                </w:r>
              </w:p>
            </w:tc>
            <w:tc>
              <w:tcPr>
                <w:tcW w:w="1920" w:type="dxa"/>
              </w:tcPr>
              <w:p w14:paraId="6B65D0F6">
                <w:pPr>
                  <w:spacing w:line="240" w:lineRule="auto"/>
                  <w:rPr>
                    <w:rFonts w:ascii="宋体" w:hAnsi="宋体" w:cs="宋体"/>
                  </w:rPr>
                </w:pPr>
                <w:r>
                  <w:rPr>
                    <w:rFonts w:hint="eastAsia" w:ascii="宋体" w:hAnsi="宋体" w:cs="宋体"/>
                  </w:rPr>
                  <w:t>喷洒，注射</w:t>
                </w:r>
              </w:p>
            </w:tc>
          </w:tr>
          <w:tr w14:paraId="476C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2235" w:type="dxa"/>
              </w:tcPr>
              <w:p w14:paraId="5974B72D">
                <w:pPr>
                  <w:tabs>
                    <w:tab w:val="left" w:pos="312"/>
                  </w:tabs>
                  <w:spacing w:line="240" w:lineRule="auto"/>
                  <w:jc w:val="center"/>
                  <w:rPr>
                    <w:rFonts w:ascii="宋体" w:hAnsi="宋体" w:cs="宋体"/>
                  </w:rPr>
                </w:pPr>
                <w:r>
                  <w:rPr>
                    <w:rFonts w:hint="eastAsia" w:ascii="宋体" w:hAnsi="宋体" w:cs="宋体"/>
                  </w:rPr>
                  <w:t>牛包虫</w:t>
                </w:r>
              </w:p>
            </w:tc>
            <w:tc>
              <w:tcPr>
                <w:tcW w:w="3148" w:type="dxa"/>
              </w:tcPr>
              <w:p w14:paraId="2320AF65">
                <w:pPr>
                  <w:spacing w:line="240" w:lineRule="auto"/>
                  <w:rPr>
                    <w:rFonts w:ascii="宋体" w:hAnsi="宋体" w:cs="宋体"/>
                  </w:rPr>
                </w:pPr>
                <w:r>
                  <w:rPr>
                    <w:rFonts w:hint="eastAsia" w:ascii="宋体" w:hAnsi="宋体" w:cs="宋体"/>
                  </w:rPr>
                  <w:t>丙硫咪唑，吡喹酮，阿苯达唑</w:t>
                </w:r>
              </w:p>
              <w:p w14:paraId="555FF1D5">
                <w:pPr>
                  <w:spacing w:line="240" w:lineRule="auto"/>
                  <w:jc w:val="center"/>
                  <w:rPr>
                    <w:rFonts w:ascii="宋体" w:hAnsi="宋体" w:cs="宋体"/>
                  </w:rPr>
                </w:pPr>
                <w:r>
                  <w:rPr>
                    <w:rFonts w:hint="eastAsia" w:ascii="宋体" w:hAnsi="宋体" w:cs="宋体"/>
                  </w:rPr>
                  <w:t>羊棘球蚴疫苗</w:t>
                </w:r>
              </w:p>
            </w:tc>
            <w:tc>
              <w:tcPr>
                <w:tcW w:w="2057" w:type="dxa"/>
              </w:tcPr>
              <w:p w14:paraId="6F3B35AC">
                <w:pPr>
                  <w:spacing w:line="240" w:lineRule="auto"/>
                  <w:jc w:val="center"/>
                  <w:rPr>
                    <w:rFonts w:ascii="宋体" w:hAnsi="宋体" w:cs="宋体"/>
                    <w:kern w:val="0"/>
                  </w:rPr>
                </w:pPr>
                <w:r>
                  <w:rPr>
                    <w:rFonts w:hint="eastAsia" w:ascii="宋体" w:hAnsi="宋体" w:cs="宋体"/>
                    <w:kern w:val="0"/>
                  </w:rPr>
                  <w:t>2次</w:t>
                </w:r>
              </w:p>
            </w:tc>
            <w:tc>
              <w:tcPr>
                <w:tcW w:w="1920" w:type="dxa"/>
              </w:tcPr>
              <w:p w14:paraId="085AE75A">
                <w:pPr>
                  <w:spacing w:line="240" w:lineRule="auto"/>
                  <w:jc w:val="center"/>
                  <w:rPr>
                    <w:rFonts w:ascii="宋体" w:hAnsi="宋体" w:cs="宋体"/>
                  </w:rPr>
                </w:pPr>
              </w:p>
            </w:tc>
          </w:tr>
        </w:tbl>
        <w:p w14:paraId="6D58EF0C">
          <w:pPr>
            <w:spacing w:line="240" w:lineRule="auto"/>
            <w:rPr>
              <w:rFonts w:ascii="宋体" w:hAnsi="宋体" w:cs="宋体"/>
            </w:rPr>
          </w:pPr>
        </w:p>
        <w:p w14:paraId="344ED338">
          <w:pPr>
            <w:spacing w:line="240" w:lineRule="auto"/>
            <w:rPr>
              <w:rFonts w:ascii="宋体" w:hAnsi="宋体" w:cs="宋体"/>
            </w:rPr>
          </w:pPr>
          <w:r>
            <w:rPr>
              <w:rFonts w:hint="eastAsia" w:ascii="宋体" w:hAnsi="宋体" w:cs="宋体"/>
            </w:rPr>
            <w:t xml:space="preserve">   </w:t>
          </w:r>
        </w:p>
        <w:p w14:paraId="0ED4F1FA">
          <w:pPr>
            <w:spacing w:line="240" w:lineRule="auto"/>
            <w:rPr>
              <w:rFonts w:ascii="宋体" w:hAnsi="宋体" w:cs="宋体"/>
            </w:rPr>
          </w:pPr>
        </w:p>
        <w:p w14:paraId="595789DD">
          <w:pPr>
            <w:spacing w:line="240" w:lineRule="auto"/>
            <w:rPr>
              <w:rFonts w:ascii="宋体" w:hAnsi="宋体" w:cs="宋体"/>
            </w:rPr>
          </w:pPr>
        </w:p>
        <w:p w14:paraId="1BEF8783">
          <w:pPr>
            <w:spacing w:line="240" w:lineRule="auto"/>
            <w:rPr>
              <w:rFonts w:ascii="宋体" w:hAnsi="宋体" w:cs="宋体"/>
            </w:rPr>
          </w:pPr>
        </w:p>
        <w:p w14:paraId="71431B32">
          <w:pPr>
            <w:spacing w:line="240" w:lineRule="auto"/>
            <w:rPr>
              <w:rFonts w:ascii="宋体" w:hAnsi="宋体" w:cs="宋体"/>
            </w:rPr>
          </w:pPr>
        </w:p>
        <w:p w14:paraId="1ED00DB9">
          <w:pPr>
            <w:spacing w:line="240" w:lineRule="auto"/>
            <w:rPr>
              <w:rFonts w:ascii="宋体" w:hAnsi="宋体" w:cs="宋体"/>
            </w:rPr>
          </w:pPr>
        </w:p>
        <w:p w14:paraId="139AE0D8">
          <w:pPr>
            <w:spacing w:line="240" w:lineRule="auto"/>
            <w:rPr>
              <w:rFonts w:ascii="宋体" w:hAnsi="宋体" w:cs="宋体"/>
              <w:sz w:val="18"/>
              <w:szCs w:val="18"/>
            </w:rPr>
          </w:pPr>
        </w:p>
        <w:p w14:paraId="65A8D64F">
          <w:pPr>
            <w:spacing w:line="240" w:lineRule="auto"/>
            <w:rPr>
              <w:rFonts w:ascii="宋体" w:hAnsi="宋体" w:cs="宋体"/>
            </w:rPr>
          </w:pPr>
        </w:p>
        <w:p w14:paraId="5DF8B3C9">
          <w:pPr>
            <w:spacing w:line="240" w:lineRule="auto"/>
            <w:rPr>
              <w:rFonts w:ascii="宋体" w:hAnsi="宋体" w:cs="宋体"/>
            </w:rPr>
          </w:pPr>
        </w:p>
        <w:p w14:paraId="7AB1CB3A">
          <w:pPr>
            <w:spacing w:line="240" w:lineRule="auto"/>
            <w:rPr>
              <w:rFonts w:ascii="宋体" w:hAnsi="宋体" w:cs="宋体"/>
            </w:rPr>
          </w:pPr>
        </w:p>
        <w:p w14:paraId="306CC1AC">
          <w:pPr>
            <w:spacing w:line="240" w:lineRule="auto"/>
            <w:rPr>
              <w:rFonts w:ascii="宋体" w:hAnsi="宋体" w:cs="宋体"/>
            </w:rPr>
          </w:pPr>
        </w:p>
        <w:p w14:paraId="56A0A7CC">
          <w:pPr>
            <w:spacing w:line="240" w:lineRule="auto"/>
            <w:rPr>
              <w:rFonts w:ascii="宋体" w:hAnsi="宋体" w:cs="宋体"/>
            </w:rPr>
          </w:pPr>
        </w:p>
        <w:p w14:paraId="5ADE6365">
          <w:pPr>
            <w:spacing w:line="240" w:lineRule="auto"/>
            <w:rPr>
              <w:rFonts w:ascii="宋体" w:hAnsi="宋体" w:cs="宋体"/>
            </w:rPr>
          </w:pPr>
        </w:p>
        <w:p w14:paraId="223B3115">
          <w:pPr>
            <w:pStyle w:val="236"/>
            <w:ind w:firstLine="0" w:firstLineChars="0"/>
          </w:pPr>
        </w:p>
      </w:sdtContent>
    </w:sdt>
    <w:bookmarkEnd w:id="21"/>
    <w:bookmarkEnd w:id="26"/>
    <w:sectPr>
      <w:headerReference r:id="rId9" w:type="default"/>
      <w:footerReference r:id="rId10"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A1D6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D5C2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DBF72">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3A4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63D5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AA2D9">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5E7"/>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14B"/>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31B"/>
    <w:rsid w:val="003F0841"/>
    <w:rsid w:val="003F23D3"/>
    <w:rsid w:val="003F3F08"/>
    <w:rsid w:val="003F49F1"/>
    <w:rsid w:val="003F6272"/>
    <w:rsid w:val="003F6999"/>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733"/>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699"/>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541"/>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1C7"/>
    <w:rsid w:val="0085173A"/>
    <w:rsid w:val="00852BF0"/>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C95"/>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2CDA"/>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017"/>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4FE6A84"/>
    <w:rsid w:val="05035C62"/>
    <w:rsid w:val="066868C0"/>
    <w:rsid w:val="0BFD1FAB"/>
    <w:rsid w:val="0CFA4CFF"/>
    <w:rsid w:val="101D4CBF"/>
    <w:rsid w:val="11057181"/>
    <w:rsid w:val="15E57F55"/>
    <w:rsid w:val="177B7D38"/>
    <w:rsid w:val="196229FF"/>
    <w:rsid w:val="1B111B4F"/>
    <w:rsid w:val="1B7F0DE3"/>
    <w:rsid w:val="1DA86AD8"/>
    <w:rsid w:val="1E014B50"/>
    <w:rsid w:val="1EB04003"/>
    <w:rsid w:val="217C30B5"/>
    <w:rsid w:val="24046E0E"/>
    <w:rsid w:val="25AE66E2"/>
    <w:rsid w:val="2A6B74CB"/>
    <w:rsid w:val="2DCF6476"/>
    <w:rsid w:val="2E9438B8"/>
    <w:rsid w:val="2FEF12DD"/>
    <w:rsid w:val="30D45A25"/>
    <w:rsid w:val="31A730CF"/>
    <w:rsid w:val="32891103"/>
    <w:rsid w:val="33F94AED"/>
    <w:rsid w:val="33FB7DDF"/>
    <w:rsid w:val="35BF731B"/>
    <w:rsid w:val="37CA60FE"/>
    <w:rsid w:val="39131B80"/>
    <w:rsid w:val="39411873"/>
    <w:rsid w:val="3EED6576"/>
    <w:rsid w:val="453F2418"/>
    <w:rsid w:val="4AB10DA0"/>
    <w:rsid w:val="50642410"/>
    <w:rsid w:val="508D2611"/>
    <w:rsid w:val="519A1FFA"/>
    <w:rsid w:val="54AF2635"/>
    <w:rsid w:val="58D25A1D"/>
    <w:rsid w:val="5C245FF8"/>
    <w:rsid w:val="5C550CDF"/>
    <w:rsid w:val="5D0C7301"/>
    <w:rsid w:val="61AB4343"/>
    <w:rsid w:val="645111D2"/>
    <w:rsid w:val="65205DE7"/>
    <w:rsid w:val="66081D06"/>
    <w:rsid w:val="672E733A"/>
    <w:rsid w:val="6D1C2BBC"/>
    <w:rsid w:val="6DCA78FF"/>
    <w:rsid w:val="6E810716"/>
    <w:rsid w:val="75181898"/>
    <w:rsid w:val="7636031A"/>
    <w:rsid w:val="77581BEA"/>
    <w:rsid w:val="7A747DC6"/>
    <w:rsid w:val="7BB8196D"/>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Autospacing="1" w:afterAutospacing="1"/>
      <w:jc w:val="left"/>
    </w:pPr>
    <w:rPr>
      <w:kern w:val="0"/>
      <w:sz w:val="24"/>
    </w:rPr>
  </w:style>
  <w:style w:type="paragraph" w:styleId="26">
    <w:name w:val="Title"/>
    <w:basedOn w:val="1"/>
    <w:next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14:paraId="38492537">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0706B"/>
    <w:rsid w:val="000D56F1"/>
    <w:rsid w:val="000E39F5"/>
    <w:rsid w:val="0030616D"/>
    <w:rsid w:val="003F6999"/>
    <w:rsid w:val="00503588"/>
    <w:rsid w:val="00722E47"/>
    <w:rsid w:val="007C7077"/>
    <w:rsid w:val="00852BF0"/>
    <w:rsid w:val="008A17A9"/>
    <w:rsid w:val="009767D8"/>
    <w:rsid w:val="00D81314"/>
    <w:rsid w:val="00DE78DC"/>
    <w:rsid w:val="00EC2B5D"/>
    <w:rsid w:val="00F0706B"/>
    <w:rsid w:val="00F523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F90E99-0381-4328-9C29-6FCB27433C3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3684</Words>
  <Characters>4122</Characters>
  <Lines>33</Lines>
  <Paragraphs>9</Paragraphs>
  <TotalTime>8</TotalTime>
  <ScaleCrop>false</ScaleCrop>
  <LinksUpToDate>false</LinksUpToDate>
  <CharactersWithSpaces>4194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2024-08-19T01:07:11Z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194C25A76FB64ED6BCF6610302F5D9AA_13</vt:lpwstr>
  </property>
</Properties>
</file>