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449720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47269518">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p>
        </w:tc>
        <w:tc>
          <w:tcPr>
            <w:tcW w:w="8855" w:type="dxa"/>
          </w:tcPr>
          <w:p w14:paraId="43AEFB4E">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w:t>
            </w:r>
            <w:r>
              <w:rPr>
                <w:rFonts w:ascii="黑体" w:hAnsi="黑体" w:eastAsia="黑体"/>
                <w:sz w:val="21"/>
                <w:szCs w:val="21"/>
              </w:rPr>
              <w:fldChar w:fldCharType="end"/>
            </w:r>
            <w:bookmarkEnd w:id="0"/>
          </w:p>
        </w:tc>
      </w:tr>
      <w:tr w14:paraId="68E499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7FAB6F4">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p>
        </w:tc>
        <w:tc>
          <w:tcPr>
            <w:tcW w:w="8855" w:type="dxa"/>
          </w:tcPr>
          <w:p w14:paraId="082EA1EB">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70195C16">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45127006">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1504</w:t>
            </w:r>
            <w:r>
              <w:fldChar w:fldCharType="end"/>
            </w:r>
            <w:bookmarkEnd w:id="3"/>
          </w:p>
        </w:tc>
      </w:tr>
    </w:tbl>
    <w:p w14:paraId="7CD623C7">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 xml:space="preserve"> 赤峰市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6FFA3629">
      <w:pPr>
        <w:pStyle w:val="195"/>
        <w:framePr/>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15</w:t>
      </w:r>
      <w:r>
        <w:rPr>
          <w:rFonts w:hint="eastAsia"/>
        </w:rPr>
        <w:t>04</w:t>
      </w:r>
      <w:r>
        <w:rPr>
          <w:lang w:val="fr-FR"/>
        </w:rPr>
        <w:t>/T</w:t>
      </w:r>
      <w:r>
        <w:rPr>
          <w:rFonts w:hint="eastAsia"/>
        </w:rPr>
        <w:t xml:space="preserve"> </w:t>
      </w:r>
      <w:r>
        <w:fldChar w:fldCharType="end"/>
      </w:r>
      <w:bookmarkEnd w:id="5"/>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rPr>
        <w:t>XXXX</w:t>
      </w:r>
      <w:r>
        <w:fldChar w:fldCharType="end"/>
      </w:r>
      <w:bookmarkEnd w:id="7"/>
    </w:p>
    <w:p w14:paraId="6D7F62A8">
      <w:pPr>
        <w:pStyle w:val="196"/>
        <w:framePr/>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533092AD">
      <w:pPr>
        <w:spacing w:line="240" w:lineRule="auto"/>
        <w:rPr>
          <w:rFonts w:ascii="黑体" w:hAnsi="黑体" w:eastAsia="黑体"/>
          <w:kern w:val="0"/>
          <w:sz w:val="10"/>
          <w:szCs w:val="10"/>
        </w:rPr>
      </w:pPr>
      <w:r>
        <w:rPr>
          <w:rFonts w:ascii="黑体" w:hAnsi="黑体" w:eastAsia="黑体"/>
          <w:kern w:val="0"/>
          <w:sz w:val="10"/>
          <w:szCs w:val="10"/>
          <w:lang w:bidi="mn-Mong-CN"/>
        </w:rPr>
        <w:pict>
          <v:line id="_x0000_s1026" o:spid="_x0000_s1026" o:spt="20" style="position:absolute;left:0pt;margin-left:70.9pt;margin-top:212.65pt;height:0pt;width:481.9pt;mso-position-horizontal-relative:page;mso-position-vertical-relative:page;z-index:251659264;mso-width-relative:page;mso-height-relative:page;"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path arrowok="t"/>
            <v:fill focussize="0,0"/>
            <v:stroke/>
            <v:imagedata o:title=""/>
            <o:lock v:ext="edit"/>
          </v:line>
        </w:pict>
      </w:r>
    </w:p>
    <w:p w14:paraId="4F8F96EA">
      <w:pPr>
        <w:pStyle w:val="50"/>
        <w:framePr w:w="9639" w:h="6976" w:hRule="exact" w:hSpace="0" w:vSpace="0" w:wrap="around" w:hAnchor="page" w:y="6408"/>
        <w:jc w:val="center"/>
        <w:rPr>
          <w:rFonts w:ascii="黑体" w:hAnsi="黑体" w:eastAsia="黑体"/>
          <w:b w:val="0"/>
          <w:bCs w:val="0"/>
          <w:w w:val="100"/>
        </w:rPr>
      </w:pPr>
    </w:p>
    <w:p w14:paraId="6F41B16A">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昭乌达牛选育人工授精技术规程</w:t>
      </w:r>
      <w:r>
        <w:fldChar w:fldCharType="end"/>
      </w:r>
      <w:bookmarkEnd w:id="9"/>
    </w:p>
    <w:p w14:paraId="516F75C8">
      <w:pPr>
        <w:framePr w:w="9639" w:h="6974" w:hRule="exact" w:wrap="around" w:vAnchor="page" w:hAnchor="page" w:x="1419" w:y="6408" w:anchorLock="1"/>
        <w:ind w:left="-1418"/>
      </w:pPr>
    </w:p>
    <w:p w14:paraId="3F87CD6D">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Technical regulation for zhaowuda cattle breeding artificial insemination</w:t>
      </w:r>
      <w:r>
        <w:rPr>
          <w:rFonts w:eastAsia="黑体"/>
          <w:szCs w:val="28"/>
        </w:rPr>
        <w:fldChar w:fldCharType="end"/>
      </w:r>
      <w:bookmarkEnd w:id="10"/>
    </w:p>
    <w:p w14:paraId="675733DF">
      <w:pPr>
        <w:framePr w:w="9639" w:h="6974" w:hRule="exact" w:wrap="around" w:vAnchor="page" w:hAnchor="page" w:x="1419" w:y="6408" w:anchorLock="1"/>
        <w:spacing w:line="760" w:lineRule="exact"/>
        <w:ind w:left="-1418"/>
      </w:pPr>
    </w:p>
    <w:p w14:paraId="74E7574D">
      <w:pPr>
        <w:pStyle w:val="125"/>
        <w:framePr w:w="9639" w:h="6974" w:hRule="exact" w:wrap="around" w:vAnchor="page" w:hAnchor="page" w:x="1419" w:y="6408" w:anchorLock="1"/>
        <w:textAlignment w:val="bottom"/>
        <w:rPr>
          <w:rFonts w:eastAsia="黑体"/>
          <w:szCs w:val="28"/>
        </w:rPr>
      </w:pPr>
    </w:p>
    <w:p w14:paraId="4A2BE863">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634E96AC">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7CBD4BFF">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064A3BCE">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hint="eastAsia" w:ascii="黑体"/>
        </w:rPr>
        <w:t>XXXX</w:t>
      </w:r>
      <w:r>
        <w:rPr>
          <w:rFonts w:ascii="黑体"/>
        </w:rPr>
        <w:fldChar w:fldCharType="end"/>
      </w:r>
      <w:bookmarkEnd w:id="14"/>
      <w:r>
        <w:rPr>
          <w:rFonts w:ascii="黑体"/>
        </w:rPr>
        <w:t>-</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ascii="黑体"/>
        </w:rPr>
        <w:t>-</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22482BE8">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hint="eastAsia" w:ascii="黑体"/>
        </w:rPr>
        <w:t>XXXX</w:t>
      </w:r>
      <w:r>
        <w:rPr>
          <w:rFonts w:ascii="黑体"/>
        </w:rPr>
        <w:fldChar w:fldCharType="end"/>
      </w:r>
      <w:bookmarkEnd w:id="17"/>
      <w:r>
        <w:rPr>
          <w:rFonts w:ascii="黑体"/>
        </w:rPr>
        <w:t>-</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ascii="黑体"/>
        </w:rPr>
        <w:t>-</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4CD0A8B7">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赤峰市市场监督管理局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69E50D4F">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ascii="宋体" w:hAnsi="宋体"/>
          <w:sz w:val="28"/>
          <w:szCs w:val="28"/>
          <w:lang w:bidi="mn-Mong-CN"/>
        </w:rPr>
        <w:pict>
          <v:line id="_x0000_s1027" o:spid="_x0000_s1027" o:spt="20" style="position:absolute;left:0pt;margin-left:70.85pt;margin-top:728.6pt;height:0pt;width:481.9pt;mso-position-horizontal-relative:page;mso-position-vertical-relative:page;z-index:251660288;mso-width-relative:page;mso-height-relative:page;"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path arrowok="t"/>
            <v:fill focussize="0,0"/>
            <v:stroke/>
            <v:imagedata o:title=""/>
            <o:lock v:ext="edit"/>
            <w10:anchorlock/>
          </v:line>
        </w:pict>
      </w:r>
    </w:p>
    <w:p w14:paraId="2035693F">
      <w:pPr>
        <w:spacing w:line="20" w:lineRule="exact"/>
        <w:jc w:val="center"/>
        <w:rPr>
          <w:rFonts w:ascii="黑体" w:hAnsi="黑体" w:eastAsia="黑体"/>
          <w:sz w:val="32"/>
          <w:szCs w:val="32"/>
        </w:rPr>
      </w:pPr>
      <w:bookmarkStart w:id="21" w:name="BookMark4"/>
    </w:p>
    <w:p w14:paraId="1DDF54B2">
      <w:pPr>
        <w:spacing w:line="20" w:lineRule="exact"/>
        <w:jc w:val="center"/>
        <w:rPr>
          <w:rFonts w:ascii="黑体" w:hAnsi="黑体" w:eastAsia="黑体"/>
          <w:sz w:val="32"/>
          <w:szCs w:val="32"/>
        </w:rPr>
      </w:pPr>
    </w:p>
    <w:sdt>
      <w:sdtPr>
        <w:rPr>
          <w:sz w:val="21"/>
        </w:rPr>
        <w:tag w:val="NEW_STAND_NAME"/>
        <w:id w:val="595910757"/>
        <w:lock w:val="sdtLocked"/>
        <w:placeholder>
          <w:docPart w:val="07DBFB969B734393A2128F887F63D3E3"/>
        </w:placeholder>
      </w:sdtPr>
      <w:sdtEndPr>
        <w:rPr>
          <w:rFonts w:hint="eastAsia" w:ascii="宋体" w:hAnsi="宋体" w:eastAsia="宋体"/>
          <w:kern w:val="2"/>
          <w:sz w:val="21"/>
        </w:rPr>
      </w:sdtEndPr>
      <w:sdtContent>
        <w:p w14:paraId="34BB1F32">
          <w:pPr>
            <w:pStyle w:val="237"/>
          </w:pPr>
          <w:bookmarkStart w:id="22" w:name="_Toc531183318"/>
          <w:bookmarkStart w:id="23" w:name="_Toc531183356"/>
          <w:bookmarkStart w:id="24" w:name="_Toc531183238"/>
          <w:bookmarkStart w:id="25" w:name="_Toc531183279"/>
          <w:bookmarkStart w:id="26" w:name="NEW_STAND_NAME"/>
          <w:r>
            <w:rPr>
              <w:rFonts w:hint="eastAsia"/>
            </w:rPr>
            <w:t>前</w:t>
          </w:r>
          <w:bookmarkStart w:id="27" w:name="BKQY"/>
          <w:r>
            <w:t>  </w:t>
          </w:r>
          <w:r>
            <w:rPr>
              <w:rFonts w:hint="eastAsia"/>
            </w:rPr>
            <w:t>言</w:t>
          </w:r>
          <w:bookmarkEnd w:id="22"/>
          <w:bookmarkEnd w:id="23"/>
          <w:bookmarkEnd w:id="24"/>
          <w:bookmarkEnd w:id="25"/>
          <w:bookmarkEnd w:id="27"/>
        </w:p>
        <w:p w14:paraId="1659F1B2">
          <w:pPr>
            <w:ind w:firstLine="420" w:firstLineChars="200"/>
            <w:rPr>
              <w:rFonts w:ascii="宋体" w:hAnsi="宋体" w:cs="宋体"/>
              <w:color w:val="000000"/>
              <w:kern w:val="0"/>
            </w:rPr>
          </w:pPr>
          <w:r>
            <w:rPr>
              <w:rFonts w:hint="eastAsia" w:ascii="宋体" w:hAnsi="宋体" w:cs="宋体"/>
              <w:color w:val="000000"/>
              <w:kern w:val="0"/>
            </w:rPr>
            <w:t>本文件按照GB/T 1.1-2020《标准化工作导则 第I部分:标准化文件的结构和起草规则》的规定起草。</w:t>
          </w:r>
        </w:p>
        <w:p w14:paraId="00C79644">
          <w:pPr>
            <w:ind w:firstLine="359" w:firstLineChars="171"/>
            <w:rPr>
              <w:rFonts w:ascii="宋体" w:hAnsi="宋体"/>
              <w:bCs/>
              <w:color w:val="000000"/>
            </w:rPr>
          </w:pPr>
          <w:r>
            <w:rPr>
              <w:rFonts w:ascii="宋体" w:hAnsi="宋体"/>
              <w:bCs/>
              <w:color w:val="000000"/>
            </w:rPr>
            <w:t>本</w:t>
          </w:r>
          <w:r>
            <w:rPr>
              <w:rFonts w:hint="eastAsia" w:ascii="宋体" w:hAnsi="宋体"/>
              <w:bCs/>
              <w:color w:val="000000"/>
            </w:rPr>
            <w:t>文件</w:t>
          </w:r>
          <w:r>
            <w:rPr>
              <w:rFonts w:ascii="宋体" w:hAnsi="宋体"/>
              <w:bCs/>
              <w:color w:val="000000"/>
            </w:rPr>
            <w:t>由</w:t>
          </w:r>
          <w:r>
            <w:rPr>
              <w:rFonts w:hint="eastAsia" w:ascii="宋体" w:hAnsi="宋体"/>
              <w:bCs/>
              <w:color w:val="000000"/>
            </w:rPr>
            <w:t>赤峰市农牧技术推广中心</w:t>
          </w:r>
          <w:r>
            <w:rPr>
              <w:rFonts w:ascii="宋体" w:hAnsi="宋体"/>
              <w:bCs/>
              <w:color w:val="000000"/>
            </w:rPr>
            <w:t>提出。</w:t>
          </w:r>
        </w:p>
        <w:p w14:paraId="2D0B8700">
          <w:pPr>
            <w:ind w:firstLine="359" w:firstLineChars="171"/>
            <w:rPr>
              <w:rFonts w:ascii="宋体" w:hAnsi="宋体"/>
              <w:bCs/>
            </w:rPr>
          </w:pPr>
          <w:r>
            <w:rPr>
              <w:rFonts w:ascii="宋体" w:hAnsi="宋体"/>
              <w:bCs/>
            </w:rPr>
            <w:t>本</w:t>
          </w:r>
          <w:r>
            <w:rPr>
              <w:rFonts w:hint="eastAsia" w:ascii="宋体" w:hAnsi="宋体"/>
              <w:bCs/>
            </w:rPr>
            <w:t>文件</w:t>
          </w:r>
          <w:r>
            <w:rPr>
              <w:rFonts w:ascii="宋体" w:hAnsi="宋体"/>
              <w:bCs/>
            </w:rPr>
            <w:t>由赤峰市农牧局归口。</w:t>
          </w:r>
        </w:p>
        <w:p w14:paraId="013C18F6">
          <w:pPr>
            <w:ind w:firstLine="359" w:firstLineChars="171"/>
            <w:rPr>
              <w:rFonts w:ascii="宋体" w:hAnsi="宋体"/>
              <w:bCs/>
              <w:color w:val="000000"/>
            </w:rPr>
          </w:pPr>
          <w:r>
            <w:rPr>
              <w:rFonts w:ascii="宋体" w:hAnsi="宋体"/>
              <w:bCs/>
              <w:color w:val="000000"/>
            </w:rPr>
            <w:t>本</w:t>
          </w:r>
          <w:r>
            <w:rPr>
              <w:rFonts w:hint="eastAsia" w:ascii="宋体" w:hAnsi="宋体"/>
              <w:bCs/>
              <w:color w:val="000000"/>
            </w:rPr>
            <w:t>文件</w:t>
          </w:r>
          <w:r>
            <w:rPr>
              <w:rFonts w:ascii="宋体" w:hAnsi="宋体"/>
              <w:bCs/>
              <w:color w:val="000000"/>
            </w:rPr>
            <w:t>起草单位：</w:t>
          </w:r>
          <w:r>
            <w:rPr>
              <w:rFonts w:hint="eastAsia" w:ascii="宋体" w:hAnsi="宋体"/>
              <w:bCs/>
              <w:color w:val="000000"/>
            </w:rPr>
            <w:t>赤峰市农牧技术推广中心、赤峰市农牧局、阿鲁科尔沁旗农牧技术推广中心、克什克腾旗农牧技术推广中心、敖汉旗农牧技术推广中心、巴林右旗农牧技术推广中心。</w:t>
          </w:r>
        </w:p>
        <w:p w14:paraId="4B6DB72D">
          <w:pPr>
            <w:ind w:firstLine="371" w:firstLineChars="177"/>
            <w:sectPr>
              <w:headerReference r:id="rId9" w:type="default"/>
              <w:footerReference r:id="rId10" w:type="default"/>
              <w:pgSz w:w="11906" w:h="16838"/>
              <w:pgMar w:top="1928" w:right="1134" w:bottom="1134" w:left="1134" w:header="1418" w:footer="1134" w:gutter="284"/>
              <w:pgNumType w:start="1"/>
              <w:cols w:space="425" w:num="1"/>
              <w:formProt w:val="0"/>
              <w:docGrid w:type="lines" w:linePitch="312" w:charSpace="0"/>
            </w:sectPr>
          </w:pPr>
          <w:r>
            <w:rPr>
              <w:rFonts w:ascii="宋体" w:hAnsi="宋体"/>
            </w:rPr>
            <w:t>本</w:t>
          </w:r>
          <w:r>
            <w:rPr>
              <w:rFonts w:hint="eastAsia" w:ascii="宋体" w:hAnsi="宋体"/>
            </w:rPr>
            <w:t>文件</w:t>
          </w:r>
          <w:r>
            <w:rPr>
              <w:rFonts w:ascii="宋体" w:hAnsi="宋体"/>
            </w:rPr>
            <w:t>起草人：</w:t>
          </w:r>
          <w:r>
            <w:rPr>
              <w:rFonts w:hint="eastAsia" w:ascii="宋体" w:hAnsi="宋体"/>
            </w:rPr>
            <w:t>梁术奎，王金环，黄海栓，韩景虎，侯建，黄国成，左兰明，那仁图雅，车璐，耿军君，哈斯其木格，道日那，石景君，福楠丁，张华，梁智杰，王嘉兴，王芝红，静柏青，王雪洁，哈斯巴根。</w:t>
          </w:r>
        </w:p>
        <w:p w14:paraId="581B96CF">
          <w:pPr>
            <w:pStyle w:val="177"/>
            <w:spacing w:before="3" w:beforeLines="1" w:after="686" w:afterLines="220"/>
          </w:pPr>
          <w:r>
            <w:rPr>
              <w:rFonts w:hint="eastAsia"/>
            </w:rPr>
            <w:t>昭乌达牛选育人工授精技术规程</w:t>
          </w:r>
        </w:p>
        <w:p w14:paraId="60ED559B">
          <w:pPr>
            <w:pStyle w:val="234"/>
            <w:spacing w:before="312" w:after="312"/>
            <w:rPr>
              <w:rFonts w:ascii="Times New Roman"/>
            </w:rPr>
          </w:pPr>
          <w:bookmarkStart w:id="28" w:name="_Toc531183319"/>
          <w:bookmarkStart w:id="29" w:name="_Toc531183280"/>
          <w:bookmarkStart w:id="30" w:name="_Toc531183239"/>
          <w:bookmarkStart w:id="31" w:name="_Toc531183357"/>
          <w:r>
            <w:rPr>
              <w:rFonts w:hint="eastAsia" w:ascii="Times New Roman"/>
            </w:rPr>
            <w:t>范围</w:t>
          </w:r>
          <w:bookmarkEnd w:id="28"/>
          <w:bookmarkEnd w:id="29"/>
          <w:bookmarkEnd w:id="30"/>
          <w:bookmarkEnd w:id="31"/>
        </w:p>
        <w:p w14:paraId="16E1F7D3">
          <w:pPr>
            <w:pStyle w:val="235"/>
            <w:rPr>
              <w:rFonts w:hint="eastAsia" w:ascii="宋体" w:hAnsi="宋体" w:eastAsia="宋体" w:cs="Times New Roman"/>
              <w:kern w:val="2"/>
              <w:sz w:val="21"/>
              <w:lang w:val="en-US" w:eastAsia="zh-CN" w:bidi="ar-SA"/>
            </w:rPr>
          </w:pPr>
          <w:bookmarkStart w:id="36" w:name="_GoBack"/>
          <w:r>
            <w:rPr>
              <w:rFonts w:hint="eastAsia" w:ascii="宋体" w:hAnsi="宋体" w:eastAsia="宋体" w:cs="Times New Roman"/>
              <w:kern w:val="2"/>
              <w:sz w:val="21"/>
              <w:lang w:val="en-US" w:eastAsia="zh-CN" w:bidi="ar-SA"/>
            </w:rPr>
            <w:t>本规程规定了昭乌达牛的基本条件、输精准备、母牛发情鉴定、输精、妊娠检查以及记录等操作的技术要求。</w:t>
          </w:r>
        </w:p>
        <w:bookmarkEnd w:id="36"/>
        <w:p w14:paraId="59B3F68E">
          <w:pPr>
            <w:pStyle w:val="234"/>
            <w:spacing w:before="312" w:after="312"/>
            <w:rPr>
              <w:rFonts w:ascii="Times New Roman"/>
            </w:rPr>
          </w:pPr>
          <w:bookmarkStart w:id="32" w:name="_Toc531183281"/>
          <w:bookmarkStart w:id="33" w:name="_Toc531183320"/>
          <w:bookmarkStart w:id="34" w:name="_Toc531183358"/>
          <w:bookmarkStart w:id="35" w:name="_Toc531183240"/>
          <w:r>
            <w:rPr>
              <w:rFonts w:hint="eastAsia" w:ascii="Times New Roman"/>
            </w:rPr>
            <w:t>规范性引用文件</w:t>
          </w:r>
          <w:bookmarkEnd w:id="32"/>
          <w:bookmarkEnd w:id="33"/>
          <w:bookmarkEnd w:id="34"/>
          <w:bookmarkEnd w:id="35"/>
        </w:p>
        <w:p w14:paraId="089EB8C8">
          <w:pPr>
            <w:pStyle w:val="235"/>
            <w:rPr>
              <w:rFonts w:hint="eastAsia" w:ascii="宋体" w:hAnsi="宋体" w:eastAsia="宋体" w:cs="Times New Roman"/>
              <w:kern w:val="2"/>
              <w:sz w:val="21"/>
              <w:lang w:val="en-US" w:eastAsia="zh-CN" w:bidi="ar-SA"/>
            </w:rPr>
          </w:pPr>
          <w:r>
            <w:rPr>
              <w:rFonts w:hint="eastAsia" w:ascii="宋体" w:hAnsi="宋体" w:eastAsia="宋体" w:cs="Times New Roman"/>
              <w:kern w:val="2"/>
              <w:sz w:val="21"/>
              <w:lang w:val="en-US" w:eastAsia="zh-CN" w:bidi="ar-S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64C6B99B">
          <w:pPr>
            <w:pStyle w:val="234"/>
            <w:keepNext w:val="0"/>
            <w:keepLines w:val="0"/>
            <w:pageBreakBefore w:val="0"/>
            <w:widowControl/>
            <w:numPr>
              <w:ilvl w:val="0"/>
              <w:numId w:val="0"/>
            </w:numPr>
            <w:kinsoku/>
            <w:wordWrap/>
            <w:overflowPunct/>
            <w:topLinePunct w:val="0"/>
            <w:autoSpaceDE/>
            <w:autoSpaceDN/>
            <w:bidi w:val="0"/>
            <w:adjustRightInd/>
            <w:snapToGrid/>
            <w:spacing w:beforeLines="0" w:afterLines="0" w:line="360" w:lineRule="auto"/>
            <w:ind w:firstLine="420" w:firstLineChars="200"/>
            <w:textAlignment w:val="auto"/>
            <w:rPr>
              <w:rFonts w:hint="eastAsia" w:ascii="宋体" w:hAnsi="宋体" w:eastAsia="宋体"/>
              <w:kern w:val="2"/>
            </w:rPr>
          </w:pPr>
          <w:r>
            <w:rPr>
              <w:rFonts w:hint="eastAsia" w:ascii="宋体" w:hAnsi="宋体" w:eastAsia="宋体"/>
              <w:kern w:val="2"/>
            </w:rPr>
            <w:t>GB 4143  《牛冷冻精液》</w:t>
          </w:r>
        </w:p>
        <w:p w14:paraId="13520642">
          <w:pPr>
            <w:pStyle w:val="234"/>
            <w:keepNext w:val="0"/>
            <w:keepLines w:val="0"/>
            <w:pageBreakBefore w:val="0"/>
            <w:widowControl/>
            <w:numPr>
              <w:ilvl w:val="0"/>
              <w:numId w:val="0"/>
            </w:numPr>
            <w:kinsoku/>
            <w:wordWrap/>
            <w:overflowPunct/>
            <w:topLinePunct w:val="0"/>
            <w:autoSpaceDE/>
            <w:autoSpaceDN/>
            <w:bidi w:val="0"/>
            <w:adjustRightInd/>
            <w:snapToGrid/>
            <w:spacing w:beforeLines="0" w:afterLines="0" w:line="360" w:lineRule="auto"/>
            <w:ind w:firstLine="420" w:firstLineChars="200"/>
            <w:textAlignment w:val="auto"/>
            <w:rPr>
              <w:rFonts w:hint="eastAsia" w:ascii="宋体" w:hAnsi="宋体" w:eastAsia="宋体"/>
              <w:kern w:val="2"/>
            </w:rPr>
          </w:pPr>
          <w:r>
            <w:rPr>
              <w:rFonts w:hint="eastAsia" w:ascii="宋体" w:hAnsi="宋体" w:eastAsia="宋体"/>
              <w:kern w:val="2"/>
            </w:rPr>
            <w:t>NY/T 1335  《牛人工授精技术规程》</w:t>
          </w:r>
        </w:p>
        <w:p w14:paraId="08055C79">
          <w:pPr>
            <w:pStyle w:val="234"/>
            <w:spacing w:before="312" w:after="312"/>
            <w:rPr>
              <w:rFonts w:ascii="Times New Roman"/>
            </w:rPr>
          </w:pPr>
          <w:r>
            <w:rPr>
              <w:rFonts w:hint="eastAsia" w:ascii="Times New Roman"/>
            </w:rPr>
            <w:t>术语和定义</w:t>
          </w:r>
        </w:p>
        <w:p w14:paraId="4A3F9CD3">
          <w:pPr>
            <w:pStyle w:val="234"/>
            <w:numPr>
              <w:ilvl w:val="0"/>
              <w:numId w:val="0"/>
            </w:numPr>
            <w:spacing w:before="312" w:after="312"/>
            <w:rPr>
              <w:rFonts w:hAnsi="黑体" w:cs="黑体"/>
            </w:rPr>
          </w:pPr>
          <w:r>
            <w:rPr>
              <w:rFonts w:hint="eastAsia" w:hAnsi="黑体" w:cs="黑体"/>
            </w:rPr>
            <w:t xml:space="preserve">3.1 </w:t>
          </w:r>
        </w:p>
        <w:p w14:paraId="79627077">
          <w:pPr>
            <w:pStyle w:val="234"/>
            <w:numPr>
              <w:ilvl w:val="0"/>
              <w:numId w:val="0"/>
            </w:numPr>
            <w:spacing w:before="312" w:after="312"/>
            <w:rPr>
              <w:rFonts w:hAnsi="黑体" w:cs="黑体"/>
            </w:rPr>
          </w:pPr>
          <w:r>
            <w:rPr>
              <w:rFonts w:hint="eastAsia" w:hAnsi="黑体" w:cs="黑体"/>
            </w:rPr>
            <w:t>冷冻精液  frozen semen</w:t>
          </w:r>
        </w:p>
        <w:p w14:paraId="772EDC98">
          <w:pPr>
            <w:pStyle w:val="234"/>
            <w:keepNext w:val="0"/>
            <w:keepLines w:val="0"/>
            <w:pageBreakBefore w:val="0"/>
            <w:widowControl/>
            <w:numPr>
              <w:ilvl w:val="0"/>
              <w:numId w:val="0"/>
            </w:numPr>
            <w:kinsoku/>
            <w:wordWrap/>
            <w:overflowPunct/>
            <w:topLinePunct w:val="0"/>
            <w:autoSpaceDE/>
            <w:autoSpaceDN/>
            <w:bidi w:val="0"/>
            <w:adjustRightInd/>
            <w:snapToGrid/>
            <w:spacing w:beforeLines="0" w:afterLines="0" w:line="360" w:lineRule="auto"/>
            <w:ind w:firstLine="420" w:firstLineChars="200"/>
            <w:textAlignment w:val="auto"/>
            <w:rPr>
              <w:rFonts w:hint="eastAsia" w:ascii="宋体" w:hAnsi="宋体" w:eastAsia="宋体"/>
              <w:kern w:val="2"/>
            </w:rPr>
          </w:pPr>
          <w:r>
            <w:rPr>
              <w:rFonts w:hint="eastAsia" w:ascii="宋体" w:hAnsi="宋体" w:eastAsia="宋体"/>
              <w:kern w:val="2"/>
            </w:rPr>
            <w:t>将原精液用稀释液等温稀释、平衡后快速冷冻，在液氮中保存。冷冻精液包括颗粒冷冻精液和细管冷冻精液。</w:t>
          </w:r>
        </w:p>
        <w:p w14:paraId="06FA744A">
          <w:pPr>
            <w:pStyle w:val="234"/>
            <w:numPr>
              <w:ilvl w:val="0"/>
              <w:numId w:val="0"/>
            </w:numPr>
            <w:spacing w:before="312" w:after="312"/>
            <w:rPr>
              <w:rFonts w:hAnsi="黑体" w:cs="黑体"/>
            </w:rPr>
          </w:pPr>
          <w:r>
            <w:rPr>
              <w:rFonts w:hint="eastAsia" w:hAnsi="黑体" w:cs="黑体"/>
            </w:rPr>
            <w:t xml:space="preserve">3.2 </w:t>
          </w:r>
        </w:p>
        <w:p w14:paraId="1C546716">
          <w:pPr>
            <w:pStyle w:val="234"/>
            <w:numPr>
              <w:ilvl w:val="0"/>
              <w:numId w:val="0"/>
            </w:numPr>
            <w:spacing w:before="312" w:after="312"/>
            <w:rPr>
              <w:rFonts w:hAnsi="黑体" w:cs="黑体"/>
            </w:rPr>
          </w:pPr>
          <w:r>
            <w:rPr>
              <w:rFonts w:hint="eastAsia" w:hAnsi="黑体" w:cs="黑体"/>
            </w:rPr>
            <w:t>冷冻精液解冻  Thawing of frozon semen</w:t>
          </w:r>
        </w:p>
        <w:p w14:paraId="2A070AAE">
          <w:pPr>
            <w:pStyle w:val="234"/>
            <w:keepNext w:val="0"/>
            <w:keepLines w:val="0"/>
            <w:pageBreakBefore w:val="0"/>
            <w:widowControl/>
            <w:numPr>
              <w:ilvl w:val="0"/>
              <w:numId w:val="0"/>
            </w:numPr>
            <w:kinsoku/>
            <w:wordWrap/>
            <w:overflowPunct/>
            <w:topLinePunct w:val="0"/>
            <w:autoSpaceDE/>
            <w:autoSpaceDN/>
            <w:bidi w:val="0"/>
            <w:adjustRightInd/>
            <w:snapToGrid/>
            <w:spacing w:beforeLines="0" w:afterLines="0" w:line="360" w:lineRule="auto"/>
            <w:ind w:firstLine="420" w:firstLineChars="200"/>
            <w:textAlignment w:val="auto"/>
            <w:rPr>
              <w:rFonts w:hint="eastAsia" w:ascii="宋体" w:hAnsi="宋体" w:eastAsia="宋体"/>
              <w:kern w:val="2"/>
            </w:rPr>
          </w:pPr>
          <w:r>
            <w:rPr>
              <w:rFonts w:hint="eastAsia" w:ascii="宋体" w:hAnsi="宋体" w:eastAsia="宋体"/>
              <w:kern w:val="2"/>
            </w:rPr>
            <w:t>冷冻精液使用前使冷冻精子重新恢复活力的处理方法。</w:t>
          </w:r>
        </w:p>
        <w:p w14:paraId="7767EB76">
          <w:pPr>
            <w:pStyle w:val="234"/>
            <w:numPr>
              <w:ilvl w:val="0"/>
              <w:numId w:val="0"/>
            </w:numPr>
            <w:spacing w:before="312" w:after="312"/>
            <w:rPr>
              <w:rFonts w:hAnsi="黑体" w:cs="黑体"/>
            </w:rPr>
          </w:pPr>
          <w:r>
            <w:rPr>
              <w:rFonts w:hint="eastAsia" w:hAnsi="黑体" w:cs="黑体"/>
            </w:rPr>
            <w:t xml:space="preserve">3.3 </w:t>
          </w:r>
        </w:p>
        <w:p w14:paraId="7BADF163">
          <w:pPr>
            <w:pStyle w:val="234"/>
            <w:numPr>
              <w:ilvl w:val="0"/>
              <w:numId w:val="0"/>
            </w:numPr>
            <w:spacing w:before="312" w:after="312"/>
            <w:rPr>
              <w:rFonts w:hAnsi="黑体" w:cs="黑体"/>
            </w:rPr>
          </w:pPr>
          <w:r>
            <w:rPr>
              <w:rFonts w:hint="eastAsia" w:hAnsi="黑体" w:cs="黑体"/>
            </w:rPr>
            <w:t>人工授精  artificial insemination</w:t>
          </w:r>
        </w:p>
        <w:p w14:paraId="518AB554">
          <w:pPr>
            <w:pStyle w:val="234"/>
            <w:numPr>
              <w:ilvl w:val="0"/>
              <w:numId w:val="0"/>
            </w:numPr>
            <w:spacing w:before="312" w:after="312"/>
            <w:ind w:firstLine="420" w:firstLineChars="200"/>
            <w:rPr>
              <w:rFonts w:ascii="宋体" w:hAnsi="宋体" w:eastAsia="宋体"/>
              <w:kern w:val="2"/>
            </w:rPr>
          </w:pPr>
          <w:r>
            <w:rPr>
              <w:rFonts w:hint="eastAsia" w:ascii="宋体" w:hAnsi="宋体" w:eastAsia="宋体"/>
              <w:kern w:val="2"/>
            </w:rPr>
            <w:t>用人工方法采取公牛精液，经检查处理后，输入发情母牛生殖道内，使其受胎的技术。</w:t>
          </w:r>
        </w:p>
        <w:p w14:paraId="264AF5E4">
          <w:pPr>
            <w:pStyle w:val="234"/>
            <w:numPr>
              <w:ilvl w:val="0"/>
              <w:numId w:val="0"/>
            </w:numPr>
            <w:spacing w:before="312" w:after="312"/>
            <w:rPr>
              <w:rFonts w:hAnsi="黑体" w:cs="黑体"/>
            </w:rPr>
          </w:pPr>
          <w:r>
            <w:rPr>
              <w:rFonts w:hint="eastAsia" w:hAnsi="黑体" w:cs="黑体"/>
            </w:rPr>
            <w:t>3.4</w:t>
          </w:r>
        </w:p>
        <w:p w14:paraId="2286DDF3">
          <w:pPr>
            <w:pStyle w:val="234"/>
            <w:numPr>
              <w:ilvl w:val="0"/>
              <w:numId w:val="0"/>
            </w:numPr>
            <w:spacing w:before="312" w:after="312"/>
            <w:rPr>
              <w:rFonts w:hAnsi="黑体" w:cs="黑体"/>
            </w:rPr>
          </w:pPr>
          <w:r>
            <w:rPr>
              <w:rFonts w:hint="eastAsia" w:hAnsi="黑体" w:cs="黑体"/>
            </w:rPr>
            <w:t xml:space="preserve"> 发情鉴定  estrus detection</w:t>
          </w:r>
        </w:p>
        <w:p w14:paraId="58DF0289">
          <w:pPr>
            <w:pStyle w:val="234"/>
            <w:keepNext w:val="0"/>
            <w:keepLines w:val="0"/>
            <w:pageBreakBefore w:val="0"/>
            <w:widowControl/>
            <w:numPr>
              <w:ilvl w:val="0"/>
              <w:numId w:val="0"/>
            </w:numPr>
            <w:kinsoku/>
            <w:wordWrap/>
            <w:overflowPunct/>
            <w:topLinePunct w:val="0"/>
            <w:autoSpaceDE/>
            <w:autoSpaceDN/>
            <w:bidi w:val="0"/>
            <w:adjustRightInd/>
            <w:snapToGrid/>
            <w:spacing w:beforeLines="0" w:afterLines="0" w:line="360" w:lineRule="auto"/>
            <w:ind w:firstLine="420" w:firstLineChars="200"/>
            <w:textAlignment w:val="auto"/>
            <w:rPr>
              <w:rFonts w:hint="eastAsia" w:ascii="宋体" w:hAnsi="宋体" w:eastAsia="宋体"/>
              <w:kern w:val="2"/>
            </w:rPr>
          </w:pPr>
          <w:r>
            <w:rPr>
              <w:rFonts w:hint="eastAsia" w:ascii="宋体" w:hAnsi="宋体" w:eastAsia="宋体"/>
              <w:kern w:val="2"/>
            </w:rPr>
            <w:t>通过外部观察或其他方式确定母牛发情程度的方法。</w:t>
          </w:r>
        </w:p>
        <w:p w14:paraId="28201DD1">
          <w:pPr>
            <w:pStyle w:val="234"/>
            <w:spacing w:before="312" w:after="312"/>
            <w:rPr>
              <w:rFonts w:ascii="Times New Roman"/>
            </w:rPr>
          </w:pPr>
          <w:r>
            <w:rPr>
              <w:rFonts w:hint="eastAsia" w:ascii="Times New Roman"/>
            </w:rPr>
            <w:t>牛基本条件</w:t>
          </w:r>
        </w:p>
        <w:p w14:paraId="2C9C7312">
          <w:pPr>
            <w:pStyle w:val="234"/>
            <w:numPr>
              <w:ilvl w:val="0"/>
              <w:numId w:val="0"/>
            </w:numPr>
            <w:spacing w:before="312" w:after="312"/>
            <w:rPr>
              <w:rFonts w:hAnsi="黑体" w:cs="黑体"/>
            </w:rPr>
          </w:pPr>
          <w:r>
            <w:rPr>
              <w:rFonts w:hint="eastAsia" w:hAnsi="黑体" w:cs="黑体"/>
            </w:rPr>
            <w:t>4.1 种公牛和精液品质</w:t>
          </w:r>
        </w:p>
        <w:p w14:paraId="17F8508B">
          <w:pPr>
            <w:pStyle w:val="234"/>
            <w:keepNext w:val="0"/>
            <w:keepLines w:val="0"/>
            <w:pageBreakBefore w:val="0"/>
            <w:widowControl/>
            <w:numPr>
              <w:ilvl w:val="0"/>
              <w:numId w:val="0"/>
            </w:numPr>
            <w:kinsoku/>
            <w:wordWrap/>
            <w:overflowPunct/>
            <w:topLinePunct w:val="0"/>
            <w:autoSpaceDE/>
            <w:autoSpaceDN/>
            <w:bidi w:val="0"/>
            <w:adjustRightInd/>
            <w:snapToGrid/>
            <w:spacing w:beforeLines="0" w:afterLines="0" w:line="360" w:lineRule="auto"/>
            <w:ind w:firstLine="420" w:firstLineChars="200"/>
            <w:textAlignment w:val="auto"/>
            <w:rPr>
              <w:rFonts w:hint="eastAsia" w:ascii="宋体" w:hAnsi="宋体" w:eastAsia="宋体"/>
              <w:kern w:val="2"/>
            </w:rPr>
          </w:pPr>
          <w:r>
            <w:rPr>
              <w:rFonts w:hint="eastAsia" w:ascii="宋体" w:hAnsi="宋体" w:eastAsia="宋体"/>
              <w:kern w:val="2"/>
            </w:rPr>
            <w:t>应符合GB 4143要求。</w:t>
          </w:r>
        </w:p>
        <w:p w14:paraId="3491CD67">
          <w:pPr>
            <w:pStyle w:val="234"/>
            <w:numPr>
              <w:ilvl w:val="0"/>
              <w:numId w:val="0"/>
            </w:numPr>
            <w:spacing w:before="312" w:after="312"/>
            <w:rPr>
              <w:rFonts w:hAnsi="黑体" w:cs="黑体"/>
            </w:rPr>
          </w:pPr>
          <w:r>
            <w:rPr>
              <w:rFonts w:hint="eastAsia" w:hAnsi="黑体" w:cs="黑体"/>
            </w:rPr>
            <w:t>4.2 母牛基本条件</w:t>
          </w:r>
        </w:p>
        <w:p w14:paraId="139744F7">
          <w:pPr>
            <w:pStyle w:val="234"/>
            <w:numPr>
              <w:ilvl w:val="0"/>
              <w:numId w:val="0"/>
            </w:numPr>
            <w:spacing w:before="312" w:after="312"/>
            <w:ind w:firstLine="420" w:firstLineChars="200"/>
            <w:rPr>
              <w:rFonts w:ascii="宋体" w:hAnsi="宋体" w:eastAsia="宋体"/>
              <w:kern w:val="2"/>
            </w:rPr>
          </w:pPr>
          <w:r>
            <w:rPr>
              <w:rFonts w:hint="eastAsia" w:ascii="宋体" w:hAnsi="宋体" w:eastAsia="宋体"/>
              <w:kern w:val="2"/>
            </w:rPr>
            <w:t>健康、繁殖机能正常的未妊娠母牛。</w:t>
          </w:r>
        </w:p>
        <w:p w14:paraId="23EA4BEA">
          <w:pPr>
            <w:pStyle w:val="234"/>
            <w:numPr>
              <w:ilvl w:val="0"/>
              <w:numId w:val="0"/>
            </w:numPr>
            <w:spacing w:before="312" w:after="312"/>
            <w:rPr>
              <w:rFonts w:hAnsi="黑体" w:cs="黑体"/>
            </w:rPr>
          </w:pPr>
          <w:r>
            <w:rPr>
              <w:rFonts w:hint="eastAsia" w:hAnsi="黑体" w:cs="黑体"/>
            </w:rPr>
            <w:t>5 输精准备</w:t>
          </w:r>
        </w:p>
        <w:p w14:paraId="2A433C3C">
          <w:pPr>
            <w:pStyle w:val="234"/>
            <w:numPr>
              <w:ilvl w:val="0"/>
              <w:numId w:val="0"/>
            </w:numPr>
            <w:spacing w:before="312" w:after="312"/>
            <w:rPr>
              <w:rFonts w:ascii="Times New Roman"/>
            </w:rPr>
          </w:pPr>
          <w:r>
            <w:rPr>
              <w:rFonts w:hint="eastAsia" w:hAnsi="黑体" w:cs="黑体"/>
            </w:rPr>
            <w:t>5.1 器具清洗和消毒：</w:t>
          </w:r>
          <w:r>
            <w:rPr>
              <w:rFonts w:hint="eastAsia" w:ascii="宋体" w:hAnsi="宋体" w:eastAsia="宋体"/>
              <w:kern w:val="2"/>
            </w:rPr>
            <w:t>凡是接触精液和母牛生殖道的输精用器具都应进行清洗和消毒。</w:t>
          </w:r>
        </w:p>
        <w:p w14:paraId="0F3A9425">
          <w:pPr>
            <w:pStyle w:val="234"/>
            <w:numPr>
              <w:ilvl w:val="0"/>
              <w:numId w:val="0"/>
            </w:numPr>
            <w:spacing w:before="312" w:after="312"/>
            <w:ind w:firstLine="420" w:firstLineChars="200"/>
            <w:rPr>
              <w:rFonts w:ascii="宋体" w:hAnsi="宋体" w:eastAsia="宋体"/>
              <w:kern w:val="2"/>
            </w:rPr>
          </w:pPr>
          <w:r>
            <w:rPr>
              <w:rFonts w:hint="eastAsia" w:ascii="宋体" w:hAnsi="宋体" w:eastAsia="宋体"/>
              <w:kern w:val="2"/>
            </w:rPr>
            <w:t>5.1.1 玻璃器皿</w:t>
          </w:r>
        </w:p>
        <w:p w14:paraId="37D56E31">
          <w:pPr>
            <w:pStyle w:val="234"/>
            <w:keepNext w:val="0"/>
            <w:keepLines w:val="0"/>
            <w:pageBreakBefore w:val="0"/>
            <w:widowControl/>
            <w:numPr>
              <w:ilvl w:val="0"/>
              <w:numId w:val="0"/>
            </w:numPr>
            <w:kinsoku/>
            <w:wordWrap/>
            <w:overflowPunct/>
            <w:topLinePunct w:val="0"/>
            <w:autoSpaceDE/>
            <w:autoSpaceDN/>
            <w:bidi w:val="0"/>
            <w:adjustRightInd/>
            <w:snapToGrid/>
            <w:spacing w:beforeLines="0" w:afterLines="0" w:line="360" w:lineRule="auto"/>
            <w:ind w:firstLine="420" w:firstLineChars="200"/>
            <w:textAlignment w:val="auto"/>
            <w:rPr>
              <w:rFonts w:hint="eastAsia" w:ascii="宋体" w:hAnsi="宋体" w:eastAsia="宋体"/>
              <w:kern w:val="2"/>
            </w:rPr>
          </w:pPr>
          <w:r>
            <w:rPr>
              <w:rFonts w:hint="eastAsia" w:ascii="宋体" w:hAnsi="宋体" w:eastAsia="宋体"/>
              <w:kern w:val="2"/>
            </w:rPr>
            <w:t>使用前用水浸泡和洗涤，有污物的宜用加洗涤剂的温热水或重铬酸钾洗液浸泡数小时后，用水洗净凉备用。玻璃输精管放置在电热干燥箱160℃保持0.5h，自然冷却后待用。</w:t>
          </w:r>
        </w:p>
        <w:p w14:paraId="7C6F52FE">
          <w:pPr>
            <w:pStyle w:val="234"/>
            <w:numPr>
              <w:ilvl w:val="0"/>
              <w:numId w:val="0"/>
            </w:numPr>
            <w:spacing w:before="312" w:after="312"/>
            <w:ind w:firstLine="420" w:firstLineChars="200"/>
            <w:rPr>
              <w:rFonts w:ascii="宋体" w:hAnsi="宋体" w:eastAsia="宋体"/>
              <w:kern w:val="2"/>
            </w:rPr>
          </w:pPr>
          <w:r>
            <w:rPr>
              <w:rFonts w:hint="eastAsia" w:ascii="宋体" w:hAnsi="宋体" w:eastAsia="宋体"/>
              <w:kern w:val="2"/>
            </w:rPr>
            <w:t>5.1.2 金属器械</w:t>
          </w:r>
        </w:p>
        <w:p w14:paraId="75ADB1CE">
          <w:pPr>
            <w:pStyle w:val="234"/>
            <w:numPr>
              <w:ilvl w:val="0"/>
              <w:numId w:val="0"/>
            </w:numPr>
            <w:spacing w:before="312" w:after="312"/>
            <w:ind w:firstLine="420" w:firstLineChars="200"/>
            <w:rPr>
              <w:rFonts w:ascii="宋体" w:hAnsi="宋体" w:eastAsia="宋体"/>
              <w:kern w:val="2"/>
            </w:rPr>
          </w:pPr>
          <w:r>
            <w:rPr>
              <w:rFonts w:hint="eastAsia" w:ascii="宋体" w:hAnsi="宋体" w:eastAsia="宋体"/>
              <w:kern w:val="2"/>
            </w:rPr>
            <w:t>金属输精器类洗净后，置电热干燥箱120℃保持1h，自然冷却待用。</w:t>
          </w:r>
        </w:p>
        <w:p w14:paraId="745F3FE7">
          <w:pPr>
            <w:pStyle w:val="234"/>
            <w:numPr>
              <w:ilvl w:val="0"/>
              <w:numId w:val="0"/>
            </w:numPr>
            <w:spacing w:before="312" w:after="312"/>
            <w:ind w:firstLine="420" w:firstLineChars="200"/>
            <w:rPr>
              <w:rFonts w:ascii="Times New Roman"/>
            </w:rPr>
          </w:pPr>
          <w:r>
            <w:rPr>
              <w:rFonts w:hint="eastAsia" w:ascii="宋体" w:hAnsi="宋体" w:eastAsia="宋体"/>
              <w:kern w:val="2"/>
            </w:rPr>
            <w:t>5.1.3 橡胶、塑料制品</w:t>
          </w:r>
        </w:p>
        <w:p w14:paraId="29630999">
          <w:pPr>
            <w:pStyle w:val="234"/>
            <w:keepNext w:val="0"/>
            <w:keepLines w:val="0"/>
            <w:pageBreakBefore w:val="0"/>
            <w:widowControl/>
            <w:numPr>
              <w:ilvl w:val="0"/>
              <w:numId w:val="0"/>
            </w:numPr>
            <w:kinsoku/>
            <w:wordWrap/>
            <w:overflowPunct/>
            <w:topLinePunct w:val="0"/>
            <w:autoSpaceDE/>
            <w:autoSpaceDN/>
            <w:bidi w:val="0"/>
            <w:adjustRightInd/>
            <w:snapToGrid/>
            <w:spacing w:beforeLines="0" w:afterLines="0" w:line="360" w:lineRule="auto"/>
            <w:ind w:firstLine="420" w:firstLineChars="200"/>
            <w:textAlignment w:val="auto"/>
            <w:rPr>
              <w:rFonts w:hint="eastAsia" w:ascii="宋体" w:hAnsi="宋体" w:eastAsia="宋体"/>
              <w:kern w:val="2"/>
            </w:rPr>
          </w:pPr>
          <w:r>
            <w:rPr>
              <w:rFonts w:hint="eastAsia" w:ascii="宋体" w:hAnsi="宋体" w:eastAsia="宋体"/>
              <w:kern w:val="2"/>
            </w:rPr>
            <w:t>玻璃输精器上的橡胶头用蒸汽或体积分数75％酒精浸泡消毒，待酒精挥发尽后方能使用；塑料制品灭菌，可放置在距离紫外灯下60cm处照射0.5h以上。</w:t>
          </w:r>
        </w:p>
        <w:p w14:paraId="2874C7EF">
          <w:pPr>
            <w:pStyle w:val="234"/>
            <w:numPr>
              <w:ilvl w:val="0"/>
              <w:numId w:val="0"/>
            </w:numPr>
            <w:spacing w:before="312" w:after="312"/>
            <w:rPr>
              <w:rFonts w:ascii="Times New Roman"/>
            </w:rPr>
          </w:pPr>
          <w:r>
            <w:rPr>
              <w:rFonts w:hint="eastAsia" w:hAnsi="黑体" w:cs="黑体"/>
            </w:rPr>
            <w:t>5.2 冷冻精液的贮存</w:t>
          </w:r>
        </w:p>
        <w:p w14:paraId="0222A809">
          <w:pPr>
            <w:pStyle w:val="234"/>
            <w:keepNext w:val="0"/>
            <w:keepLines w:val="0"/>
            <w:pageBreakBefore w:val="0"/>
            <w:widowControl/>
            <w:numPr>
              <w:ilvl w:val="0"/>
              <w:numId w:val="0"/>
            </w:numPr>
            <w:kinsoku/>
            <w:wordWrap/>
            <w:overflowPunct/>
            <w:topLinePunct w:val="0"/>
            <w:autoSpaceDE/>
            <w:autoSpaceDN/>
            <w:bidi w:val="0"/>
            <w:adjustRightInd/>
            <w:snapToGrid/>
            <w:spacing w:beforeLines="0" w:afterLines="0" w:line="360" w:lineRule="auto"/>
            <w:ind w:firstLine="420" w:firstLineChars="200"/>
            <w:textAlignment w:val="auto"/>
            <w:rPr>
              <w:rFonts w:hint="eastAsia" w:ascii="宋体" w:hAnsi="宋体" w:eastAsia="宋体"/>
              <w:kern w:val="2"/>
            </w:rPr>
          </w:pPr>
          <w:r>
            <w:rPr>
              <w:rFonts w:hint="eastAsia" w:ascii="宋体" w:hAnsi="宋体" w:eastAsia="宋体"/>
              <w:kern w:val="2"/>
            </w:rPr>
            <w:t>冷冻精液应浸泡在液氮生物容器中贮存。包装好的冷冻精液由一个液氮容器转换到另一液氮容器时，在外停留时间不得超过5s。</w:t>
          </w:r>
        </w:p>
        <w:p w14:paraId="3EA11327">
          <w:pPr>
            <w:pStyle w:val="234"/>
            <w:numPr>
              <w:ilvl w:val="0"/>
              <w:numId w:val="0"/>
            </w:numPr>
            <w:spacing w:before="312" w:after="312"/>
            <w:rPr>
              <w:rFonts w:hAnsi="黑体" w:cs="黑体"/>
            </w:rPr>
          </w:pPr>
          <w:r>
            <w:rPr>
              <w:rFonts w:hint="eastAsia" w:hAnsi="黑体" w:cs="黑体"/>
            </w:rPr>
            <w:t>5.3 冷冻精液解冻</w:t>
          </w:r>
        </w:p>
        <w:p w14:paraId="069884EA">
          <w:pPr>
            <w:pStyle w:val="234"/>
            <w:numPr>
              <w:ilvl w:val="0"/>
              <w:numId w:val="0"/>
            </w:numPr>
            <w:spacing w:before="312" w:after="312"/>
            <w:ind w:firstLine="420" w:firstLineChars="200"/>
            <w:rPr>
              <w:rFonts w:ascii="宋体" w:hAnsi="宋体" w:eastAsia="宋体"/>
              <w:kern w:val="2"/>
            </w:rPr>
          </w:pPr>
          <w:r>
            <w:rPr>
              <w:rFonts w:hint="eastAsia" w:ascii="宋体" w:hAnsi="宋体" w:eastAsia="宋体"/>
              <w:kern w:val="2"/>
            </w:rPr>
            <w:t>冷冻精液的解冻方法应符合GB 4143-2022的要求。</w:t>
          </w:r>
        </w:p>
        <w:p w14:paraId="7134E177">
          <w:pPr>
            <w:pStyle w:val="234"/>
            <w:numPr>
              <w:ilvl w:val="0"/>
              <w:numId w:val="0"/>
            </w:numPr>
            <w:spacing w:before="312" w:after="312"/>
            <w:rPr>
              <w:rFonts w:hAnsi="黑体" w:cs="黑体"/>
            </w:rPr>
          </w:pPr>
          <w:r>
            <w:rPr>
              <w:rFonts w:hint="eastAsia" w:hAnsi="黑体" w:cs="黑体"/>
            </w:rPr>
            <w:t>5.4 精液质量检查</w:t>
          </w:r>
        </w:p>
        <w:p w14:paraId="1947C1FE">
          <w:pPr>
            <w:pStyle w:val="234"/>
            <w:keepNext w:val="0"/>
            <w:keepLines w:val="0"/>
            <w:pageBreakBefore w:val="0"/>
            <w:widowControl/>
            <w:numPr>
              <w:ilvl w:val="0"/>
              <w:numId w:val="0"/>
            </w:numPr>
            <w:kinsoku/>
            <w:wordWrap/>
            <w:overflowPunct/>
            <w:topLinePunct w:val="0"/>
            <w:autoSpaceDE/>
            <w:autoSpaceDN/>
            <w:bidi w:val="0"/>
            <w:adjustRightInd/>
            <w:snapToGrid/>
            <w:spacing w:beforeLines="0" w:afterLines="0" w:line="360" w:lineRule="auto"/>
            <w:ind w:firstLine="420" w:firstLineChars="200"/>
            <w:textAlignment w:val="auto"/>
            <w:rPr>
              <w:rFonts w:hint="eastAsia" w:ascii="宋体" w:hAnsi="宋体" w:eastAsia="宋体"/>
              <w:kern w:val="2"/>
            </w:rPr>
          </w:pPr>
          <w:r>
            <w:rPr>
              <w:rFonts w:hint="eastAsia" w:ascii="宋体" w:hAnsi="宋体" w:eastAsia="宋体"/>
              <w:kern w:val="2"/>
            </w:rPr>
            <w:t>精液质量应符合GB 4143-2022的要求。</w:t>
          </w:r>
        </w:p>
        <w:p w14:paraId="5AD05A6C">
          <w:pPr>
            <w:pStyle w:val="234"/>
            <w:numPr>
              <w:ilvl w:val="0"/>
              <w:numId w:val="0"/>
            </w:numPr>
            <w:spacing w:before="312" w:after="312"/>
            <w:rPr>
              <w:rFonts w:hAnsi="黑体" w:cs="黑体"/>
            </w:rPr>
          </w:pPr>
          <w:r>
            <w:rPr>
              <w:rFonts w:hint="eastAsia" w:hAnsi="黑体" w:cs="黑体"/>
            </w:rPr>
            <w:t>5.5 牛体卫生</w:t>
          </w:r>
        </w:p>
        <w:p w14:paraId="29DD88C5">
          <w:pPr>
            <w:pStyle w:val="234"/>
            <w:keepNext w:val="0"/>
            <w:keepLines w:val="0"/>
            <w:pageBreakBefore w:val="0"/>
            <w:widowControl/>
            <w:numPr>
              <w:ilvl w:val="0"/>
              <w:numId w:val="0"/>
            </w:numPr>
            <w:kinsoku/>
            <w:wordWrap/>
            <w:overflowPunct/>
            <w:topLinePunct w:val="0"/>
            <w:autoSpaceDE/>
            <w:autoSpaceDN/>
            <w:bidi w:val="0"/>
            <w:adjustRightInd/>
            <w:snapToGrid/>
            <w:spacing w:beforeLines="0" w:afterLines="0" w:line="360" w:lineRule="auto"/>
            <w:ind w:firstLine="420" w:firstLineChars="200"/>
            <w:textAlignment w:val="auto"/>
            <w:rPr>
              <w:rFonts w:hint="eastAsia" w:ascii="宋体" w:hAnsi="宋体" w:eastAsia="宋体"/>
              <w:kern w:val="2"/>
            </w:rPr>
          </w:pPr>
          <w:r>
            <w:rPr>
              <w:rFonts w:hint="eastAsia" w:ascii="宋体" w:hAnsi="宋体" w:eastAsia="宋体"/>
              <w:kern w:val="2"/>
            </w:rPr>
            <w:t>输精前，用手掏净母牛直肠宿粪后，再用温水清洗母牛外阴部并擦拭干净。</w:t>
          </w:r>
        </w:p>
        <w:p w14:paraId="6DCBB2A5">
          <w:pPr>
            <w:pStyle w:val="234"/>
            <w:numPr>
              <w:ilvl w:val="0"/>
              <w:numId w:val="0"/>
            </w:numPr>
            <w:spacing w:before="312" w:after="312"/>
            <w:rPr>
              <w:rFonts w:hAnsi="黑体" w:cs="黑体"/>
            </w:rPr>
          </w:pPr>
          <w:r>
            <w:rPr>
              <w:rFonts w:hint="eastAsia" w:hAnsi="黑体" w:cs="黑体"/>
            </w:rPr>
            <w:t>5.6 输精器准备</w:t>
          </w:r>
        </w:p>
        <w:p w14:paraId="6416D730">
          <w:pPr>
            <w:pStyle w:val="234"/>
            <w:numPr>
              <w:ilvl w:val="0"/>
              <w:numId w:val="0"/>
            </w:numPr>
            <w:spacing w:before="312" w:after="312"/>
            <w:ind w:firstLine="420" w:firstLineChars="200"/>
            <w:rPr>
              <w:rFonts w:hAnsi="黑体" w:cs="黑体"/>
            </w:rPr>
          </w:pPr>
          <w:r>
            <w:rPr>
              <w:rFonts w:hint="eastAsia" w:ascii="宋体" w:hAnsi="宋体" w:eastAsia="宋体"/>
              <w:kern w:val="2"/>
            </w:rPr>
            <w:t>5.6.1 球式玻璃输精器使用</w:t>
          </w:r>
        </w:p>
        <w:p w14:paraId="42075E7F">
          <w:pPr>
            <w:pStyle w:val="234"/>
            <w:keepNext w:val="0"/>
            <w:keepLines w:val="0"/>
            <w:pageBreakBefore w:val="0"/>
            <w:widowControl/>
            <w:numPr>
              <w:ilvl w:val="0"/>
              <w:numId w:val="0"/>
            </w:numPr>
            <w:kinsoku/>
            <w:wordWrap/>
            <w:overflowPunct/>
            <w:topLinePunct w:val="0"/>
            <w:autoSpaceDE/>
            <w:autoSpaceDN/>
            <w:bidi w:val="0"/>
            <w:adjustRightInd/>
            <w:snapToGrid/>
            <w:spacing w:beforeLines="0" w:afterLines="0" w:line="360" w:lineRule="auto"/>
            <w:ind w:firstLine="420" w:firstLineChars="200"/>
            <w:textAlignment w:val="auto"/>
            <w:rPr>
              <w:rFonts w:hint="eastAsia" w:ascii="宋体" w:hAnsi="宋体" w:eastAsia="宋体"/>
              <w:kern w:val="2"/>
            </w:rPr>
          </w:pPr>
          <w:r>
            <w:rPr>
              <w:rFonts w:hint="eastAsia" w:ascii="宋体" w:hAnsi="宋体" w:eastAsia="宋体"/>
              <w:kern w:val="2"/>
            </w:rPr>
            <w:t>球式玻璃输精器主要用于颗粒冷冻精液的输精。输精前在输精器后端装上橡胶头，手捏橡胶头吸取精液。</w:t>
          </w:r>
        </w:p>
        <w:p w14:paraId="6E92B067">
          <w:pPr>
            <w:pStyle w:val="234"/>
            <w:numPr>
              <w:ilvl w:val="0"/>
              <w:numId w:val="0"/>
            </w:numPr>
            <w:spacing w:before="312" w:after="312"/>
            <w:ind w:firstLine="420" w:firstLineChars="200"/>
            <w:rPr>
              <w:rFonts w:ascii="宋体" w:hAnsi="宋体" w:eastAsia="宋体"/>
              <w:kern w:val="2"/>
            </w:rPr>
          </w:pPr>
          <w:r>
            <w:rPr>
              <w:rFonts w:hint="eastAsia" w:ascii="宋体" w:hAnsi="宋体" w:eastAsia="宋体"/>
              <w:kern w:val="2"/>
            </w:rPr>
            <w:t>5.6.2 金属输精器使用</w:t>
          </w:r>
        </w:p>
        <w:p w14:paraId="324C7267">
          <w:pPr>
            <w:pStyle w:val="234"/>
            <w:keepNext w:val="0"/>
            <w:keepLines w:val="0"/>
            <w:pageBreakBefore w:val="0"/>
            <w:widowControl/>
            <w:numPr>
              <w:ilvl w:val="0"/>
              <w:numId w:val="0"/>
            </w:numPr>
            <w:kinsoku/>
            <w:wordWrap/>
            <w:overflowPunct/>
            <w:topLinePunct w:val="0"/>
            <w:autoSpaceDE/>
            <w:autoSpaceDN/>
            <w:bidi w:val="0"/>
            <w:adjustRightInd/>
            <w:snapToGrid/>
            <w:spacing w:beforeLines="0" w:afterLines="0" w:line="360" w:lineRule="auto"/>
            <w:ind w:firstLine="420" w:firstLineChars="200"/>
            <w:textAlignment w:val="auto"/>
            <w:rPr>
              <w:rFonts w:hint="eastAsia" w:ascii="宋体" w:hAnsi="宋体" w:eastAsia="宋体"/>
              <w:kern w:val="2"/>
            </w:rPr>
          </w:pPr>
          <w:r>
            <w:rPr>
              <w:rFonts w:hint="eastAsia" w:ascii="宋体" w:hAnsi="宋体" w:eastAsia="宋体"/>
              <w:kern w:val="2"/>
            </w:rPr>
            <w:t>金属输精器主要用于细管冷冻精液的输精。剪去细管精液封口，剪口应正，断面应齐。将剪去封口的细管精液迅速装入输精器管内，步骤为：剪去封口端的为前端，输精器推杆后退，细管装至管内，输精器管进入塑料外套管，管口顶紧外套管中固定圈，输精器管前推到头，外套管后部与输精器后部螺纹处拧紧，全部结合要紧密。</w:t>
          </w:r>
        </w:p>
        <w:p w14:paraId="06715D57">
          <w:pPr>
            <w:pStyle w:val="234"/>
            <w:numPr>
              <w:ilvl w:val="0"/>
              <w:numId w:val="0"/>
            </w:numPr>
            <w:spacing w:before="312" w:after="312"/>
            <w:rPr>
              <w:rFonts w:hAnsi="黑体" w:cs="黑体"/>
            </w:rPr>
          </w:pPr>
          <w:r>
            <w:rPr>
              <w:rFonts w:hint="eastAsia" w:hAnsi="黑体" w:cs="黑体"/>
            </w:rPr>
            <w:t>6 母牛发情鉴定</w:t>
          </w:r>
        </w:p>
        <w:p w14:paraId="317088E7">
          <w:pPr>
            <w:pStyle w:val="234"/>
            <w:numPr>
              <w:ilvl w:val="0"/>
              <w:numId w:val="0"/>
            </w:numPr>
            <w:spacing w:before="312" w:after="312"/>
            <w:rPr>
              <w:rFonts w:hAnsi="黑体" w:cs="黑体"/>
            </w:rPr>
          </w:pPr>
          <w:r>
            <w:rPr>
              <w:rFonts w:hint="eastAsia" w:hAnsi="黑体" w:cs="黑体"/>
            </w:rPr>
            <w:t>6.1 外部观察</w:t>
          </w:r>
        </w:p>
        <w:p w14:paraId="2AC2EE23">
          <w:pPr>
            <w:pStyle w:val="234"/>
            <w:keepNext w:val="0"/>
            <w:keepLines w:val="0"/>
            <w:pageBreakBefore w:val="0"/>
            <w:widowControl/>
            <w:numPr>
              <w:ilvl w:val="0"/>
              <w:numId w:val="0"/>
            </w:numPr>
            <w:kinsoku/>
            <w:wordWrap/>
            <w:overflowPunct/>
            <w:topLinePunct w:val="0"/>
            <w:autoSpaceDE/>
            <w:autoSpaceDN/>
            <w:bidi w:val="0"/>
            <w:adjustRightInd/>
            <w:snapToGrid/>
            <w:spacing w:beforeLines="0" w:afterLines="0" w:line="360" w:lineRule="auto"/>
            <w:ind w:firstLine="420" w:firstLineChars="200"/>
            <w:textAlignment w:val="auto"/>
            <w:rPr>
              <w:rFonts w:hint="eastAsia" w:ascii="宋体" w:hAnsi="宋体" w:eastAsia="宋体"/>
              <w:kern w:val="2"/>
            </w:rPr>
          </w:pPr>
          <w:r>
            <w:rPr>
              <w:rFonts w:hint="eastAsia" w:ascii="宋体" w:hAnsi="宋体" w:eastAsia="宋体"/>
              <w:kern w:val="2"/>
            </w:rPr>
            <w:t>通过母牛的外部表现症状和生殖器官的变化判断母牛是否发情和发情程度。</w:t>
          </w:r>
        </w:p>
        <w:p w14:paraId="5CE770A5">
          <w:pPr>
            <w:pStyle w:val="234"/>
            <w:numPr>
              <w:ilvl w:val="0"/>
              <w:numId w:val="0"/>
            </w:numPr>
            <w:spacing w:before="312" w:after="312"/>
            <w:rPr>
              <w:rFonts w:hAnsi="黑体" w:cs="黑体"/>
            </w:rPr>
          </w:pPr>
          <w:r>
            <w:rPr>
              <w:rFonts w:hint="eastAsia" w:hAnsi="黑体" w:cs="黑体"/>
            </w:rPr>
            <w:t>6.2 直肠检查</w:t>
          </w:r>
        </w:p>
        <w:p w14:paraId="000BA227">
          <w:pPr>
            <w:pStyle w:val="234"/>
            <w:keepNext w:val="0"/>
            <w:keepLines w:val="0"/>
            <w:pageBreakBefore w:val="0"/>
            <w:widowControl/>
            <w:numPr>
              <w:ilvl w:val="0"/>
              <w:numId w:val="0"/>
            </w:numPr>
            <w:kinsoku/>
            <w:wordWrap/>
            <w:overflowPunct/>
            <w:topLinePunct w:val="0"/>
            <w:autoSpaceDE/>
            <w:autoSpaceDN/>
            <w:bidi w:val="0"/>
            <w:adjustRightInd/>
            <w:snapToGrid/>
            <w:spacing w:beforeLines="0" w:afterLines="0" w:line="360" w:lineRule="auto"/>
            <w:ind w:firstLine="420" w:firstLineChars="200"/>
            <w:textAlignment w:val="auto"/>
            <w:rPr>
              <w:rFonts w:hint="eastAsia" w:ascii="宋体" w:hAnsi="宋体" w:eastAsia="宋体"/>
              <w:kern w:val="2"/>
            </w:rPr>
          </w:pPr>
          <w:r>
            <w:rPr>
              <w:rFonts w:hint="eastAsia" w:ascii="宋体" w:hAnsi="宋体" w:eastAsia="宋体"/>
              <w:kern w:val="2"/>
            </w:rPr>
            <w:t>通过直肠检查卵巢，触摸卵泡发育程度判断发情程度及排卵时间。</w:t>
          </w:r>
        </w:p>
        <w:p w14:paraId="19F7B16F">
          <w:pPr>
            <w:pStyle w:val="234"/>
            <w:numPr>
              <w:ilvl w:val="0"/>
              <w:numId w:val="0"/>
            </w:numPr>
            <w:spacing w:before="312" w:after="312"/>
            <w:rPr>
              <w:rFonts w:hAnsi="黑体" w:cs="黑体"/>
            </w:rPr>
          </w:pPr>
          <w:r>
            <w:rPr>
              <w:rFonts w:hint="eastAsia" w:hAnsi="黑体" w:cs="黑体"/>
            </w:rPr>
            <w:t>7 输精</w:t>
          </w:r>
        </w:p>
        <w:p w14:paraId="5A1F30D7">
          <w:pPr>
            <w:pStyle w:val="234"/>
            <w:numPr>
              <w:ilvl w:val="0"/>
              <w:numId w:val="0"/>
            </w:numPr>
            <w:spacing w:before="312" w:after="312"/>
            <w:rPr>
              <w:rFonts w:hAnsi="黑体" w:cs="黑体"/>
            </w:rPr>
          </w:pPr>
          <w:r>
            <w:rPr>
              <w:rFonts w:hint="eastAsia" w:hAnsi="黑体" w:cs="黑体"/>
            </w:rPr>
            <w:t>7.1 输精时间确定</w:t>
          </w:r>
        </w:p>
        <w:p w14:paraId="76638121">
          <w:pPr>
            <w:pStyle w:val="234"/>
            <w:numPr>
              <w:ilvl w:val="0"/>
              <w:numId w:val="0"/>
            </w:numPr>
            <w:spacing w:before="312" w:after="312"/>
            <w:ind w:firstLine="420" w:firstLineChars="200"/>
            <w:rPr>
              <w:rFonts w:ascii="宋体" w:hAnsi="宋体" w:eastAsia="宋体"/>
              <w:kern w:val="2"/>
            </w:rPr>
          </w:pPr>
          <w:r>
            <w:rPr>
              <w:rFonts w:hint="eastAsia" w:ascii="宋体" w:hAnsi="宋体" w:eastAsia="宋体"/>
              <w:kern w:val="2"/>
            </w:rPr>
            <w:t>7.1.1 触摸卵泡法</w:t>
          </w:r>
        </w:p>
        <w:p w14:paraId="067A1A18">
          <w:pPr>
            <w:pStyle w:val="234"/>
            <w:keepNext w:val="0"/>
            <w:keepLines w:val="0"/>
            <w:pageBreakBefore w:val="0"/>
            <w:widowControl/>
            <w:numPr>
              <w:ilvl w:val="0"/>
              <w:numId w:val="0"/>
            </w:numPr>
            <w:kinsoku/>
            <w:wordWrap/>
            <w:overflowPunct/>
            <w:topLinePunct w:val="0"/>
            <w:autoSpaceDE/>
            <w:autoSpaceDN/>
            <w:bidi w:val="0"/>
            <w:adjustRightInd/>
            <w:snapToGrid/>
            <w:spacing w:beforeLines="0" w:afterLines="0" w:line="360" w:lineRule="auto"/>
            <w:ind w:firstLine="420" w:firstLineChars="200"/>
            <w:textAlignment w:val="auto"/>
            <w:rPr>
              <w:rFonts w:hint="eastAsia" w:ascii="宋体" w:hAnsi="宋体" w:eastAsia="宋体"/>
              <w:kern w:val="2"/>
            </w:rPr>
          </w:pPr>
          <w:r>
            <w:rPr>
              <w:rFonts w:hint="eastAsia" w:ascii="宋体" w:hAnsi="宋体" w:eastAsia="宋体"/>
              <w:kern w:val="2"/>
            </w:rPr>
            <w:t>在卵泡壁薄、满而软、有弹性和波动感明显接近成熟排卵时输精一次；6h～10h卵泡仍未破裂，再输精一次。</w:t>
          </w:r>
        </w:p>
        <w:p w14:paraId="5C9A2BFA">
          <w:pPr>
            <w:pStyle w:val="234"/>
            <w:numPr>
              <w:ilvl w:val="0"/>
              <w:numId w:val="0"/>
            </w:numPr>
            <w:spacing w:before="312" w:after="312"/>
            <w:ind w:firstLine="420" w:firstLineChars="200"/>
            <w:rPr>
              <w:rFonts w:ascii="宋体" w:hAnsi="宋体" w:eastAsia="宋体"/>
              <w:kern w:val="2"/>
            </w:rPr>
          </w:pPr>
          <w:r>
            <w:rPr>
              <w:rFonts w:hint="eastAsia" w:ascii="宋体" w:hAnsi="宋体" w:eastAsia="宋体"/>
              <w:kern w:val="2"/>
            </w:rPr>
            <w:t>7.1.2 外部观察法</w:t>
          </w:r>
        </w:p>
        <w:p w14:paraId="2BF21AFE">
          <w:pPr>
            <w:pStyle w:val="234"/>
            <w:keepNext w:val="0"/>
            <w:keepLines w:val="0"/>
            <w:pageBreakBefore w:val="0"/>
            <w:widowControl/>
            <w:numPr>
              <w:ilvl w:val="0"/>
              <w:numId w:val="0"/>
            </w:numPr>
            <w:kinsoku/>
            <w:wordWrap/>
            <w:overflowPunct/>
            <w:topLinePunct w:val="0"/>
            <w:autoSpaceDE/>
            <w:autoSpaceDN/>
            <w:bidi w:val="0"/>
            <w:adjustRightInd/>
            <w:snapToGrid/>
            <w:spacing w:beforeLines="0" w:afterLines="0" w:line="360" w:lineRule="auto"/>
            <w:ind w:firstLine="420" w:firstLineChars="200"/>
            <w:textAlignment w:val="auto"/>
            <w:rPr>
              <w:rFonts w:hint="eastAsia" w:ascii="宋体" w:hAnsi="宋体" w:eastAsia="宋体"/>
              <w:kern w:val="2"/>
            </w:rPr>
          </w:pPr>
          <w:r>
            <w:rPr>
              <w:rFonts w:hint="eastAsia" w:ascii="宋体" w:hAnsi="宋体" w:eastAsia="宋体"/>
              <w:kern w:val="2"/>
            </w:rPr>
            <w:t>母牛接受爬跨后6h～10h是适宜输精时间。如采用两次输精，第二次输精时间为母牛接受爬跨后12h～20h。青年母牛的输精时间宜适当提前。</w:t>
          </w:r>
        </w:p>
        <w:p w14:paraId="67C53596">
          <w:pPr>
            <w:pStyle w:val="234"/>
            <w:numPr>
              <w:ilvl w:val="0"/>
              <w:numId w:val="0"/>
            </w:numPr>
            <w:spacing w:before="312" w:after="312"/>
            <w:rPr>
              <w:rFonts w:hAnsi="黑体" w:cs="黑体"/>
            </w:rPr>
          </w:pPr>
          <w:r>
            <w:rPr>
              <w:rFonts w:hint="eastAsia" w:hAnsi="黑体" w:cs="黑体"/>
            </w:rPr>
            <w:t>7.2 直肠把握输精法</w:t>
          </w:r>
        </w:p>
        <w:p w14:paraId="2857BEED">
          <w:pPr>
            <w:pStyle w:val="234"/>
            <w:keepNext w:val="0"/>
            <w:keepLines w:val="0"/>
            <w:pageBreakBefore w:val="0"/>
            <w:widowControl/>
            <w:numPr>
              <w:ilvl w:val="0"/>
              <w:numId w:val="0"/>
            </w:numPr>
            <w:kinsoku/>
            <w:wordWrap/>
            <w:overflowPunct/>
            <w:topLinePunct w:val="0"/>
            <w:autoSpaceDE/>
            <w:autoSpaceDN/>
            <w:bidi w:val="0"/>
            <w:adjustRightInd/>
            <w:snapToGrid/>
            <w:spacing w:beforeLines="0" w:afterLines="0" w:line="360" w:lineRule="auto"/>
            <w:ind w:firstLine="420" w:firstLineChars="200"/>
            <w:textAlignment w:val="auto"/>
            <w:rPr>
              <w:rFonts w:hint="eastAsia" w:ascii="宋体" w:hAnsi="宋体" w:eastAsia="宋体"/>
              <w:kern w:val="2"/>
            </w:rPr>
          </w:pPr>
          <w:r>
            <w:rPr>
              <w:rFonts w:hint="eastAsia" w:ascii="宋体" w:hAnsi="宋体" w:eastAsia="宋体"/>
              <w:kern w:val="2"/>
            </w:rPr>
            <w:t>输精人员一手五指并握，呈圆锥形从肛门伸进直肠，动作要轻柔，在直肠内触摸并把握住子宫颈，使子宫颈把握在手掌之中，另一手将输精器从阴道下口斜上方约45°角向里轻轻插入，双手配合，输精器头 对准子宫颈口，轻轻旋转插进，过子宫颈口螺旋状皱壁1cm～2cm到达输精部位。一头母牛应使用一支输精器或者一支消毒塑料输精外套管。直肠把握输精使用器械及其操作分为：</w:t>
          </w:r>
        </w:p>
        <w:p w14:paraId="182E1856">
          <w:pPr>
            <w:pStyle w:val="234"/>
            <w:keepNext w:val="0"/>
            <w:keepLines w:val="0"/>
            <w:pageBreakBefore w:val="0"/>
            <w:widowControl/>
            <w:numPr>
              <w:ilvl w:val="0"/>
              <w:numId w:val="0"/>
            </w:numPr>
            <w:kinsoku/>
            <w:wordWrap/>
            <w:overflowPunct/>
            <w:topLinePunct w:val="0"/>
            <w:autoSpaceDE/>
            <w:autoSpaceDN/>
            <w:bidi w:val="0"/>
            <w:adjustRightInd/>
            <w:snapToGrid/>
            <w:spacing w:beforeLines="0" w:afterLines="0" w:line="360" w:lineRule="auto"/>
            <w:ind w:firstLine="420" w:firstLineChars="200"/>
            <w:textAlignment w:val="auto"/>
            <w:rPr>
              <w:rFonts w:hint="eastAsia" w:ascii="宋体" w:hAnsi="宋体" w:eastAsia="宋体"/>
              <w:kern w:val="2"/>
            </w:rPr>
          </w:pPr>
          <w:r>
            <w:rPr>
              <w:rFonts w:hint="eastAsia" w:ascii="宋体" w:hAnsi="宋体" w:eastAsia="宋体"/>
              <w:kern w:val="2"/>
            </w:rPr>
            <w:t>a）用球式玻璃输精器的，注入精液前略后退约0.5cm，手捏橡胶头注入精液，输精管抽出前不得松开橡胶头，以免回吸精液。</w:t>
          </w:r>
        </w:p>
        <w:p w14:paraId="2A7ADB40">
          <w:pPr>
            <w:pStyle w:val="234"/>
            <w:keepNext w:val="0"/>
            <w:keepLines w:val="0"/>
            <w:pageBreakBefore w:val="0"/>
            <w:widowControl/>
            <w:numPr>
              <w:ilvl w:val="0"/>
              <w:numId w:val="0"/>
            </w:numPr>
            <w:kinsoku/>
            <w:wordWrap/>
            <w:overflowPunct/>
            <w:topLinePunct w:val="0"/>
            <w:autoSpaceDE/>
            <w:autoSpaceDN/>
            <w:bidi w:val="0"/>
            <w:adjustRightInd/>
            <w:snapToGrid/>
            <w:spacing w:beforeLines="0" w:afterLines="0" w:line="360" w:lineRule="auto"/>
            <w:ind w:firstLine="420" w:firstLineChars="200"/>
            <w:textAlignment w:val="auto"/>
            <w:rPr>
              <w:rFonts w:hint="eastAsia" w:ascii="宋体" w:hAnsi="宋体" w:eastAsia="宋体"/>
              <w:kern w:val="2"/>
            </w:rPr>
          </w:pPr>
          <w:r>
            <w:rPr>
              <w:rFonts w:hint="eastAsia" w:ascii="宋体" w:hAnsi="宋体" w:eastAsia="宋体"/>
              <w:kern w:val="2"/>
            </w:rPr>
            <w:t>b）用金属输精器的，注入精液前略后退约0.5cm，把输精器推杆缓缓向前推，通过细管中棉塞向前注入精液。</w:t>
          </w:r>
        </w:p>
        <w:p w14:paraId="6C9E51F8">
          <w:pPr>
            <w:pStyle w:val="234"/>
            <w:numPr>
              <w:ilvl w:val="0"/>
              <w:numId w:val="0"/>
            </w:numPr>
            <w:spacing w:before="312" w:after="312"/>
            <w:rPr>
              <w:rFonts w:ascii="Times New Roman"/>
            </w:rPr>
          </w:pPr>
          <w:r>
            <w:rPr>
              <w:rFonts w:hint="eastAsia" w:hAnsi="黑体" w:cs="黑体"/>
            </w:rPr>
            <w:t>7.3 输精部位</w:t>
          </w:r>
        </w:p>
        <w:p w14:paraId="0A95BE51">
          <w:pPr>
            <w:pStyle w:val="234"/>
            <w:numPr>
              <w:ilvl w:val="0"/>
              <w:numId w:val="0"/>
            </w:numPr>
            <w:spacing w:before="312" w:after="312"/>
            <w:ind w:firstLine="420" w:firstLineChars="200"/>
            <w:rPr>
              <w:rFonts w:ascii="宋体" w:hAnsi="宋体" w:eastAsia="宋体"/>
              <w:kern w:val="2"/>
            </w:rPr>
          </w:pPr>
          <w:r>
            <w:rPr>
              <w:rFonts w:hint="eastAsia" w:ascii="宋体" w:hAnsi="宋体" w:eastAsia="宋体"/>
              <w:kern w:val="2"/>
            </w:rPr>
            <w:t>应到子宫角间沟分岔部的子宫体部，不宜深达子宫角部位。</w:t>
          </w:r>
        </w:p>
        <w:p w14:paraId="2CCA77FF">
          <w:pPr>
            <w:pStyle w:val="234"/>
            <w:numPr>
              <w:ilvl w:val="0"/>
              <w:numId w:val="0"/>
            </w:numPr>
            <w:spacing w:before="312" w:after="312"/>
            <w:rPr>
              <w:rFonts w:hAnsi="黑体" w:cs="黑体"/>
            </w:rPr>
          </w:pPr>
          <w:r>
            <w:rPr>
              <w:rFonts w:hint="eastAsia" w:hAnsi="黑体" w:cs="黑体"/>
            </w:rPr>
            <w:t>8 妊娠检查</w:t>
          </w:r>
        </w:p>
        <w:p w14:paraId="4A7B77A3">
          <w:pPr>
            <w:pStyle w:val="234"/>
            <w:numPr>
              <w:ilvl w:val="0"/>
              <w:numId w:val="0"/>
            </w:numPr>
            <w:spacing w:before="312" w:after="312"/>
            <w:rPr>
              <w:rFonts w:ascii="Times New Roman"/>
            </w:rPr>
          </w:pPr>
          <w:r>
            <w:rPr>
              <w:rFonts w:hint="eastAsia" w:hAnsi="黑体" w:cs="黑体"/>
            </w:rPr>
            <w:t>8.1 外部观察</w:t>
          </w:r>
        </w:p>
        <w:p w14:paraId="38EFAEB4">
          <w:pPr>
            <w:pStyle w:val="234"/>
            <w:keepNext w:val="0"/>
            <w:keepLines w:val="0"/>
            <w:pageBreakBefore w:val="0"/>
            <w:widowControl/>
            <w:numPr>
              <w:ilvl w:val="0"/>
              <w:numId w:val="0"/>
            </w:numPr>
            <w:kinsoku/>
            <w:wordWrap/>
            <w:overflowPunct/>
            <w:topLinePunct w:val="0"/>
            <w:autoSpaceDE/>
            <w:autoSpaceDN/>
            <w:bidi w:val="0"/>
            <w:adjustRightInd/>
            <w:snapToGrid/>
            <w:spacing w:beforeLines="0" w:afterLines="0" w:line="360" w:lineRule="auto"/>
            <w:ind w:firstLine="420" w:firstLineChars="200"/>
            <w:textAlignment w:val="auto"/>
            <w:rPr>
              <w:rFonts w:hint="eastAsia" w:ascii="宋体" w:hAnsi="宋体" w:eastAsia="宋体"/>
              <w:kern w:val="2"/>
            </w:rPr>
          </w:pPr>
          <w:r>
            <w:rPr>
              <w:rFonts w:hint="eastAsia" w:ascii="宋体" w:hAnsi="宋体" w:eastAsia="宋体"/>
              <w:kern w:val="2"/>
            </w:rPr>
            <w:t>妊娠母牛外部表现发情周期停止，食欲增进，毛色润泽，性情变温和，行为变安稳。怀孕中后期腹围增大，腹壁一侧突出，甚至可观察到胎动，乳房胀大。</w:t>
          </w:r>
        </w:p>
        <w:p w14:paraId="60953C86">
          <w:pPr>
            <w:pStyle w:val="234"/>
            <w:numPr>
              <w:ilvl w:val="0"/>
              <w:numId w:val="0"/>
            </w:numPr>
            <w:spacing w:before="312" w:after="312"/>
            <w:rPr>
              <w:rFonts w:ascii="Times New Roman"/>
            </w:rPr>
          </w:pPr>
          <w:r>
            <w:rPr>
              <w:rFonts w:hint="eastAsia" w:hAnsi="黑体" w:cs="黑体"/>
            </w:rPr>
            <w:t>8.2 直肠检查</w:t>
          </w:r>
        </w:p>
        <w:p w14:paraId="5DFB8077">
          <w:pPr>
            <w:pStyle w:val="234"/>
            <w:keepNext w:val="0"/>
            <w:keepLines w:val="0"/>
            <w:pageBreakBefore w:val="0"/>
            <w:widowControl/>
            <w:numPr>
              <w:ilvl w:val="0"/>
              <w:numId w:val="0"/>
            </w:numPr>
            <w:kinsoku/>
            <w:wordWrap/>
            <w:overflowPunct/>
            <w:topLinePunct w:val="0"/>
            <w:autoSpaceDE/>
            <w:autoSpaceDN/>
            <w:bidi w:val="0"/>
            <w:adjustRightInd/>
            <w:snapToGrid/>
            <w:spacing w:beforeLines="0" w:afterLines="0" w:line="360" w:lineRule="auto"/>
            <w:ind w:firstLine="420" w:firstLineChars="200"/>
            <w:textAlignment w:val="auto"/>
            <w:rPr>
              <w:rFonts w:hint="eastAsia" w:ascii="宋体" w:hAnsi="宋体" w:eastAsia="宋体"/>
              <w:kern w:val="2"/>
            </w:rPr>
          </w:pPr>
          <w:r>
            <w:rPr>
              <w:rFonts w:hint="eastAsia" w:ascii="宋体" w:hAnsi="宋体" w:eastAsia="宋体"/>
              <w:kern w:val="2"/>
            </w:rPr>
            <w:t>输精后二个情期未发情（40d左右），通过直肠触摸检查子宫，可查出两侧子宫角不对称，孕侧子宫角较另侧略大，且柔软。60d后直肠触摸可查出妊娠子宫增大、胎儿和胎膜。直肠触摸同侧卵巢较另侧略大，并有妊娠黄体，黄体质柔软、丰满，顶端能触感突起物。</w:t>
          </w:r>
        </w:p>
        <w:p w14:paraId="03ED3E1A">
          <w:pPr>
            <w:pStyle w:val="234"/>
            <w:numPr>
              <w:ilvl w:val="0"/>
              <w:numId w:val="0"/>
            </w:numPr>
            <w:spacing w:before="312" w:after="312"/>
            <w:rPr>
              <w:rFonts w:hAnsi="黑体" w:cs="黑体"/>
            </w:rPr>
          </w:pPr>
          <w:r>
            <w:rPr>
              <w:rFonts w:hint="eastAsia" w:hAnsi="黑体" w:cs="黑体"/>
            </w:rPr>
            <w:t>8.3 超声波诊断</w:t>
          </w:r>
        </w:p>
        <w:p w14:paraId="237353F7">
          <w:pPr>
            <w:pStyle w:val="234"/>
            <w:keepNext w:val="0"/>
            <w:keepLines w:val="0"/>
            <w:pageBreakBefore w:val="0"/>
            <w:widowControl/>
            <w:numPr>
              <w:ilvl w:val="0"/>
              <w:numId w:val="0"/>
            </w:numPr>
            <w:kinsoku/>
            <w:wordWrap/>
            <w:overflowPunct/>
            <w:topLinePunct w:val="0"/>
            <w:autoSpaceDE/>
            <w:autoSpaceDN/>
            <w:bidi w:val="0"/>
            <w:adjustRightInd/>
            <w:snapToGrid/>
            <w:spacing w:beforeLines="0" w:afterLines="0" w:line="360" w:lineRule="auto"/>
            <w:ind w:firstLine="420" w:firstLineChars="200"/>
            <w:textAlignment w:val="auto"/>
            <w:rPr>
              <w:rFonts w:hint="eastAsia" w:ascii="宋体" w:hAnsi="宋体" w:eastAsia="宋体"/>
              <w:kern w:val="2"/>
            </w:rPr>
          </w:pPr>
          <w:r>
            <w:rPr>
              <w:rFonts w:hint="eastAsia" w:ascii="宋体" w:hAnsi="宋体" w:eastAsia="宋体"/>
              <w:kern w:val="2"/>
            </w:rPr>
            <w:t>用B超检查母牛的子宫及胎儿、胎动、胎心搏动等。</w:t>
          </w:r>
        </w:p>
        <w:p w14:paraId="74D38C17">
          <w:pPr>
            <w:pStyle w:val="234"/>
            <w:numPr>
              <w:ilvl w:val="0"/>
              <w:numId w:val="0"/>
            </w:numPr>
            <w:spacing w:before="312" w:after="312"/>
            <w:rPr>
              <w:rFonts w:hAnsi="黑体" w:cs="黑体"/>
            </w:rPr>
          </w:pPr>
          <w:r>
            <w:rPr>
              <w:rFonts w:hint="eastAsia" w:hAnsi="黑体" w:cs="黑体"/>
            </w:rPr>
            <w:t>9 记录</w:t>
          </w:r>
        </w:p>
        <w:p w14:paraId="258EC038">
          <w:pPr>
            <w:pStyle w:val="234"/>
            <w:keepNext w:val="0"/>
            <w:keepLines w:val="0"/>
            <w:pageBreakBefore w:val="0"/>
            <w:widowControl/>
            <w:numPr>
              <w:ilvl w:val="0"/>
              <w:numId w:val="0"/>
            </w:numPr>
            <w:kinsoku/>
            <w:wordWrap/>
            <w:overflowPunct/>
            <w:topLinePunct w:val="0"/>
            <w:autoSpaceDE/>
            <w:autoSpaceDN/>
            <w:bidi w:val="0"/>
            <w:adjustRightInd/>
            <w:snapToGrid/>
            <w:spacing w:beforeLines="0" w:afterLines="0" w:line="360" w:lineRule="auto"/>
            <w:ind w:firstLine="420" w:firstLineChars="200"/>
            <w:textAlignment w:val="auto"/>
            <w:rPr>
              <w:rFonts w:ascii="宋体" w:hAnsi="宋体" w:eastAsia="宋体"/>
              <w:kern w:val="2"/>
            </w:rPr>
          </w:pPr>
          <w:r>
            <w:rPr>
              <w:rFonts w:hint="eastAsia" w:ascii="宋体" w:hAnsi="宋体" w:eastAsia="宋体"/>
              <w:kern w:val="2"/>
            </w:rPr>
            <w:t>包括母牛号、母牛发情时间、发情观察鉴定、发情后期流血时间、输精时间、公牛号及冷冻精液信息、输精操作人员。</w:t>
          </w:r>
          <w:r>
            <w:rPr>
              <w:rFonts w:hint="eastAsia" w:ascii="宋体" w:hAnsi="宋体" w:eastAsia="宋体"/>
              <w:kern w:val="2"/>
              <w:lang w:val="en-US" w:eastAsia="zh-CN"/>
            </w:rPr>
            <w:t xml:space="preserve">                                                                      </w:t>
          </w:r>
        </w:p>
      </w:sdtContent>
    </w:sdt>
    <w:bookmarkEnd w:id="21"/>
    <w:bookmarkEnd w:id="26"/>
    <w:sectPr>
      <w:headerReference r:id="rId11" w:type="default"/>
      <w:footerReference r:id="rId12" w:type="default"/>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等线">
    <w:altName w:val="微软雅黑"/>
    <w:panose1 w:val="00000000000000000000"/>
    <w:charset w:val="86"/>
    <w:family w:val="roman"/>
    <w:pitch w:val="default"/>
    <w:sig w:usb0="00000000" w:usb1="00000000" w:usb2="00000016" w:usb3="00000000" w:csb0="0004000F" w:csb1="00000000"/>
  </w:font>
  <w:font w:name="等线 Light">
    <w:altName w:val="宋体"/>
    <w:panose1 w:val="00000000000000000000"/>
    <w:charset w:val="86"/>
    <w:family w:val="roman"/>
    <w:pitch w:val="default"/>
    <w:sig w:usb0="00000000" w:usb1="00000000" w:usb2="00000016" w:usb3="00000000" w:csb0="0004000F" w:csb1="00000000"/>
  </w:font>
  <w:font w:name="Verdana">
    <w:panose1 w:val="020B0604030504040204"/>
    <w:charset w:val="00"/>
    <w:family w:val="swiss"/>
    <w:pitch w:val="default"/>
    <w:sig w:usb0="A10006FF" w:usb1="4000205B" w:usb2="0000001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5867A8">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6E2460">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C9AA5F">
    <w:pPr>
      <w:pStyle w:val="52"/>
    </w:pPr>
    <w:r>
      <w:fldChar w:fldCharType="begin"/>
    </w:r>
    <w:r>
      <w:instrText xml:space="preserve">PAGE   \* MERGEFORMAT</w:instrText>
    </w:r>
    <w:r>
      <w:fldChar w:fldCharType="separate"/>
    </w:r>
    <w:r>
      <w:rPr>
        <w:lang w:val="zh-CN"/>
      </w:rPr>
      <w:t>2</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0BCD45">
    <w:pPr>
      <w:pStyle w:val="52"/>
    </w:pPr>
    <w:r>
      <w:fldChar w:fldCharType="begin"/>
    </w:r>
    <w:r>
      <w:instrText xml:space="preserve">PAGE   \* MERGEFORMAT</w:instrText>
    </w:r>
    <w:r>
      <w:fldChar w:fldCharType="separate"/>
    </w:r>
    <w:r>
      <w:rPr>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784443">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5868AE">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6D2C66">
    <w:pPr>
      <w:pStyle w:val="61"/>
    </w:pPr>
    <w:r>
      <w:fldChar w:fldCharType="begin"/>
    </w:r>
    <w:r>
      <w:instrText xml:space="preserve"> STYLEREF  标准文件_文件编号  \* MERGEFORMAT </w:instrText>
    </w:r>
    <w:r>
      <w:fldChar w:fldCharType="separate"/>
    </w:r>
    <w:r>
      <w:t>DB1504/T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CE906A">
    <w:pPr>
      <w:pStyle w:val="61"/>
    </w:pPr>
    <w:r>
      <w:fldChar w:fldCharType="begin"/>
    </w:r>
    <w:r>
      <w:instrText xml:space="preserve"> STYLEREF  标准文件_文件编号  \* MERGEFORMAT </w:instrText>
    </w:r>
    <w:r>
      <w:fldChar w:fldCharType="separate"/>
    </w:r>
    <w:r>
      <w:t>DB1504/T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1FC91163"/>
    <w:multiLevelType w:val="multilevel"/>
    <w:tmpl w:val="1FC91163"/>
    <w:lvl w:ilvl="0" w:tentative="0">
      <w:start w:val="1"/>
      <w:numFmt w:val="decimal"/>
      <w:pStyle w:val="234"/>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6"/>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2"/>
      <w:suff w:val="nothing"/>
      <w:lvlText w:val="表%1　"/>
      <w:lvlJc w:val="left"/>
      <w:pPr>
        <w:ind w:left="397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attachedTemplate r:id="rId1"/>
  <w:documentProtection w:edit="forms" w:enforcement="1"/>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TJjMGM1ZmMwYTViNGNkYTY0MzVkNTU4OTZiMTBmMWYifQ=="/>
  </w:docVars>
  <w:rsids>
    <w:rsidRoot w:val="00E92D57"/>
    <w:rsid w:val="0000040A"/>
    <w:rsid w:val="00000A94"/>
    <w:rsid w:val="00001972"/>
    <w:rsid w:val="00001D9A"/>
    <w:rsid w:val="00006E79"/>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29C"/>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5716"/>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588"/>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25E0"/>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1D9"/>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1C7E"/>
    <w:rsid w:val="00445574"/>
    <w:rsid w:val="004467FB"/>
    <w:rsid w:val="00452D6B"/>
    <w:rsid w:val="00454484"/>
    <w:rsid w:val="0045517B"/>
    <w:rsid w:val="00463B77"/>
    <w:rsid w:val="00463C7B"/>
    <w:rsid w:val="004644A6"/>
    <w:rsid w:val="004659BD"/>
    <w:rsid w:val="00467D00"/>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0D21"/>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314A"/>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97E89"/>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6F6DF6"/>
    <w:rsid w:val="007002C5"/>
    <w:rsid w:val="00703D48"/>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00C6"/>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46C11"/>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2752"/>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5FCF"/>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111"/>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47441"/>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8A7"/>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655"/>
    <w:rsid w:val="00B939B1"/>
    <w:rsid w:val="00B96D40"/>
    <w:rsid w:val="00B97386"/>
    <w:rsid w:val="00BA263B"/>
    <w:rsid w:val="00BA42B2"/>
    <w:rsid w:val="00BA58D4"/>
    <w:rsid w:val="00BA5B9E"/>
    <w:rsid w:val="00BA7C9A"/>
    <w:rsid w:val="00BB203B"/>
    <w:rsid w:val="00BB34B1"/>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1F6"/>
    <w:rsid w:val="00C279B2"/>
    <w:rsid w:val="00C33E50"/>
    <w:rsid w:val="00C34C20"/>
    <w:rsid w:val="00C35A3E"/>
    <w:rsid w:val="00C36322"/>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4E73"/>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0E2A"/>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3DFE"/>
    <w:rsid w:val="00E846C8"/>
    <w:rsid w:val="00E84957"/>
    <w:rsid w:val="00E84A55"/>
    <w:rsid w:val="00E85BFF"/>
    <w:rsid w:val="00E90391"/>
    <w:rsid w:val="00E906C2"/>
    <w:rsid w:val="00E92D57"/>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62F6"/>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5DD0"/>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2343830"/>
    <w:rsid w:val="025D6B3C"/>
    <w:rsid w:val="02D2752A"/>
    <w:rsid w:val="05035C62"/>
    <w:rsid w:val="066868C0"/>
    <w:rsid w:val="07B471FE"/>
    <w:rsid w:val="0BFD1FAB"/>
    <w:rsid w:val="0CFA4CFF"/>
    <w:rsid w:val="0FA555F8"/>
    <w:rsid w:val="13136DB9"/>
    <w:rsid w:val="15E57F55"/>
    <w:rsid w:val="18407521"/>
    <w:rsid w:val="196229FF"/>
    <w:rsid w:val="1B111B4F"/>
    <w:rsid w:val="1B7F0DE3"/>
    <w:rsid w:val="1DA86AD8"/>
    <w:rsid w:val="1EB04003"/>
    <w:rsid w:val="217C30B5"/>
    <w:rsid w:val="26E65F3B"/>
    <w:rsid w:val="27C15443"/>
    <w:rsid w:val="2A2A4A73"/>
    <w:rsid w:val="2A6B74CB"/>
    <w:rsid w:val="35BF731B"/>
    <w:rsid w:val="39411873"/>
    <w:rsid w:val="3C330C58"/>
    <w:rsid w:val="3EE04627"/>
    <w:rsid w:val="453F2418"/>
    <w:rsid w:val="519A1FFA"/>
    <w:rsid w:val="51A74CAA"/>
    <w:rsid w:val="52774A9E"/>
    <w:rsid w:val="54392B42"/>
    <w:rsid w:val="565E452F"/>
    <w:rsid w:val="57193F55"/>
    <w:rsid w:val="58D25A1D"/>
    <w:rsid w:val="5D0C7301"/>
    <w:rsid w:val="60A97C4B"/>
    <w:rsid w:val="60B64FC9"/>
    <w:rsid w:val="637E187A"/>
    <w:rsid w:val="65205DE7"/>
    <w:rsid w:val="672E733A"/>
    <w:rsid w:val="6ABA028C"/>
    <w:rsid w:val="6D1C2BBC"/>
    <w:rsid w:val="6D7D5F04"/>
    <w:rsid w:val="75DA10EF"/>
    <w:rsid w:val="76127EB1"/>
    <w:rsid w:val="76A01B45"/>
    <w:rsid w:val="7A747DC6"/>
    <w:rsid w:val="7E9D7114"/>
    <w:rsid w:val="7F1255AA"/>
    <w:rsid w:val="7FB4591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Char"/>
    <w:link w:val="2"/>
    <w:qFormat/>
    <w:uiPriority w:val="0"/>
    <w:rPr>
      <w:b/>
      <w:bCs/>
      <w:kern w:val="44"/>
      <w:sz w:val="44"/>
      <w:szCs w:val="44"/>
    </w:rPr>
  </w:style>
  <w:style w:type="character" w:customStyle="1" w:styleId="35">
    <w:name w:val="标题 2 Char"/>
    <w:link w:val="3"/>
    <w:qFormat/>
    <w:uiPriority w:val="0"/>
    <w:rPr>
      <w:rFonts w:ascii="Arial" w:hAnsi="Arial" w:eastAsia="黑体"/>
      <w:b/>
      <w:bCs/>
      <w:kern w:val="2"/>
      <w:sz w:val="32"/>
      <w:szCs w:val="32"/>
    </w:rPr>
  </w:style>
  <w:style w:type="character" w:customStyle="1" w:styleId="36">
    <w:name w:val="标题 3 Char"/>
    <w:link w:val="4"/>
    <w:qFormat/>
    <w:uiPriority w:val="0"/>
    <w:rPr>
      <w:b/>
      <w:bCs/>
      <w:kern w:val="2"/>
      <w:sz w:val="32"/>
      <w:szCs w:val="32"/>
    </w:rPr>
  </w:style>
  <w:style w:type="character" w:customStyle="1" w:styleId="37">
    <w:name w:val="标题 4 Char"/>
    <w:link w:val="5"/>
    <w:qFormat/>
    <w:uiPriority w:val="0"/>
    <w:rPr>
      <w:rFonts w:ascii="Arial" w:hAnsi="Arial" w:eastAsia="黑体"/>
      <w:b/>
      <w:bCs/>
      <w:kern w:val="2"/>
      <w:sz w:val="28"/>
      <w:szCs w:val="28"/>
    </w:rPr>
  </w:style>
  <w:style w:type="character" w:customStyle="1" w:styleId="38">
    <w:name w:val="标题 5 Char"/>
    <w:link w:val="6"/>
    <w:qFormat/>
    <w:uiPriority w:val="0"/>
    <w:rPr>
      <w:b/>
      <w:bCs/>
      <w:kern w:val="2"/>
      <w:sz w:val="28"/>
      <w:szCs w:val="28"/>
    </w:rPr>
  </w:style>
  <w:style w:type="character" w:customStyle="1" w:styleId="39">
    <w:name w:val="标题 6 Char"/>
    <w:link w:val="7"/>
    <w:qFormat/>
    <w:uiPriority w:val="0"/>
    <w:rPr>
      <w:rFonts w:ascii="Arial" w:hAnsi="Arial" w:eastAsia="黑体"/>
      <w:b/>
      <w:bCs/>
      <w:kern w:val="2"/>
      <w:sz w:val="24"/>
      <w:szCs w:val="24"/>
    </w:rPr>
  </w:style>
  <w:style w:type="character" w:customStyle="1" w:styleId="40">
    <w:name w:val="标题 7 Char"/>
    <w:link w:val="8"/>
    <w:qFormat/>
    <w:uiPriority w:val="0"/>
    <w:rPr>
      <w:b/>
      <w:bCs/>
      <w:kern w:val="2"/>
      <w:sz w:val="24"/>
      <w:szCs w:val="24"/>
    </w:rPr>
  </w:style>
  <w:style w:type="character" w:customStyle="1" w:styleId="41">
    <w:name w:val="标题 8 Char"/>
    <w:link w:val="9"/>
    <w:qFormat/>
    <w:uiPriority w:val="0"/>
    <w:rPr>
      <w:rFonts w:ascii="Arial" w:hAnsi="Arial" w:eastAsia="黑体"/>
      <w:kern w:val="2"/>
      <w:sz w:val="24"/>
      <w:szCs w:val="24"/>
    </w:rPr>
  </w:style>
  <w:style w:type="character" w:customStyle="1" w:styleId="42">
    <w:name w:val="标题 9 Char"/>
    <w:link w:val="10"/>
    <w:autoRedefine/>
    <w:qFormat/>
    <w:uiPriority w:val="0"/>
    <w:rPr>
      <w:rFonts w:ascii="Arial" w:hAnsi="Arial" w:eastAsia="黑体"/>
      <w:kern w:val="2"/>
      <w:sz w:val="21"/>
      <w:szCs w:val="21"/>
    </w:rPr>
  </w:style>
  <w:style w:type="character" w:customStyle="1" w:styleId="43">
    <w:name w:val="页眉 Char"/>
    <w:link w:val="18"/>
    <w:autoRedefine/>
    <w:qFormat/>
    <w:uiPriority w:val="99"/>
    <w:rPr>
      <w:kern w:val="2"/>
      <w:sz w:val="18"/>
      <w:szCs w:val="18"/>
    </w:rPr>
  </w:style>
  <w:style w:type="character" w:customStyle="1" w:styleId="44">
    <w:name w:val="页脚 Char"/>
    <w:link w:val="17"/>
    <w:autoRedefine/>
    <w:qFormat/>
    <w:uiPriority w:val="99"/>
    <w:rPr>
      <w:rFonts w:ascii="宋体"/>
      <w:kern w:val="2"/>
      <w:sz w:val="18"/>
      <w:szCs w:val="18"/>
    </w:rPr>
  </w:style>
  <w:style w:type="character" w:customStyle="1" w:styleId="45">
    <w:name w:val="批注框文本 Char"/>
    <w:link w:val="16"/>
    <w:autoRedefine/>
    <w:semiHidden/>
    <w:qFormat/>
    <w:uiPriority w:val="99"/>
    <w:rPr>
      <w:kern w:val="2"/>
      <w:sz w:val="18"/>
      <w:szCs w:val="18"/>
    </w:rPr>
  </w:style>
  <w:style w:type="paragraph" w:styleId="46">
    <w:name w:val="Quote"/>
    <w:basedOn w:val="1"/>
    <w:next w:val="1"/>
    <w:link w:val="47"/>
    <w:autoRedefine/>
    <w:qFormat/>
    <w:uiPriority w:val="29"/>
    <w:rPr>
      <w:i/>
      <w:iCs/>
      <w:color w:val="000000"/>
    </w:rPr>
  </w:style>
  <w:style w:type="character" w:customStyle="1" w:styleId="47">
    <w:name w:val="引用 Char"/>
    <w:link w:val="46"/>
    <w:autoRedefine/>
    <w:qFormat/>
    <w:uiPriority w:val="29"/>
    <w:rPr>
      <w:i/>
      <w:iCs/>
      <w:color w:val="000000"/>
      <w:kern w:val="2"/>
      <w:sz w:val="21"/>
      <w:szCs w:val="21"/>
    </w:rPr>
  </w:style>
  <w:style w:type="character" w:customStyle="1" w:styleId="48">
    <w:name w:val="标题 Char"/>
    <w:link w:val="25"/>
    <w:autoRedefine/>
    <w:qFormat/>
    <w:uiPriority w:val="0"/>
    <w:rPr>
      <w:rFonts w:ascii="Arial" w:hAnsi="Arial" w:cs="Arial"/>
      <w:b/>
      <w:bCs/>
      <w:kern w:val="2"/>
      <w:sz w:val="32"/>
      <w:szCs w:val="32"/>
    </w:rPr>
  </w:style>
  <w:style w:type="paragraph" w:customStyle="1" w:styleId="49">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autoRedefine/>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autoRedefine/>
    <w:qFormat/>
    <w:uiPriority w:val="0"/>
    <w:pPr>
      <w:spacing w:line="0" w:lineRule="atLeast"/>
    </w:pPr>
    <w:rPr>
      <w:rFonts w:ascii="黑体" w:hAnsi="宋体" w:eastAsia="黑体"/>
    </w:rPr>
  </w:style>
  <w:style w:type="paragraph" w:customStyle="1" w:styleId="55">
    <w:name w:val="标准文件_标准正文"/>
    <w:basedOn w:val="1"/>
    <w:next w:val="56"/>
    <w:autoRedefine/>
    <w:qFormat/>
    <w:uiPriority w:val="0"/>
    <w:pPr>
      <w:snapToGrid w:val="0"/>
      <w:ind w:firstLine="200" w:firstLineChars="200"/>
    </w:pPr>
    <w:rPr>
      <w:kern w:val="0"/>
    </w:rPr>
  </w:style>
  <w:style w:type="paragraph" w:customStyle="1" w:styleId="56">
    <w:name w:val="标准文件_段"/>
    <w:link w:val="184"/>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autoRedefine/>
    <w:qFormat/>
    <w:uiPriority w:val="0"/>
    <w:pPr>
      <w:adjustRightInd/>
      <w:snapToGrid/>
      <w:ind w:firstLine="0" w:firstLineChars="0"/>
    </w:pPr>
    <w:rPr>
      <w:rFonts w:ascii="宋体" w:hAnsi="宋体"/>
      <w:kern w:val="2"/>
    </w:rPr>
  </w:style>
  <w:style w:type="paragraph" w:customStyle="1" w:styleId="58">
    <w:name w:val="标准文件_标准部门"/>
    <w:basedOn w:val="1"/>
    <w:autoRedefine/>
    <w:qFormat/>
    <w:uiPriority w:val="0"/>
    <w:pPr>
      <w:jc w:val="center"/>
    </w:pPr>
    <w:rPr>
      <w:rFonts w:ascii="黑体" w:eastAsia="黑体"/>
      <w:kern w:val="0"/>
      <w:sz w:val="44"/>
    </w:rPr>
  </w:style>
  <w:style w:type="paragraph" w:customStyle="1" w:styleId="59">
    <w:name w:val="标准文件_标准代替"/>
    <w:basedOn w:val="1"/>
    <w:next w:val="1"/>
    <w:autoRedefine/>
    <w:qFormat/>
    <w:uiPriority w:val="0"/>
    <w:pPr>
      <w:spacing w:line="310" w:lineRule="exact"/>
      <w:jc w:val="right"/>
    </w:pPr>
    <w:rPr>
      <w:rFonts w:ascii="宋体" w:hAnsi="宋体"/>
      <w:kern w:val="0"/>
    </w:rPr>
  </w:style>
  <w:style w:type="paragraph" w:customStyle="1" w:styleId="60">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autoRedefine/>
    <w:qFormat/>
    <w:uiPriority w:val="0"/>
    <w:pPr>
      <w:jc w:val="left"/>
    </w:pPr>
  </w:style>
  <w:style w:type="paragraph" w:customStyle="1" w:styleId="63">
    <w:name w:val="标准文件_参考文献标题"/>
    <w:basedOn w:val="1"/>
    <w:next w:val="1"/>
    <w:autoRedefine/>
    <w:qFormat/>
    <w:uiPriority w:val="0"/>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64">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autoRedefine/>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6">
    <w:name w:val="标准文件_发布"/>
    <w:autoRedefine/>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autoRedefine/>
    <w:qFormat/>
    <w:uiPriority w:val="0"/>
    <w:pPr>
      <w:spacing w:line="310" w:lineRule="exact"/>
      <w:jc w:val="right"/>
    </w:pPr>
    <w:rPr>
      <w:rFonts w:ascii="黑体" w:eastAsia="黑体"/>
      <w:kern w:val="0"/>
      <w:sz w:val="28"/>
    </w:rPr>
  </w:style>
  <w:style w:type="paragraph" w:customStyle="1" w:styleId="69">
    <w:name w:val="标准文件_封面标准分类号"/>
    <w:basedOn w:val="1"/>
    <w:autoRedefine/>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autoRedefine/>
    <w:qFormat/>
    <w:uiPriority w:val="0"/>
    <w:pPr>
      <w:spacing w:line="240" w:lineRule="auto"/>
      <w:jc w:val="center"/>
    </w:pPr>
    <w:rPr>
      <w:rFonts w:ascii="黑体" w:eastAsia="黑体"/>
      <w:b/>
      <w:sz w:val="28"/>
    </w:rPr>
  </w:style>
  <w:style w:type="paragraph" w:customStyle="1" w:styleId="72">
    <w:name w:val="标准文件_封面发布日期"/>
    <w:basedOn w:val="1"/>
    <w:autoRedefine/>
    <w:qFormat/>
    <w:uiPriority w:val="0"/>
    <w:pPr>
      <w:spacing w:line="310" w:lineRule="exact"/>
    </w:pPr>
    <w:rPr>
      <w:rFonts w:ascii="黑体" w:eastAsia="黑体"/>
      <w:kern w:val="0"/>
      <w:sz w:val="28"/>
    </w:rPr>
  </w:style>
  <w:style w:type="paragraph" w:customStyle="1" w:styleId="73">
    <w:name w:val="标准文件_封面密级"/>
    <w:basedOn w:val="1"/>
    <w:autoRedefine/>
    <w:qFormat/>
    <w:uiPriority w:val="0"/>
    <w:rPr>
      <w:rFonts w:eastAsia="黑体"/>
      <w:sz w:val="32"/>
    </w:rPr>
  </w:style>
  <w:style w:type="paragraph" w:customStyle="1" w:styleId="74">
    <w:name w:val="标准文件_封面实施日期"/>
    <w:basedOn w:val="1"/>
    <w:autoRedefine/>
    <w:qFormat/>
    <w:uiPriority w:val="0"/>
    <w:pPr>
      <w:spacing w:line="310" w:lineRule="exact"/>
      <w:jc w:val="right"/>
    </w:pPr>
    <w:rPr>
      <w:rFonts w:ascii="黑体" w:eastAsia="黑体"/>
      <w:sz w:val="28"/>
    </w:rPr>
  </w:style>
  <w:style w:type="paragraph" w:customStyle="1" w:styleId="75">
    <w:name w:val="标准文件_封面抬头"/>
    <w:basedOn w:val="56"/>
    <w:autoRedefine/>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autoRedefine/>
    <w:qFormat/>
    <w:uiPriority w:val="0"/>
    <w:pPr>
      <w:numPr>
        <w:ilvl w:val="0"/>
        <w:numId w:val="4"/>
      </w:numPr>
      <w:shd w:val="clear" w:color="FFFFFF" w:fill="FFFFFF"/>
      <w:tabs>
        <w:tab w:val="left" w:pos="6406"/>
      </w:tabs>
      <w:spacing w:before="56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autoRedefine/>
    <w:qFormat/>
    <w:uiPriority w:val="0"/>
    <w:pPr>
      <w:numPr>
        <w:ilvl w:val="1"/>
        <w:numId w:val="5"/>
      </w:numPr>
      <w:adjustRightInd w:val="0"/>
      <w:snapToGrid w:val="0"/>
      <w:spacing w:beforeLines="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autoRedefine/>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autoRedefine/>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autoRedefine/>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autoRedefine/>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autoRedefine/>
    <w:qFormat/>
    <w:uiPriority w:val="0"/>
    <w:pPr>
      <w:numPr>
        <w:ilvl w:val="1"/>
        <w:numId w:val="6"/>
      </w:numPr>
      <w:adjustRightInd w:val="0"/>
      <w:snapToGrid w:val="0"/>
      <w:spacing w:beforeLines="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autoRedefine/>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autoRedefine/>
    <w:qFormat/>
    <w:uiPriority w:val="0"/>
    <w:rPr>
      <w:kern w:val="2"/>
      <w:sz w:val="21"/>
      <w:szCs w:val="21"/>
    </w:rPr>
  </w:style>
  <w:style w:type="paragraph" w:customStyle="1" w:styleId="87">
    <w:name w:val="标准文件_附录章标题"/>
    <w:next w:val="56"/>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autoRedefine/>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autoRedefine/>
    <w:qFormat/>
    <w:uiPriority w:val="0"/>
    <w:pPr>
      <w:spacing w:line="460" w:lineRule="exact"/>
      <w:ind w:left="0" w:firstLine="0"/>
    </w:pPr>
  </w:style>
  <w:style w:type="paragraph" w:customStyle="1" w:styleId="91">
    <w:name w:val="标准文件_目录标题"/>
    <w:basedOn w:val="1"/>
    <w:qFormat/>
    <w:uiPriority w:val="0"/>
    <w:pPr>
      <w:spacing w:before="480" w:afterLines="150" w:line="240" w:lineRule="auto"/>
      <w:jc w:val="center"/>
    </w:pPr>
    <w:rPr>
      <w:rFonts w:ascii="黑体" w:eastAsia="黑体"/>
      <w:sz w:val="32"/>
    </w:rPr>
  </w:style>
  <w:style w:type="paragraph" w:customStyle="1" w:styleId="92">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autoRedefine/>
    <w:qFormat/>
    <w:uiPriority w:val="0"/>
    <w:pPr>
      <w:widowControl/>
      <w:numPr>
        <w:ilvl w:val="4"/>
      </w:numPr>
      <w:outlineLvl w:val="3"/>
    </w:pPr>
  </w:style>
  <w:style w:type="character" w:customStyle="1" w:styleId="95">
    <w:name w:val="不明显参考1"/>
    <w:autoRedefin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autoRedefine/>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autoRedefine/>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autoRedefine/>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autoRedefine/>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autoRedefine/>
    <w:qFormat/>
    <w:uiPriority w:val="0"/>
    <w:pPr>
      <w:numPr>
        <w:ilvl w:val="2"/>
      </w:numPr>
      <w:spacing w:beforeLines="50" w:afterLines="50"/>
      <w:outlineLvl w:val="1"/>
    </w:pPr>
  </w:style>
  <w:style w:type="paragraph" w:customStyle="1" w:styleId="106">
    <w:name w:val="标准文件_一致程度"/>
    <w:basedOn w:val="1"/>
    <w:autoRedefine/>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autoRedefine/>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autoRedefine/>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autoRedefine/>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autoRedefine/>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autoRedefine/>
    <w:qFormat/>
    <w:uiPriority w:val="0"/>
    <w:pPr>
      <w:outlineLvl w:val="5"/>
    </w:pPr>
  </w:style>
  <w:style w:type="paragraph" w:customStyle="1" w:styleId="131">
    <w:name w:val="附录图"/>
    <w:next w:val="56"/>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autoRedefine/>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autoRedefine/>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autoRedefine/>
    <w:qFormat/>
    <w:uiPriority w:val="0"/>
    <w:pPr>
      <w:tabs>
        <w:tab w:val="left" w:pos="840"/>
      </w:tabs>
    </w:pPr>
  </w:style>
  <w:style w:type="paragraph" w:customStyle="1" w:styleId="141">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54">
    <w:name w:val="实施日期"/>
    <w:basedOn w:val="120"/>
    <w:autoRedefine/>
    <w:qFormat/>
    <w:uiPriority w:val="0"/>
    <w:pPr>
      <w:framePr w:hSpace="0" w:wrap="around" w:xAlign="right"/>
      <w:jc w:val="right"/>
    </w:pPr>
  </w:style>
  <w:style w:type="paragraph" w:customStyle="1" w:styleId="155">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Lines="0" w:afterLines="0"/>
      <w:outlineLvl w:val="9"/>
    </w:pPr>
    <w:rPr>
      <w:rFonts w:ascii="宋体" w:eastAsia="宋体"/>
    </w:rPr>
  </w:style>
  <w:style w:type="paragraph" w:customStyle="1" w:styleId="163">
    <w:name w:val="标准文件_五级无标题"/>
    <w:basedOn w:val="103"/>
    <w:qFormat/>
    <w:uiPriority w:val="0"/>
    <w:pPr>
      <w:spacing w:beforeLines="0" w:afterLines="0"/>
      <w:outlineLvl w:val="9"/>
    </w:pPr>
    <w:rPr>
      <w:rFonts w:ascii="宋体" w:eastAsia="宋体"/>
    </w:rPr>
  </w:style>
  <w:style w:type="paragraph" w:customStyle="1" w:styleId="164">
    <w:name w:val="标准文件_三级无标题"/>
    <w:basedOn w:val="94"/>
    <w:qFormat/>
    <w:uiPriority w:val="0"/>
    <w:pPr>
      <w:spacing w:beforeLines="0" w:afterLines="0"/>
      <w:outlineLvl w:val="9"/>
    </w:pPr>
    <w:rPr>
      <w:rFonts w:ascii="宋体" w:eastAsia="宋体"/>
    </w:rPr>
  </w:style>
  <w:style w:type="paragraph" w:customStyle="1" w:styleId="165">
    <w:name w:val="标准文件_二级无标题"/>
    <w:basedOn w:val="65"/>
    <w:qFormat/>
    <w:uiPriority w:val="0"/>
    <w:pPr>
      <w:spacing w:beforeLines="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Lines="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Lines="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Lines="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Lines="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Lines="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Lines="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Lines="0" w:afterLines="0" w:line="276" w:lineRule="auto"/>
      <w:outlineLvl w:val="9"/>
    </w:pPr>
    <w:rPr>
      <w:rFonts w:ascii="宋体" w:eastAsia="宋体"/>
    </w:rPr>
  </w:style>
  <w:style w:type="paragraph" w:customStyle="1" w:styleId="212">
    <w:name w:val="标准文件_附录二级无标题"/>
    <w:basedOn w:val="79"/>
    <w:qFormat/>
    <w:uiPriority w:val="0"/>
    <w:pPr>
      <w:spacing w:beforeLines="0" w:afterLines="0" w:line="276" w:lineRule="auto"/>
      <w:outlineLvl w:val="9"/>
    </w:pPr>
    <w:rPr>
      <w:rFonts w:ascii="宋体" w:eastAsia="宋体"/>
    </w:rPr>
  </w:style>
  <w:style w:type="paragraph" w:customStyle="1" w:styleId="213">
    <w:name w:val="标准文件_附录三级无标题"/>
    <w:basedOn w:val="81"/>
    <w:qFormat/>
    <w:uiPriority w:val="0"/>
    <w:pPr>
      <w:spacing w:beforeLines="0" w:afterLines="0" w:line="276" w:lineRule="auto"/>
      <w:outlineLvl w:val="9"/>
    </w:pPr>
    <w:rPr>
      <w:rFonts w:ascii="宋体" w:eastAsia="宋体"/>
    </w:rPr>
  </w:style>
  <w:style w:type="paragraph" w:customStyle="1" w:styleId="214">
    <w:name w:val="标准文件_附录四级无标题"/>
    <w:basedOn w:val="82"/>
    <w:qFormat/>
    <w:uiPriority w:val="0"/>
    <w:pPr>
      <w:spacing w:beforeLines="0" w:afterLines="0" w:line="276" w:lineRule="auto"/>
      <w:outlineLvl w:val="9"/>
    </w:pPr>
    <w:rPr>
      <w:rFonts w:ascii="宋体" w:eastAsia="宋体"/>
    </w:rPr>
  </w:style>
  <w:style w:type="paragraph" w:customStyle="1" w:styleId="215">
    <w:name w:val="标准文件_附录五级无标题"/>
    <w:basedOn w:val="84"/>
    <w:qFormat/>
    <w:uiPriority w:val="0"/>
    <w:pPr>
      <w:spacing w:beforeLines="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Lines="0" w:afterLines="0" w:line="276" w:lineRule="auto"/>
    </w:pPr>
    <w:rPr>
      <w:rFonts w:ascii="宋体" w:eastAsia="宋体"/>
    </w:rPr>
  </w:style>
  <w:style w:type="paragraph" w:customStyle="1" w:styleId="217">
    <w:name w:val="标准文件_引言二级无标题"/>
    <w:basedOn w:val="201"/>
    <w:next w:val="56"/>
    <w:qFormat/>
    <w:uiPriority w:val="0"/>
    <w:pPr>
      <w:spacing w:beforeLines="0" w:afterLines="0" w:line="276" w:lineRule="auto"/>
    </w:pPr>
    <w:rPr>
      <w:rFonts w:ascii="宋体" w:eastAsia="宋体"/>
    </w:rPr>
  </w:style>
  <w:style w:type="paragraph" w:customStyle="1" w:styleId="218">
    <w:name w:val="标准文件_引言三级无标题"/>
    <w:basedOn w:val="202"/>
    <w:qFormat/>
    <w:uiPriority w:val="0"/>
    <w:pPr>
      <w:spacing w:beforeLines="0" w:afterLines="0" w:line="276" w:lineRule="auto"/>
    </w:pPr>
    <w:rPr>
      <w:rFonts w:ascii="宋体" w:eastAsia="宋体"/>
    </w:rPr>
  </w:style>
  <w:style w:type="paragraph" w:customStyle="1" w:styleId="219">
    <w:name w:val="标准文件_引言四级无标题"/>
    <w:basedOn w:val="203"/>
    <w:next w:val="56"/>
    <w:qFormat/>
    <w:uiPriority w:val="0"/>
    <w:pPr>
      <w:spacing w:beforeLines="0" w:afterLines="0" w:line="276" w:lineRule="auto"/>
    </w:pPr>
    <w:rPr>
      <w:rFonts w:ascii="宋体" w:eastAsia="宋体"/>
    </w:rPr>
  </w:style>
  <w:style w:type="paragraph" w:customStyle="1" w:styleId="220">
    <w:name w:val="标准文件_引言五级无标题"/>
    <w:basedOn w:val="204"/>
    <w:next w:val="56"/>
    <w:qFormat/>
    <w:uiPriority w:val="0"/>
    <w:pPr>
      <w:spacing w:beforeLines="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正文表标题"/>
    <w:next w:val="1"/>
    <w:qFormat/>
    <w:uiPriority w:val="0"/>
    <w:p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231">
    <w:name w:val="Char1"/>
    <w:basedOn w:val="1"/>
    <w:autoRedefine/>
    <w:qFormat/>
    <w:uiPriority w:val="0"/>
    <w:pPr>
      <w:widowControl/>
      <w:adjustRightInd/>
      <w:spacing w:after="160" w:line="240" w:lineRule="exact"/>
      <w:jc w:val="left"/>
    </w:pPr>
    <w:rPr>
      <w:rFonts w:ascii="Verdana" w:hAnsi="Verdana" w:eastAsia="仿宋_GB2312"/>
      <w:kern w:val="0"/>
      <w:sz w:val="24"/>
      <w:szCs w:val="20"/>
      <w:lang w:eastAsia="en-US"/>
    </w:rPr>
  </w:style>
  <w:style w:type="paragraph" w:customStyle="1" w:styleId="232">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233">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234">
    <w:name w:val="章标题"/>
    <w:next w:val="235"/>
    <w:qFormat/>
    <w:uiPriority w:val="0"/>
    <w:pPr>
      <w:numPr>
        <w:ilvl w:val="0"/>
        <w:numId w:val="32"/>
      </w:numPr>
      <w:spacing w:beforeLines="100" w:afterLines="100"/>
      <w:jc w:val="both"/>
      <w:outlineLvl w:val="1"/>
    </w:pPr>
    <w:rPr>
      <w:rFonts w:ascii="黑体" w:hAnsi="Times New Roman" w:eastAsia="黑体" w:cs="Times New Roman"/>
      <w:sz w:val="21"/>
      <w:lang w:val="en-US" w:eastAsia="zh-CN" w:bidi="ar-SA"/>
    </w:rPr>
  </w:style>
  <w:style w:type="paragraph" w:customStyle="1" w:styleId="235">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6">
    <w:name w:val="一级条标题"/>
    <w:next w:val="235"/>
    <w:qFormat/>
    <w:uiPriority w:val="0"/>
    <w:pPr>
      <w:numPr>
        <w:ilvl w:val="1"/>
        <w:numId w:val="32"/>
      </w:numPr>
      <w:spacing w:beforeLines="50" w:afterLines="50"/>
      <w:outlineLvl w:val="2"/>
    </w:pPr>
    <w:rPr>
      <w:rFonts w:ascii="黑体" w:hAnsi="Times New Roman" w:eastAsia="黑体" w:cs="Times New Roman"/>
      <w:sz w:val="21"/>
      <w:szCs w:val="21"/>
      <w:lang w:val="en-US" w:eastAsia="zh-CN" w:bidi="ar-SA"/>
    </w:rPr>
  </w:style>
  <w:style w:type="paragraph" w:customStyle="1" w:styleId="237">
    <w:name w:val="前言、引言标题"/>
    <w:next w:val="235"/>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glossaryDocument" Target="glossary/document.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tiff"/><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7DBFB969B734393A2128F887F63D3E3"/>
        <w:style w:val=""/>
        <w:category>
          <w:name w:val="常规"/>
          <w:gallery w:val="placeholder"/>
        </w:category>
        <w:types>
          <w:type w:val="bbPlcHdr"/>
        </w:types>
        <w:behaviors>
          <w:behavior w:val="content"/>
        </w:behaviors>
        <w:description w:val=""/>
        <w:guid w:val="{C3568ADF-CF50-4E29-AAEC-F55B94CFAE79}"/>
      </w:docPartPr>
      <w:docPartBody>
        <w:p w14:paraId="44DAC9D4">
          <w:pPr>
            <w:pStyle w:val="5"/>
          </w:pPr>
          <w:r>
            <w:rPr>
              <w:rStyle w:val="4"/>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0000000000000000000"/>
    <w:charset w:val="86"/>
    <w:family w:val="roman"/>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0706B"/>
    <w:rsid w:val="000D56F1"/>
    <w:rsid w:val="000E39F5"/>
    <w:rsid w:val="00222743"/>
    <w:rsid w:val="00722E47"/>
    <w:rsid w:val="007C7077"/>
    <w:rsid w:val="008A17A9"/>
    <w:rsid w:val="009767D8"/>
    <w:rsid w:val="00EC2B5D"/>
    <w:rsid w:val="00ED5A21"/>
    <w:rsid w:val="00F0706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8"/>
      <w:lang w:val="en-US" w:eastAsia="zh-CN" w:bidi="mn-Mong-CN"/>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07DBFB969B734393A2128F887F63D3E3"/>
    <w:qFormat/>
    <w:uiPriority w:val="0"/>
    <w:pPr>
      <w:widowControl w:val="0"/>
      <w:jc w:val="both"/>
    </w:pPr>
    <w:rPr>
      <w:rFonts w:asciiTheme="minorHAnsi" w:hAnsiTheme="minorHAnsi" w:eastAsiaTheme="minorEastAsia" w:cstheme="minorBidi"/>
      <w:kern w:val="2"/>
      <w:sz w:val="21"/>
      <w:szCs w:val="28"/>
      <w:lang w:val="en-US" w:eastAsia="zh-CN" w:bidi="mn-Mong-CN"/>
    </w:rPr>
  </w:style>
  <w:style w:type="paragraph" w:customStyle="1" w:styleId="6">
    <w:name w:val="A8D35CFB9F4B4E449A244C9C0D9955C8"/>
    <w:qFormat/>
    <w:uiPriority w:val="0"/>
    <w:pPr>
      <w:widowControl w:val="0"/>
      <w:jc w:val="both"/>
    </w:pPr>
    <w:rPr>
      <w:rFonts w:asciiTheme="minorHAnsi" w:hAnsiTheme="minorHAnsi" w:eastAsiaTheme="minorEastAsia" w:cstheme="minorBidi"/>
      <w:kern w:val="2"/>
      <w:sz w:val="21"/>
      <w:szCs w:val="28"/>
      <w:lang w:val="en-US" w:eastAsia="zh-CN" w:bidi="mn-Mong-CN"/>
    </w:rPr>
  </w:style>
  <w:style w:type="paragraph" w:customStyle="1" w:styleId="7">
    <w:name w:val="E1ECE3AC81664175807446A0F246D050"/>
    <w:qFormat/>
    <w:uiPriority w:val="0"/>
    <w:pPr>
      <w:widowControl w:val="0"/>
      <w:jc w:val="both"/>
    </w:pPr>
    <w:rPr>
      <w:rFonts w:asciiTheme="minorHAnsi" w:hAnsiTheme="minorHAnsi" w:eastAsiaTheme="minorEastAsia" w:cstheme="minorBidi"/>
      <w:kern w:val="2"/>
      <w:sz w:val="21"/>
      <w:szCs w:val="28"/>
      <w:lang w:val="en-US" w:eastAsia="zh-CN" w:bidi="mn-Mong-CN"/>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D457018-D99B-42AB-8D97-37F72222C929}">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8</Pages>
  <Words>2092</Words>
  <Characters>2417</Characters>
  <Lines>20</Lines>
  <Paragraphs>5</Paragraphs>
  <TotalTime>999</TotalTime>
  <ScaleCrop>false</ScaleCrop>
  <LinksUpToDate>false</LinksUpToDate>
  <CharactersWithSpaces>2485</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2023-11-29T04:27:00Z</dcterms:created>
  <dc:creator>China</dc:creator>
  <dc:description>&lt;config cover="true" show_menu="true" version="1.0.0" doctype="SDKXY"&gt;_x000d_
&lt;/config&gt;</dc:description>
  <cp:lastModifiedBy>默默</cp:lastModifiedBy>
  <cp:lastPrinted>2020-08-30T10:00:00Z</cp:lastPrinted>
  <dcterms:modified xsi:type="dcterms:W3CDTF">2024-08-19T01:01:47Z</dcterms:modified>
  <dc:title>地方标准</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2052-12.1.0.17827</vt:lpwstr>
  </property>
  <property fmtid="{D5CDD505-2E9C-101B-9397-08002B2CF9AE}" pid="15" name="ICV">
    <vt:lpwstr>90B7486150AA4A8C91965193A5276226</vt:lpwstr>
  </property>
</Properties>
</file>