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9476">
      <w:pPr>
        <w:spacing w:line="480" w:lineRule="auto"/>
        <w:jc w:val="center"/>
        <w:rPr>
          <w:rFonts w:ascii="Times New Roman" w:hAnsi="Times New Roman" w:eastAsia="方正小标宋简体" w:cs="Times New Roman"/>
          <w:b/>
          <w:color w:val="000000"/>
          <w:kern w:val="0"/>
          <w:sz w:val="44"/>
          <w:szCs w:val="32"/>
        </w:rPr>
      </w:pPr>
    </w:p>
    <w:p w14:paraId="38C19E19">
      <w:pPr>
        <w:spacing w:line="480" w:lineRule="auto"/>
        <w:jc w:val="center"/>
        <w:rPr>
          <w:rFonts w:ascii="Times New Roman" w:hAnsi="Times New Roman" w:eastAsia="方正小标宋简体" w:cs="Times New Roman"/>
          <w:b/>
          <w:color w:val="000000"/>
          <w:kern w:val="0"/>
          <w:sz w:val="44"/>
          <w:szCs w:val="32"/>
        </w:rPr>
      </w:pPr>
    </w:p>
    <w:p w14:paraId="4DA74F92">
      <w:pPr>
        <w:spacing w:line="480" w:lineRule="auto"/>
        <w:jc w:val="center"/>
        <w:rPr>
          <w:rFonts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敖汉旗国民经济和社会发展</w:t>
      </w:r>
    </w:p>
    <w:p w14:paraId="1A9D4789">
      <w:pPr>
        <w:spacing w:line="480" w:lineRule="auto"/>
        <w:jc w:val="center"/>
        <w:rPr>
          <w:rFonts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第十三个五年规划纲要</w:t>
      </w:r>
    </w:p>
    <w:p w14:paraId="5CCEE0B2">
      <w:pPr>
        <w:spacing w:line="480" w:lineRule="auto"/>
        <w:jc w:val="center"/>
        <w:rPr>
          <w:rFonts w:ascii="Times New Roman" w:hAnsi="Times New Roman" w:eastAsia="方正小标宋简体" w:cs="Times New Roman"/>
          <w:bCs/>
          <w:color w:val="000000"/>
          <w:kern w:val="0"/>
          <w:sz w:val="32"/>
          <w:szCs w:val="32"/>
        </w:rPr>
      </w:pPr>
    </w:p>
    <w:p w14:paraId="50404E8E">
      <w:pPr>
        <w:spacing w:line="480" w:lineRule="auto"/>
        <w:jc w:val="center"/>
        <w:rPr>
          <w:rFonts w:ascii="Times New Roman" w:hAnsi="Times New Roman" w:eastAsia="方正小标宋简体" w:cs="Times New Roman"/>
          <w:b/>
          <w:color w:val="000000"/>
          <w:kern w:val="0"/>
          <w:sz w:val="44"/>
          <w:szCs w:val="32"/>
        </w:rPr>
      </w:pPr>
    </w:p>
    <w:p w14:paraId="205D01DF">
      <w:pPr>
        <w:spacing w:line="480" w:lineRule="auto"/>
        <w:jc w:val="center"/>
        <w:rPr>
          <w:rFonts w:ascii="Times New Roman" w:hAnsi="Times New Roman" w:eastAsia="方正小标宋简体" w:cs="Times New Roman"/>
          <w:b/>
          <w:color w:val="000000"/>
          <w:kern w:val="0"/>
          <w:sz w:val="44"/>
          <w:szCs w:val="32"/>
        </w:rPr>
      </w:pPr>
    </w:p>
    <w:p w14:paraId="764A31A5">
      <w:pPr>
        <w:spacing w:line="480" w:lineRule="auto"/>
        <w:jc w:val="center"/>
        <w:rPr>
          <w:rFonts w:ascii="Times New Roman" w:hAnsi="Times New Roman" w:eastAsia="方正小标宋简体" w:cs="Times New Roman"/>
          <w:b/>
          <w:color w:val="000000"/>
          <w:kern w:val="0"/>
          <w:sz w:val="44"/>
          <w:szCs w:val="32"/>
        </w:rPr>
      </w:pPr>
    </w:p>
    <w:p w14:paraId="3AFDF7F0">
      <w:pPr>
        <w:spacing w:line="480" w:lineRule="auto"/>
        <w:jc w:val="center"/>
        <w:rPr>
          <w:rFonts w:ascii="Times New Roman" w:hAnsi="Times New Roman" w:eastAsia="方正小标宋简体" w:cs="Times New Roman"/>
          <w:b/>
          <w:color w:val="000000"/>
          <w:kern w:val="0"/>
          <w:sz w:val="44"/>
          <w:szCs w:val="32"/>
        </w:rPr>
      </w:pPr>
    </w:p>
    <w:p w14:paraId="6CA7CEC6">
      <w:pPr>
        <w:spacing w:line="480" w:lineRule="auto"/>
        <w:jc w:val="center"/>
        <w:rPr>
          <w:rFonts w:ascii="Times New Roman" w:hAnsi="Times New Roman" w:eastAsia="方正小标宋简体" w:cs="Times New Roman"/>
          <w:b/>
          <w:color w:val="000000"/>
          <w:kern w:val="0"/>
          <w:sz w:val="44"/>
          <w:szCs w:val="32"/>
        </w:rPr>
      </w:pPr>
    </w:p>
    <w:p w14:paraId="60CD05BB">
      <w:pPr>
        <w:spacing w:line="480" w:lineRule="auto"/>
        <w:rPr>
          <w:rFonts w:ascii="Times New Roman" w:hAnsi="Times New Roman" w:eastAsia="方正小标宋简体" w:cs="Times New Roman"/>
          <w:b/>
          <w:color w:val="000000"/>
          <w:kern w:val="0"/>
          <w:sz w:val="44"/>
          <w:szCs w:val="32"/>
        </w:rPr>
      </w:pPr>
    </w:p>
    <w:p w14:paraId="5A27D6B8">
      <w:pPr>
        <w:spacing w:line="480" w:lineRule="auto"/>
        <w:rPr>
          <w:rFonts w:ascii="Times New Roman" w:hAnsi="Times New Roman" w:eastAsia="方正小标宋简体" w:cs="Times New Roman"/>
          <w:b/>
          <w:color w:val="000000"/>
          <w:kern w:val="0"/>
          <w:sz w:val="44"/>
          <w:szCs w:val="32"/>
        </w:rPr>
      </w:pPr>
    </w:p>
    <w:p w14:paraId="011FAEBF">
      <w:pPr>
        <w:spacing w:line="480" w:lineRule="auto"/>
        <w:rPr>
          <w:rFonts w:ascii="Times New Roman" w:hAnsi="Times New Roman" w:eastAsia="方正小标宋简体" w:cs="Times New Roman"/>
          <w:b/>
          <w:color w:val="000000"/>
          <w:kern w:val="0"/>
          <w:sz w:val="44"/>
          <w:szCs w:val="32"/>
        </w:rPr>
      </w:pPr>
    </w:p>
    <w:p w14:paraId="09D24188">
      <w:pPr>
        <w:spacing w:line="480" w:lineRule="auto"/>
        <w:rPr>
          <w:rFonts w:ascii="Times New Roman" w:hAnsi="Times New Roman" w:eastAsia="方正小标宋简体" w:cs="Times New Roman"/>
          <w:b/>
          <w:color w:val="000000"/>
          <w:kern w:val="0"/>
          <w:sz w:val="44"/>
          <w:szCs w:val="32"/>
        </w:rPr>
      </w:pPr>
    </w:p>
    <w:p w14:paraId="509799AA">
      <w:pPr>
        <w:spacing w:line="480" w:lineRule="auto"/>
        <w:jc w:val="center"/>
        <w:rPr>
          <w:rFonts w:ascii="Times New Roman" w:hAnsi="Times New Roman" w:eastAsia="楷体_GB2312" w:cs="Times New Roman"/>
          <w:bCs/>
          <w:color w:val="000000"/>
          <w:kern w:val="0"/>
          <w:sz w:val="32"/>
          <w:szCs w:val="32"/>
        </w:rPr>
      </w:pPr>
    </w:p>
    <w:p w14:paraId="72CFDD3F">
      <w:pPr>
        <w:spacing w:line="480" w:lineRule="auto"/>
        <w:jc w:val="center"/>
        <w:rPr>
          <w:rFonts w:ascii="黑体" w:hAnsi="黑体" w:eastAsia="黑体" w:cs="Times New Roman"/>
          <w:bCs/>
          <w:color w:val="000000"/>
          <w:kern w:val="0"/>
          <w:sz w:val="36"/>
          <w:szCs w:val="32"/>
        </w:rPr>
      </w:pPr>
    </w:p>
    <w:p w14:paraId="7437381B">
      <w:pPr>
        <w:spacing w:line="480" w:lineRule="auto"/>
        <w:jc w:val="center"/>
        <w:rPr>
          <w:rFonts w:ascii="Times New Roman" w:hAnsi="Times New Roman" w:eastAsia="楷体_GB2312" w:cs="Times New Roman"/>
          <w:bCs/>
          <w:color w:val="000000"/>
          <w:kern w:val="0"/>
          <w:sz w:val="32"/>
          <w:szCs w:val="32"/>
        </w:rPr>
      </w:pPr>
      <w:r>
        <w:rPr>
          <w:rFonts w:ascii="黑体" w:hAnsi="黑体" w:eastAsia="黑体" w:cs="Times New Roman"/>
          <w:bCs/>
          <w:color w:val="000000"/>
          <w:kern w:val="0"/>
          <w:sz w:val="36"/>
          <w:szCs w:val="32"/>
        </w:rPr>
        <w:t>2016</w:t>
      </w:r>
      <w:r>
        <w:rPr>
          <w:rFonts w:hint="eastAsia" w:ascii="黑体" w:hAnsi="黑体" w:eastAsia="黑体" w:cs="Times New Roman"/>
          <w:bCs/>
          <w:color w:val="000000"/>
          <w:kern w:val="0"/>
          <w:sz w:val="36"/>
          <w:szCs w:val="32"/>
        </w:rPr>
        <w:t>年</w:t>
      </w:r>
      <w:r>
        <w:rPr>
          <w:rFonts w:ascii="黑体" w:hAnsi="黑体" w:eastAsia="黑体" w:cs="Times New Roman"/>
          <w:bCs/>
          <w:color w:val="000000"/>
          <w:kern w:val="0"/>
          <w:sz w:val="36"/>
          <w:szCs w:val="32"/>
        </w:rPr>
        <w:t>4</w:t>
      </w:r>
      <w:r>
        <w:rPr>
          <w:rFonts w:hint="eastAsia" w:ascii="黑体" w:hAnsi="黑体" w:eastAsia="黑体" w:cs="Times New Roman"/>
          <w:bCs/>
          <w:color w:val="000000"/>
          <w:kern w:val="0"/>
          <w:sz w:val="36"/>
          <w:szCs w:val="32"/>
        </w:rPr>
        <w:t>月</w:t>
      </w:r>
    </w:p>
    <w:p w14:paraId="0207D9AE">
      <w:pPr>
        <w:autoSpaceDE w:val="0"/>
        <w:autoSpaceDN w:val="0"/>
        <w:adjustRightInd w:val="0"/>
        <w:spacing w:line="360" w:lineRule="auto"/>
        <w:rPr>
          <w:rFonts w:ascii="宋体" w:cs="宋体"/>
          <w:b/>
          <w:bCs/>
          <w:kern w:val="0"/>
          <w:sz w:val="44"/>
          <w:szCs w:val="44"/>
        </w:rPr>
      </w:pPr>
    </w:p>
    <w:p w14:paraId="1CF642C5">
      <w:pPr>
        <w:autoSpaceDE w:val="0"/>
        <w:autoSpaceDN w:val="0"/>
        <w:adjustRightInd w:val="0"/>
        <w:spacing w:line="360" w:lineRule="auto"/>
        <w:rPr>
          <w:rFonts w:ascii="宋体" w:cs="宋体"/>
          <w:b/>
          <w:bCs/>
          <w:kern w:val="0"/>
          <w:sz w:val="44"/>
          <w:szCs w:val="44"/>
        </w:rPr>
      </w:pPr>
    </w:p>
    <w:p w14:paraId="0F0CFCBD">
      <w:pPr>
        <w:autoSpaceDE w:val="0"/>
        <w:autoSpaceDN w:val="0"/>
        <w:adjustRightInd w:val="0"/>
        <w:spacing w:line="360" w:lineRule="auto"/>
        <w:jc w:val="center"/>
        <w:rPr>
          <w:rFonts w:ascii="宋体" w:cs="宋体"/>
          <w:b/>
          <w:bCs/>
          <w:kern w:val="0"/>
          <w:sz w:val="44"/>
          <w:szCs w:val="44"/>
        </w:rPr>
        <w:sectPr>
          <w:footerReference r:id="rId3" w:type="default"/>
          <w:pgSz w:w="11906" w:h="16838"/>
          <w:pgMar w:top="1985" w:right="1588" w:bottom="2098" w:left="1474" w:header="851" w:footer="992" w:gutter="0"/>
          <w:pgNumType w:fmt="upperRoman" w:start="1"/>
          <w:cols w:space="720" w:num="1"/>
          <w:docGrid w:type="lines" w:linePitch="312" w:charSpace="0"/>
        </w:sectPr>
      </w:pPr>
    </w:p>
    <w:p w14:paraId="6C96EA25">
      <w:pPr>
        <w:autoSpaceDE w:val="0"/>
        <w:autoSpaceDN w:val="0"/>
        <w:adjustRightInd w:val="0"/>
        <w:spacing w:line="360" w:lineRule="auto"/>
        <w:jc w:val="center"/>
        <w:rPr>
          <w:rFonts w:ascii="宋体" w:cs="宋体"/>
          <w:b/>
          <w:bCs/>
          <w:kern w:val="0"/>
          <w:sz w:val="44"/>
          <w:szCs w:val="44"/>
        </w:rPr>
      </w:pPr>
    </w:p>
    <w:p w14:paraId="41BCA517">
      <w:pPr>
        <w:autoSpaceDE w:val="0"/>
        <w:autoSpaceDN w:val="0"/>
        <w:adjustRightInd w:val="0"/>
        <w:spacing w:line="360" w:lineRule="auto"/>
        <w:jc w:val="center"/>
        <w:rPr>
          <w:rFonts w:ascii="宋体" w:cs="宋体"/>
          <w:b/>
          <w:bCs/>
          <w:kern w:val="0"/>
          <w:sz w:val="44"/>
          <w:szCs w:val="44"/>
        </w:rPr>
      </w:pPr>
    </w:p>
    <w:p w14:paraId="19A33330">
      <w:pPr>
        <w:autoSpaceDE w:val="0"/>
        <w:autoSpaceDN w:val="0"/>
        <w:adjustRightInd w:val="0"/>
        <w:spacing w:line="360" w:lineRule="auto"/>
        <w:jc w:val="center"/>
        <w:rPr>
          <w:rFonts w:ascii="宋体" w:cs="宋体"/>
          <w:b/>
          <w:bCs/>
          <w:kern w:val="0"/>
          <w:sz w:val="44"/>
          <w:szCs w:val="44"/>
        </w:rPr>
      </w:pPr>
    </w:p>
    <w:p w14:paraId="6EFA9336">
      <w:pPr>
        <w:autoSpaceDE w:val="0"/>
        <w:autoSpaceDN w:val="0"/>
        <w:adjustRightInd w:val="0"/>
        <w:spacing w:line="360" w:lineRule="auto"/>
        <w:jc w:val="center"/>
        <w:rPr>
          <w:rFonts w:ascii="宋体" w:cs="宋体"/>
          <w:b/>
          <w:bCs/>
          <w:kern w:val="0"/>
          <w:sz w:val="44"/>
          <w:szCs w:val="44"/>
        </w:rPr>
      </w:pPr>
      <w:r>
        <w:rPr>
          <w:rFonts w:hint="eastAsia" w:ascii="宋体" w:hAnsi="宋体" w:cs="宋体"/>
          <w:b/>
          <w:bCs/>
          <w:kern w:val="0"/>
          <w:sz w:val="44"/>
          <w:szCs w:val="44"/>
        </w:rPr>
        <w:t>敖汉旗第十六届人民代表大会第五次会议</w:t>
      </w:r>
    </w:p>
    <w:p w14:paraId="316B841C">
      <w:pPr>
        <w:autoSpaceDN w:val="0"/>
        <w:spacing w:line="360" w:lineRule="auto"/>
        <w:jc w:val="center"/>
        <w:rPr>
          <w:rFonts w:ascii="方正小标宋简体" w:hAnsi="宋体"/>
          <w:b/>
          <w:bCs/>
          <w:color w:val="000000"/>
          <w:sz w:val="44"/>
          <w:szCs w:val="44"/>
        </w:rPr>
      </w:pPr>
      <w:r>
        <w:rPr>
          <w:rFonts w:hint="eastAsia" w:ascii="方正小标宋简体" w:hAnsi="宋体"/>
          <w:b/>
          <w:bCs/>
          <w:color w:val="000000"/>
          <w:sz w:val="44"/>
          <w:szCs w:val="44"/>
        </w:rPr>
        <w:t>关于敖汉旗国民经济和社会发展</w:t>
      </w:r>
    </w:p>
    <w:p w14:paraId="052847AB">
      <w:pPr>
        <w:autoSpaceDN w:val="0"/>
        <w:spacing w:line="360" w:lineRule="auto"/>
        <w:jc w:val="center"/>
        <w:rPr>
          <w:rFonts w:ascii="宋体"/>
          <w:b/>
          <w:bCs/>
          <w:color w:val="3D3D3D"/>
          <w:sz w:val="44"/>
          <w:szCs w:val="44"/>
        </w:rPr>
      </w:pPr>
      <w:r>
        <w:rPr>
          <w:rFonts w:hint="eastAsia" w:ascii="方正小标宋简体" w:hAnsi="宋体"/>
          <w:b/>
          <w:bCs/>
          <w:color w:val="000000"/>
          <w:sz w:val="44"/>
          <w:szCs w:val="44"/>
        </w:rPr>
        <w:t>第十三个五年规划纲要的决议</w:t>
      </w:r>
    </w:p>
    <w:p w14:paraId="745875C8">
      <w:pPr>
        <w:autoSpaceDN w:val="0"/>
        <w:spacing w:line="360" w:lineRule="auto"/>
        <w:jc w:val="center"/>
        <w:rPr>
          <w:rFonts w:ascii="宋体"/>
          <w:color w:val="3D3D3D"/>
        </w:rPr>
      </w:pPr>
    </w:p>
    <w:p w14:paraId="240DB595">
      <w:pPr>
        <w:autoSpaceDN w:val="0"/>
        <w:spacing w:line="360" w:lineRule="auto"/>
        <w:jc w:val="center"/>
        <w:rPr>
          <w:rFonts w:ascii="楷体" w:hAnsi="楷体" w:eastAsia="楷体" w:cs="楷体"/>
          <w:color w:val="3D3D3D"/>
          <w:sz w:val="32"/>
          <w:szCs w:val="32"/>
        </w:rPr>
      </w:pPr>
      <w:r>
        <w:rPr>
          <w:rFonts w:ascii="楷体" w:hAnsi="楷体" w:eastAsia="楷体" w:cs="楷体"/>
          <w:color w:val="000000"/>
          <w:sz w:val="32"/>
          <w:szCs w:val="32"/>
        </w:rPr>
        <w:t>2016</w:t>
      </w:r>
      <w:r>
        <w:rPr>
          <w:rFonts w:hint="eastAsia" w:ascii="楷体" w:hAnsi="楷体" w:eastAsia="楷体" w:cs="楷体"/>
          <w:color w:val="000000"/>
          <w:sz w:val="32"/>
          <w:szCs w:val="32"/>
        </w:rPr>
        <w:t>年</w:t>
      </w:r>
      <w:r>
        <w:rPr>
          <w:rFonts w:ascii="楷体" w:hAnsi="楷体" w:eastAsia="楷体" w:cs="楷体"/>
          <w:color w:val="000000"/>
          <w:sz w:val="32"/>
          <w:szCs w:val="32"/>
        </w:rPr>
        <w:t>2</w:t>
      </w:r>
      <w:r>
        <w:rPr>
          <w:rFonts w:hint="eastAsia" w:ascii="楷体" w:hAnsi="楷体" w:eastAsia="楷体" w:cs="楷体"/>
          <w:color w:val="000000"/>
          <w:sz w:val="32"/>
          <w:szCs w:val="32"/>
        </w:rPr>
        <w:t>月</w:t>
      </w:r>
      <w:r>
        <w:rPr>
          <w:rFonts w:ascii="楷体" w:hAnsi="楷体" w:eastAsia="楷体" w:cs="楷体"/>
          <w:color w:val="000000"/>
          <w:sz w:val="32"/>
          <w:szCs w:val="32"/>
        </w:rPr>
        <w:t>21</w:t>
      </w:r>
      <w:r>
        <w:rPr>
          <w:rFonts w:hint="eastAsia" w:ascii="楷体" w:hAnsi="楷体" w:eastAsia="楷体" w:cs="楷体"/>
          <w:color w:val="000000"/>
          <w:sz w:val="32"/>
          <w:szCs w:val="32"/>
        </w:rPr>
        <w:t>日敖汉旗第十六届</w:t>
      </w:r>
    </w:p>
    <w:p w14:paraId="1EEEF06D">
      <w:pPr>
        <w:autoSpaceDN w:val="0"/>
        <w:spacing w:line="360" w:lineRule="auto"/>
        <w:jc w:val="center"/>
        <w:rPr>
          <w:rFonts w:ascii="楷体" w:hAnsi="楷体" w:eastAsia="楷体" w:cs="楷体"/>
          <w:color w:val="3D3D3D"/>
          <w:sz w:val="32"/>
          <w:szCs w:val="32"/>
        </w:rPr>
      </w:pPr>
      <w:r>
        <w:rPr>
          <w:rFonts w:hint="eastAsia" w:ascii="楷体" w:hAnsi="楷体" w:eastAsia="楷体" w:cs="楷体"/>
          <w:color w:val="000000"/>
          <w:sz w:val="32"/>
          <w:szCs w:val="32"/>
        </w:rPr>
        <w:t>人民代表大会第五次会议通过</w:t>
      </w:r>
    </w:p>
    <w:p w14:paraId="3C72A36C">
      <w:pPr>
        <w:autoSpaceDN w:val="0"/>
        <w:spacing w:line="360" w:lineRule="auto"/>
        <w:jc w:val="center"/>
        <w:rPr>
          <w:rFonts w:ascii="宋体"/>
          <w:color w:val="3D3D3D"/>
          <w:sz w:val="32"/>
          <w:szCs w:val="32"/>
        </w:rPr>
      </w:pPr>
    </w:p>
    <w:p w14:paraId="45CB19BC">
      <w:pPr>
        <w:autoSpaceDN w:val="0"/>
        <w:spacing w:line="360" w:lineRule="auto"/>
        <w:ind w:firstLine="600"/>
        <w:rPr>
          <w:rFonts w:ascii="仿宋" w:hAnsi="仿宋" w:eastAsia="仿宋" w:cs="仿宋"/>
          <w:color w:val="000000"/>
          <w:sz w:val="32"/>
          <w:szCs w:val="32"/>
        </w:rPr>
      </w:pPr>
      <w:r>
        <w:rPr>
          <w:rFonts w:hint="eastAsia" w:ascii="仿宋" w:hAnsi="仿宋" w:eastAsia="仿宋" w:cs="仿宋"/>
          <w:color w:val="000000"/>
          <w:sz w:val="32"/>
          <w:szCs w:val="32"/>
        </w:rPr>
        <w:t>敖汉旗第十六届人民代表大会第五次会议审查了《敖汉旗国民经济和社会发展第十三个五年规划纲要（草案）》，会议同意规划纲要提出的奋斗目标和主要任务，决定批准规划纲要。</w:t>
      </w:r>
    </w:p>
    <w:p w14:paraId="5802F466">
      <w:pPr>
        <w:autoSpaceDN w:val="0"/>
        <w:spacing w:line="360" w:lineRule="auto"/>
        <w:ind w:firstLine="600"/>
        <w:rPr>
          <w:rFonts w:ascii="仿宋" w:hAnsi="仿宋" w:eastAsia="仿宋" w:cs="仿宋"/>
          <w:color w:val="000000"/>
          <w:sz w:val="32"/>
          <w:szCs w:val="32"/>
        </w:rPr>
      </w:pPr>
    </w:p>
    <w:p w14:paraId="7C7A6676">
      <w:pPr>
        <w:autoSpaceDN w:val="0"/>
        <w:spacing w:line="360" w:lineRule="auto"/>
        <w:ind w:firstLine="600"/>
        <w:rPr>
          <w:rFonts w:ascii="仿宋" w:hAnsi="仿宋" w:eastAsia="仿宋" w:cs="仿宋"/>
          <w:color w:val="000000"/>
          <w:sz w:val="32"/>
          <w:szCs w:val="32"/>
        </w:rPr>
      </w:pPr>
    </w:p>
    <w:p w14:paraId="56950C27">
      <w:pPr>
        <w:autoSpaceDN w:val="0"/>
        <w:spacing w:line="360" w:lineRule="auto"/>
        <w:ind w:firstLine="600"/>
        <w:rPr>
          <w:rFonts w:ascii="仿宋" w:hAnsi="仿宋" w:eastAsia="仿宋" w:cs="仿宋"/>
          <w:color w:val="000000"/>
          <w:sz w:val="32"/>
          <w:szCs w:val="32"/>
        </w:rPr>
      </w:pPr>
    </w:p>
    <w:p w14:paraId="531E9070">
      <w:pPr>
        <w:pStyle w:val="35"/>
        <w:spacing w:beforeLines="20" w:afterLines="100"/>
        <w:jc w:val="both"/>
        <w:rPr>
          <w:rFonts w:ascii="Times New Roman" w:hAnsi="Times New Roman"/>
          <w:color w:val="000000"/>
          <w:sz w:val="44"/>
          <w:szCs w:val="44"/>
          <w:lang w:val="zh-CN"/>
        </w:rPr>
      </w:pPr>
    </w:p>
    <w:p w14:paraId="00AC0325">
      <w:pPr>
        <w:rPr>
          <w:rFonts w:ascii="Times New Roman" w:hAnsi="Times New Roman"/>
          <w:color w:val="000000"/>
          <w:sz w:val="44"/>
          <w:szCs w:val="44"/>
          <w:lang w:val="zh-CN"/>
        </w:rPr>
      </w:pPr>
    </w:p>
    <w:p w14:paraId="01B43F9D">
      <w:pPr>
        <w:pStyle w:val="35"/>
        <w:spacing w:beforeLines="20" w:afterLines="100"/>
        <w:jc w:val="center"/>
        <w:rPr>
          <w:rFonts w:ascii="Times New Roman" w:hAnsi="Times New Roman"/>
          <w:color w:val="000000"/>
          <w:sz w:val="44"/>
          <w:szCs w:val="44"/>
          <w:lang w:val="zh-CN"/>
        </w:rPr>
        <w:sectPr>
          <w:footerReference r:id="rId4" w:type="default"/>
          <w:pgSz w:w="11906" w:h="16838"/>
          <w:pgMar w:top="1985" w:right="1588" w:bottom="2098" w:left="1474" w:header="851" w:footer="992" w:gutter="0"/>
          <w:pgNumType w:fmt="upperRoman" w:start="1"/>
          <w:cols w:space="720" w:num="1"/>
          <w:docGrid w:type="lines" w:linePitch="312" w:charSpace="0"/>
        </w:sectPr>
      </w:pPr>
    </w:p>
    <w:p w14:paraId="43A2DAFB">
      <w:pPr>
        <w:pStyle w:val="35"/>
        <w:spacing w:beforeLines="20" w:afterLines="100"/>
        <w:jc w:val="center"/>
        <w:rPr>
          <w:rFonts w:ascii="Times New Roman" w:hAnsi="Times New Roman"/>
          <w:color w:val="000000"/>
          <w:sz w:val="44"/>
          <w:szCs w:val="44"/>
        </w:rPr>
      </w:pPr>
      <w:r>
        <w:rPr>
          <w:rFonts w:hint="eastAsia" w:ascii="Times New Roman" w:hAnsi="Times New Roman"/>
          <w:color w:val="000000"/>
          <w:sz w:val="44"/>
          <w:szCs w:val="44"/>
          <w:lang w:val="zh-CN"/>
        </w:rPr>
        <w:t>目录</w:t>
      </w:r>
    </w:p>
    <w:p w14:paraId="73995C35">
      <w:pPr>
        <w:pStyle w:val="12"/>
        <w:tabs>
          <w:tab w:val="right" w:leader="dot" w:pos="8834"/>
        </w:tabs>
        <w:spacing w:line="520" w:lineRule="exact"/>
        <w:rPr>
          <w:rFonts w:ascii="Times New Roman" w:hAnsi="Times New Roman" w:eastAsia="华文中宋" w:cs="Times New Roman"/>
          <w:b/>
          <w:color w:val="000000"/>
          <w:szCs w:val="24"/>
        </w:rPr>
      </w:pPr>
      <w:r>
        <w:rPr>
          <w:rFonts w:ascii="Times New Roman" w:hAnsi="Times New Roman" w:eastAsia="华文中宋" w:cs="Times New Roman"/>
          <w:color w:val="000000"/>
          <w:sz w:val="21"/>
          <w:szCs w:val="21"/>
        </w:rPr>
        <w:fldChar w:fldCharType="begin"/>
      </w:r>
      <w:r>
        <w:rPr>
          <w:rFonts w:ascii="Times New Roman" w:hAnsi="Times New Roman" w:eastAsia="华文中宋" w:cs="Times New Roman"/>
          <w:color w:val="000000"/>
          <w:sz w:val="21"/>
          <w:szCs w:val="21"/>
        </w:rPr>
        <w:instrText xml:space="preserve"> TOC \o "1-3" \h \z \u </w:instrText>
      </w:r>
      <w:r>
        <w:rPr>
          <w:rFonts w:ascii="Times New Roman" w:hAnsi="Times New Roman" w:eastAsia="华文中宋" w:cs="Times New Roman"/>
          <w:color w:val="000000"/>
          <w:sz w:val="21"/>
          <w:szCs w:val="21"/>
        </w:rPr>
        <w:fldChar w:fldCharType="separate"/>
      </w:r>
      <w:r>
        <w:fldChar w:fldCharType="begin"/>
      </w:r>
      <w:r>
        <w:instrText xml:space="preserve"> HYPERLINK \l "_Toc443390001" </w:instrText>
      </w:r>
      <w:r>
        <w:fldChar w:fldCharType="separate"/>
      </w:r>
      <w:r>
        <w:rPr>
          <w:rStyle w:val="20"/>
          <w:rFonts w:hint="eastAsia" w:ascii="Times New Roman" w:hAnsi="Times New Roman" w:eastAsia="华文中宋"/>
          <w:b/>
          <w:color w:val="000000"/>
          <w:szCs w:val="24"/>
        </w:rPr>
        <w:t>第一章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发展基础和发展环境</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_Toc443390001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- 1 -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485B98AE">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"_Toc443390002"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发展基础</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_Toc443390002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- 1 -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21CC849">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"_Toc443390003"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发展环境</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_Toc443390003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3170E67F">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"_Toc443390004" </w:instrText>
      </w:r>
      <w:r>
        <w:fldChar w:fldCharType="separate"/>
      </w:r>
      <w:r>
        <w:rPr>
          <w:rStyle w:val="20"/>
          <w:rFonts w:hint="eastAsia" w:ascii="Times New Roman" w:hAnsi="Times New Roman" w:eastAsia="华文中宋"/>
          <w:b/>
          <w:color w:val="000000"/>
          <w:szCs w:val="24"/>
        </w:rPr>
        <w:t>第二章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指导思想和主要目标</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_Toc443390004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- 5 -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74BD3398">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"_Toc443390005"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指导思想</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_Toc443390005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3AF7D824">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"_Toc443390006"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基本原则</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_Toc443390006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- 6 -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32461F12">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"_Toc443390007"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主要目标</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_Toc443390007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- 7 -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450DF660">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"_Toc443390008" </w:instrText>
      </w:r>
      <w:r>
        <w:fldChar w:fldCharType="separate"/>
      </w:r>
      <w:r>
        <w:rPr>
          <w:rStyle w:val="20"/>
          <w:rFonts w:hint="eastAsia" w:ascii="Times New Roman" w:hAnsi="Times New Roman" w:eastAsia="华文中宋"/>
          <w:color w:val="000000"/>
          <w:sz w:val="24"/>
          <w:szCs w:val="24"/>
        </w:rPr>
        <w:t>第四节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发展定位</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_Toc443390008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- 8 -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B37A965">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"_Toc443390009" </w:instrText>
      </w:r>
      <w:r>
        <w:fldChar w:fldCharType="separate"/>
      </w:r>
      <w:r>
        <w:rPr>
          <w:rStyle w:val="20"/>
          <w:rFonts w:hint="eastAsia" w:ascii="Times New Roman" w:hAnsi="Times New Roman" w:eastAsia="华文中宋"/>
          <w:color w:val="000000"/>
          <w:sz w:val="24"/>
          <w:szCs w:val="24"/>
        </w:rPr>
        <w:t>第五节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发展理念</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_Toc443390009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- 9 -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540EF8DC">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"_Toc443390010" </w:instrText>
      </w:r>
      <w:r>
        <w:fldChar w:fldCharType="separate"/>
      </w:r>
      <w:r>
        <w:rPr>
          <w:rStyle w:val="20"/>
          <w:rFonts w:hint="eastAsia" w:ascii="Times New Roman" w:hAnsi="Times New Roman" w:eastAsia="华文中宋"/>
          <w:b/>
          <w:color w:val="000000"/>
          <w:szCs w:val="24"/>
        </w:rPr>
        <w:t>第三章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坚持创新发展，提高发展质量效益</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_Toc443390010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- 10 -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2D6F8593">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"_Toc443390011"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推动农牧业升级，实现特色创新发展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_Toc443390011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- 10 -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2656778F">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"_Toc443390012"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推动工业转型，实现规模创新发展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_Toc443390012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- 15 -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5004F29A">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"_Toc443390013"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推动服务业整合，实现融合创新发展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_Toc443390013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- 19 -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27532D75">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"_Toc443390014" </w:instrText>
      </w:r>
      <w:r>
        <w:fldChar w:fldCharType="separate"/>
      </w:r>
      <w:r>
        <w:rPr>
          <w:rStyle w:val="20"/>
          <w:rFonts w:hint="eastAsia" w:ascii="Times New Roman" w:hAnsi="Times New Roman" w:eastAsia="华文中宋"/>
          <w:color w:val="000000"/>
          <w:sz w:val="24"/>
          <w:szCs w:val="24"/>
        </w:rPr>
        <w:t>第四节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创新发展方式，推动形成发展新动能</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_Toc443390014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- 24 -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08D0FFE">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"_Toc443390015" </w:instrText>
      </w:r>
      <w:r>
        <w:fldChar w:fldCharType="separate"/>
      </w:r>
      <w:r>
        <w:rPr>
          <w:rStyle w:val="20"/>
          <w:rFonts w:hint="eastAsia" w:ascii="Times New Roman" w:hAnsi="Times New Roman" w:eastAsia="华文中宋"/>
          <w:color w:val="000000"/>
          <w:sz w:val="24"/>
          <w:szCs w:val="24"/>
        </w:rPr>
        <w:t>第五节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释放改革新需求，提高金融创新能力</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_Toc443390015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- 27 -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545D44A9">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"_Toc443390016" </w:instrText>
      </w:r>
      <w:r>
        <w:fldChar w:fldCharType="separate"/>
      </w:r>
      <w:r>
        <w:rPr>
          <w:rStyle w:val="20"/>
          <w:rFonts w:hint="eastAsia" w:ascii="Times New Roman" w:hAnsi="Times New Roman" w:eastAsia="华文中宋"/>
          <w:color w:val="000000"/>
          <w:sz w:val="24"/>
          <w:szCs w:val="24"/>
        </w:rPr>
        <w:t>第六节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深化体制改革，激发创新动力</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_Toc443390016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- 28 -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73A2B14">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"_Toc443390017" </w:instrText>
      </w:r>
      <w:r>
        <w:fldChar w:fldCharType="separate"/>
      </w:r>
      <w:r>
        <w:rPr>
          <w:rStyle w:val="20"/>
          <w:rFonts w:hint="eastAsia" w:ascii="Times New Roman" w:hAnsi="Times New Roman" w:eastAsia="华文中宋"/>
          <w:b/>
          <w:color w:val="000000"/>
          <w:szCs w:val="24"/>
        </w:rPr>
        <w:t>第四章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坚持协调发展，构建均衡发展新格局</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_Toc443390017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- 30 -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68504848">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"_Toc443390018"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推进新型城镇化和城乡一体化发展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_Toc443390018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- 30 -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4A0D653A">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"_Toc443390019"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加快新农村新牧区建设</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_Toc443390019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- 33 -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43736CE7">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"_Toc443390020"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推动现代基础设施建设</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_Toc443390020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- 34 -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688D1892">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"_Toc443390021" </w:instrText>
      </w:r>
      <w:r>
        <w:fldChar w:fldCharType="separate"/>
      </w:r>
      <w:r>
        <w:rPr>
          <w:rStyle w:val="20"/>
          <w:rFonts w:hint="eastAsia" w:ascii="Times New Roman" w:hAnsi="Times New Roman" w:eastAsia="华文中宋"/>
          <w:color w:val="000000"/>
          <w:sz w:val="24"/>
          <w:szCs w:val="24"/>
        </w:rPr>
        <w:t>第四节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统筹精神文明与物质文明建设</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_Toc443390021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- 37 -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247C025B">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"_Toc443390022" </w:instrText>
      </w:r>
      <w:r>
        <w:fldChar w:fldCharType="separate"/>
      </w:r>
      <w:r>
        <w:rPr>
          <w:rStyle w:val="20"/>
          <w:rFonts w:hint="eastAsia" w:ascii="Times New Roman" w:hAnsi="Times New Roman" w:eastAsia="华文中宋"/>
          <w:color w:val="000000"/>
          <w:sz w:val="24"/>
          <w:szCs w:val="24"/>
        </w:rPr>
        <w:t>第五节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巩固和加强民族团结</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_Toc443390022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- 38 -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3800037B">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"_Toc443390023" </w:instrText>
      </w:r>
      <w:r>
        <w:fldChar w:fldCharType="separate"/>
      </w:r>
      <w:r>
        <w:rPr>
          <w:rStyle w:val="20"/>
          <w:rFonts w:hint="eastAsia" w:ascii="Times New Roman" w:hAnsi="Times New Roman" w:eastAsia="华文中宋"/>
          <w:b/>
          <w:color w:val="000000"/>
          <w:szCs w:val="24"/>
        </w:rPr>
        <w:t>第五章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坚持绿色发展，建设美丽敖汉</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_Toc443390023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- 39 -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11C23AE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"_Toc443390024"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加快生态建设步伐</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_Toc443390024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- 39 -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36F4C32">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"_Toc443390025"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强化环境保护与治理</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_Toc443390025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- 41 -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1A678D8A">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"_Toc443390026"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积极发展低碳循环经济</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_Toc443390026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- 42 -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D9300EB">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"_Toc443390027" </w:instrText>
      </w:r>
      <w:r>
        <w:fldChar w:fldCharType="separate"/>
      </w:r>
      <w:r>
        <w:rPr>
          <w:rStyle w:val="20"/>
          <w:rFonts w:hint="eastAsia" w:ascii="Times New Roman" w:hAnsi="Times New Roman" w:eastAsia="华文中宋"/>
          <w:b/>
          <w:color w:val="000000"/>
          <w:szCs w:val="24"/>
        </w:rPr>
        <w:t>第六章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坚持开放发展，开创合作共赢新局面</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_Toc443390027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- 42 -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40DF77F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"_Toc443390028"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深度融入京津冀协同发展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_Toc443390028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- 43 -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66B84E6">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"_Toc443390029"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加强与东北经济区的对接合作</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_Toc443390029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- 44 -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0783D9CF">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"_Toc443390030"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积极参与周边区域共建</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_Toc443390030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- 44 -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64064B7E">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"_Toc443390031" </w:instrText>
      </w:r>
      <w:r>
        <w:fldChar w:fldCharType="separate"/>
      </w:r>
      <w:r>
        <w:rPr>
          <w:rStyle w:val="20"/>
          <w:rFonts w:hint="eastAsia" w:ascii="Times New Roman" w:hAnsi="Times New Roman" w:eastAsia="华文中宋"/>
          <w:b/>
          <w:color w:val="000000"/>
          <w:szCs w:val="24"/>
        </w:rPr>
        <w:t>第七章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坚持共享发展，着力增进人民福祉</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_Toc443390031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- 45 -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7EBB6159">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"_Toc443390032"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坚决打赢脱贫攻坚战</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_Toc443390032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- 45 -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B97B503">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"_Toc443390033"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健全多层次社会保障体系</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_Toc443390033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- 46 -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4C57DC6C">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"_Toc443390034"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推动教育全面均衡发展</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_Toc443390034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- 47 -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1934325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"_Toc443390035" </w:instrText>
      </w:r>
      <w:r>
        <w:fldChar w:fldCharType="separate"/>
      </w:r>
      <w:r>
        <w:rPr>
          <w:rStyle w:val="20"/>
          <w:rFonts w:hint="eastAsia" w:ascii="Times New Roman" w:hAnsi="Times New Roman" w:eastAsia="华文中宋"/>
          <w:color w:val="000000"/>
          <w:sz w:val="24"/>
          <w:szCs w:val="24"/>
        </w:rPr>
        <w:t>第四节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加快健康敖汉建设</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_Toc443390035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- 48 -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312CA08">
      <w:pPr>
        <w:pStyle w:val="12"/>
        <w:tabs>
          <w:tab w:val="right" w:leader="dot" w:pos="8834"/>
        </w:tabs>
        <w:spacing w:line="520" w:lineRule="exact"/>
        <w:rPr>
          <w:rFonts w:ascii="Times New Roman" w:hAnsi="Times New Roman" w:eastAsia="华文中宋" w:cs="Times New Roman"/>
          <w:b/>
          <w:color w:val="000000"/>
          <w:szCs w:val="24"/>
        </w:rPr>
      </w:pPr>
      <w:r>
        <w:fldChar w:fldCharType="begin"/>
      </w:r>
      <w:r>
        <w:instrText xml:space="preserve"> HYPERLINK \l "_Toc443390036" </w:instrText>
      </w:r>
      <w:r>
        <w:fldChar w:fldCharType="separate"/>
      </w:r>
      <w:r>
        <w:rPr>
          <w:rStyle w:val="20"/>
          <w:rFonts w:hint="eastAsia" w:ascii="Times New Roman" w:hAnsi="Times New Roman" w:eastAsia="华文中宋"/>
          <w:b/>
          <w:color w:val="000000"/>
          <w:szCs w:val="24"/>
        </w:rPr>
        <w:t>第八章</w:t>
      </w:r>
      <w:r>
        <w:rPr>
          <w:rStyle w:val="20"/>
          <w:rFonts w:ascii="Times New Roman" w:hAnsi="Times New Roman" w:eastAsia="华文中宋"/>
          <w:b/>
          <w:color w:val="000000"/>
          <w:szCs w:val="24"/>
        </w:rPr>
        <w:t xml:space="preserve">   </w:t>
      </w:r>
      <w:r>
        <w:rPr>
          <w:rStyle w:val="20"/>
          <w:rFonts w:hint="eastAsia" w:ascii="Times New Roman" w:hAnsi="Times New Roman" w:eastAsia="华文中宋"/>
          <w:b/>
          <w:color w:val="000000"/>
          <w:szCs w:val="24"/>
        </w:rPr>
        <w:t>坚持党的领导，保障规划顺利实施</w:t>
      </w:r>
      <w:r>
        <w:rPr>
          <w:rFonts w:ascii="Times New Roman" w:hAnsi="Times New Roman" w:eastAsia="华文中宋" w:cs="Times New Roman"/>
          <w:b/>
          <w:color w:val="000000"/>
          <w:szCs w:val="24"/>
        </w:rPr>
        <w:tab/>
      </w:r>
      <w:r>
        <w:rPr>
          <w:rFonts w:ascii="Times New Roman" w:hAnsi="Times New Roman" w:eastAsia="华文中宋" w:cs="Times New Roman"/>
          <w:b/>
          <w:color w:val="000000"/>
          <w:szCs w:val="24"/>
        </w:rPr>
        <w:fldChar w:fldCharType="begin"/>
      </w:r>
      <w:r>
        <w:rPr>
          <w:rFonts w:ascii="Times New Roman" w:hAnsi="Times New Roman" w:eastAsia="华文中宋" w:cs="Times New Roman"/>
          <w:b/>
          <w:color w:val="000000"/>
          <w:szCs w:val="24"/>
        </w:rPr>
        <w:instrText xml:space="preserve"> PAGEREF _Toc443390036 \h </w:instrText>
      </w:r>
      <w:r>
        <w:rPr>
          <w:rFonts w:ascii="Times New Roman" w:hAnsi="Times New Roman" w:eastAsia="华文中宋" w:cs="Times New Roman"/>
          <w:b/>
          <w:color w:val="000000"/>
          <w:szCs w:val="24"/>
        </w:rPr>
        <w:fldChar w:fldCharType="separate"/>
      </w:r>
      <w:r>
        <w:rPr>
          <w:rFonts w:ascii="Times New Roman" w:hAnsi="Times New Roman" w:eastAsia="华文中宋" w:cs="Times New Roman"/>
          <w:b/>
          <w:color w:val="000000"/>
          <w:szCs w:val="24"/>
        </w:rPr>
        <w:t>- 49 -</w:t>
      </w:r>
      <w:r>
        <w:rPr>
          <w:rFonts w:ascii="Times New Roman" w:hAnsi="Times New Roman" w:eastAsia="华文中宋" w:cs="Times New Roman"/>
          <w:b/>
          <w:color w:val="000000"/>
          <w:szCs w:val="24"/>
        </w:rPr>
        <w:fldChar w:fldCharType="end"/>
      </w:r>
      <w:r>
        <w:rPr>
          <w:rFonts w:ascii="Times New Roman" w:hAnsi="Times New Roman" w:eastAsia="华文中宋" w:cs="Times New Roman"/>
          <w:b/>
          <w:color w:val="000000"/>
          <w:szCs w:val="24"/>
        </w:rPr>
        <w:fldChar w:fldCharType="end"/>
      </w:r>
    </w:p>
    <w:p w14:paraId="5D58EFD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"_Toc443390037" </w:instrText>
      </w:r>
      <w:r>
        <w:fldChar w:fldCharType="separate"/>
      </w:r>
      <w:r>
        <w:rPr>
          <w:rStyle w:val="20"/>
          <w:rFonts w:hint="eastAsia" w:ascii="Times New Roman" w:hAnsi="Times New Roman" w:eastAsia="华文中宋"/>
          <w:color w:val="000000"/>
          <w:sz w:val="24"/>
          <w:szCs w:val="24"/>
        </w:rPr>
        <w:t>第一节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提高党领导发展的能力和水平</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_Toc443390037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- 49 -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5E98D88F">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"_Toc443390038" </w:instrText>
      </w:r>
      <w:r>
        <w:fldChar w:fldCharType="separate"/>
      </w:r>
      <w:r>
        <w:rPr>
          <w:rStyle w:val="20"/>
          <w:rFonts w:hint="eastAsia" w:ascii="Times New Roman" w:hAnsi="Times New Roman" w:eastAsia="华文中宋"/>
          <w:color w:val="000000"/>
          <w:sz w:val="24"/>
          <w:szCs w:val="24"/>
        </w:rPr>
        <w:t>第二节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调动全社会积极性</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_Toc443390038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- 50 -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1403F33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"_Toc443390039" </w:instrText>
      </w:r>
      <w:r>
        <w:fldChar w:fldCharType="separate"/>
      </w:r>
      <w:r>
        <w:rPr>
          <w:rStyle w:val="20"/>
          <w:rFonts w:hint="eastAsia" w:ascii="Times New Roman" w:hAnsi="Times New Roman" w:eastAsia="华文中宋"/>
          <w:color w:val="000000"/>
          <w:sz w:val="24"/>
          <w:szCs w:val="24"/>
        </w:rPr>
        <w:t>第三节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全面推进依法治旗</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_Toc443390039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- 51 -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475DC0D">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"_Toc443390040" </w:instrText>
      </w:r>
      <w:r>
        <w:fldChar w:fldCharType="separate"/>
      </w:r>
      <w:r>
        <w:rPr>
          <w:rStyle w:val="20"/>
          <w:rFonts w:hint="eastAsia" w:ascii="Times New Roman" w:hAnsi="Times New Roman" w:eastAsia="华文中宋"/>
          <w:color w:val="000000"/>
          <w:sz w:val="24"/>
          <w:szCs w:val="24"/>
        </w:rPr>
        <w:t>第四节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实施人才强旗战略</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_Toc443390040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- 52 -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706B30E2">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"_Toc443390041" </w:instrText>
      </w:r>
      <w:r>
        <w:fldChar w:fldCharType="separate"/>
      </w:r>
      <w:r>
        <w:rPr>
          <w:rStyle w:val="20"/>
          <w:rFonts w:hint="eastAsia" w:ascii="Times New Roman" w:hAnsi="Times New Roman" w:eastAsia="华文中宋"/>
          <w:color w:val="000000"/>
          <w:sz w:val="24"/>
          <w:szCs w:val="24"/>
        </w:rPr>
        <w:t>第五节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加大资金保障力度</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_Toc443390041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- 53 -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1E178D71">
      <w:pPr>
        <w:pStyle w:val="15"/>
        <w:tabs>
          <w:tab w:val="right" w:leader="dot" w:pos="8834"/>
        </w:tabs>
        <w:spacing w:line="520" w:lineRule="exact"/>
        <w:ind w:left="31680"/>
        <w:rPr>
          <w:rFonts w:ascii="Times New Roman" w:hAnsi="Times New Roman" w:eastAsia="华文中宋" w:cs="Times New Roman"/>
          <w:color w:val="000000"/>
          <w:sz w:val="24"/>
          <w:szCs w:val="24"/>
        </w:rPr>
      </w:pPr>
      <w:r>
        <w:fldChar w:fldCharType="begin"/>
      </w:r>
      <w:r>
        <w:instrText xml:space="preserve"> HYPERLINK \l "_Toc443390042" </w:instrText>
      </w:r>
      <w:r>
        <w:fldChar w:fldCharType="separate"/>
      </w:r>
      <w:r>
        <w:rPr>
          <w:rStyle w:val="20"/>
          <w:rFonts w:hint="eastAsia" w:ascii="Times New Roman" w:hAnsi="Times New Roman" w:eastAsia="华文中宋"/>
          <w:color w:val="000000"/>
          <w:sz w:val="24"/>
          <w:szCs w:val="24"/>
        </w:rPr>
        <w:t>第六节</w:t>
      </w:r>
      <w:r>
        <w:rPr>
          <w:rStyle w:val="20"/>
          <w:rFonts w:ascii="Times New Roman" w:hAnsi="Times New Roman" w:eastAsia="华文中宋"/>
          <w:color w:val="000000"/>
          <w:sz w:val="24"/>
          <w:szCs w:val="24"/>
        </w:rPr>
        <w:t xml:space="preserve">  </w:t>
      </w:r>
      <w:r>
        <w:rPr>
          <w:rStyle w:val="20"/>
          <w:rFonts w:hint="eastAsia" w:ascii="Times New Roman" w:hAnsi="Times New Roman" w:eastAsia="华文中宋"/>
          <w:color w:val="000000"/>
          <w:sz w:val="24"/>
          <w:szCs w:val="24"/>
        </w:rPr>
        <w:t>完善规划实施机制</w:t>
      </w:r>
      <w:r>
        <w:rPr>
          <w:rFonts w:ascii="Times New Roman" w:hAnsi="Times New Roman" w:eastAsia="华文中宋" w:cs="Times New Roman"/>
          <w:color w:val="000000"/>
          <w:sz w:val="24"/>
          <w:szCs w:val="24"/>
        </w:rPr>
        <w:tab/>
      </w:r>
      <w:r>
        <w:rPr>
          <w:rFonts w:ascii="Times New Roman" w:hAnsi="Times New Roman" w:eastAsia="华文中宋" w:cs="Times New Roman"/>
          <w:color w:val="000000"/>
          <w:sz w:val="24"/>
          <w:szCs w:val="24"/>
        </w:rPr>
        <w:fldChar w:fldCharType="begin"/>
      </w:r>
      <w:r>
        <w:rPr>
          <w:rFonts w:ascii="Times New Roman" w:hAnsi="Times New Roman" w:eastAsia="华文中宋" w:cs="Times New Roman"/>
          <w:color w:val="000000"/>
          <w:sz w:val="24"/>
          <w:szCs w:val="24"/>
        </w:rPr>
        <w:instrText xml:space="preserve"> PAGEREF _Toc443390042 \h </w:instrText>
      </w:r>
      <w:r>
        <w:rPr>
          <w:rFonts w:ascii="Times New Roman" w:hAnsi="Times New Roman" w:eastAsia="华文中宋" w:cs="Times New Roman"/>
          <w:color w:val="000000"/>
          <w:sz w:val="24"/>
          <w:szCs w:val="24"/>
        </w:rPr>
        <w:fldChar w:fldCharType="separate"/>
      </w:r>
      <w:r>
        <w:rPr>
          <w:rFonts w:ascii="Times New Roman" w:hAnsi="Times New Roman" w:eastAsia="华文中宋" w:cs="Times New Roman"/>
          <w:color w:val="000000"/>
          <w:sz w:val="24"/>
          <w:szCs w:val="24"/>
        </w:rPr>
        <w:t>- 53 -</w:t>
      </w:r>
      <w:r>
        <w:rPr>
          <w:rFonts w:ascii="Times New Roman" w:hAnsi="Times New Roman" w:eastAsia="华文中宋" w:cs="Times New Roman"/>
          <w:color w:val="000000"/>
          <w:sz w:val="24"/>
          <w:szCs w:val="24"/>
        </w:rPr>
        <w:fldChar w:fldCharType="end"/>
      </w:r>
      <w:r>
        <w:rPr>
          <w:rFonts w:ascii="Times New Roman" w:hAnsi="Times New Roman" w:eastAsia="华文中宋" w:cs="Times New Roman"/>
          <w:color w:val="000000"/>
          <w:sz w:val="24"/>
          <w:szCs w:val="24"/>
        </w:rPr>
        <w:fldChar w:fldCharType="end"/>
      </w:r>
    </w:p>
    <w:p w14:paraId="6C00FF71">
      <w:pPr>
        <w:pStyle w:val="12"/>
        <w:tabs>
          <w:tab w:val="right" w:leader="dot" w:pos="8834"/>
        </w:tabs>
        <w:spacing w:line="520" w:lineRule="exact"/>
        <w:rPr>
          <w:rFonts w:ascii="Times New Roman" w:hAnsi="Times New Roman" w:eastAsia="华文中宋" w:cs="Times New Roman"/>
          <w:color w:val="000000"/>
          <w:szCs w:val="24"/>
        </w:rPr>
      </w:pPr>
      <w:r>
        <w:fldChar w:fldCharType="begin"/>
      </w:r>
      <w:r>
        <w:instrText xml:space="preserve"> HYPERLINK \l "_Toc443390043" </w:instrText>
      </w:r>
      <w:r>
        <w:fldChar w:fldCharType="separate"/>
      </w:r>
      <w:r>
        <w:rPr>
          <w:rStyle w:val="20"/>
          <w:rFonts w:hint="eastAsia" w:ascii="Times New Roman" w:hAnsi="Times New Roman" w:eastAsia="华文中宋"/>
          <w:color w:val="000000"/>
          <w:szCs w:val="24"/>
        </w:rPr>
        <w:t>附件</w:t>
      </w:r>
      <w:r>
        <w:rPr>
          <w:rStyle w:val="20"/>
          <w:rFonts w:ascii="Times New Roman" w:hAnsi="Times New Roman" w:eastAsia="华文中宋"/>
          <w:color w:val="000000"/>
          <w:szCs w:val="24"/>
        </w:rPr>
        <w:t>1  “</w:t>
      </w:r>
      <w:r>
        <w:rPr>
          <w:rStyle w:val="20"/>
          <w:rFonts w:hint="eastAsia" w:ascii="Times New Roman" w:hAnsi="Times New Roman" w:eastAsia="华文中宋"/>
          <w:color w:val="000000"/>
          <w:szCs w:val="24"/>
        </w:rPr>
        <w:t>十三五</w:t>
      </w:r>
      <w:r>
        <w:rPr>
          <w:rStyle w:val="20"/>
          <w:rFonts w:ascii="Times New Roman" w:hAnsi="Times New Roman" w:eastAsia="华文中宋"/>
          <w:color w:val="000000"/>
          <w:szCs w:val="24"/>
        </w:rPr>
        <w:t>”</w:t>
      </w:r>
      <w:r>
        <w:rPr>
          <w:rStyle w:val="20"/>
          <w:rFonts w:hint="eastAsia" w:ascii="Times New Roman" w:hAnsi="Times New Roman" w:eastAsia="华文中宋"/>
          <w:color w:val="000000"/>
          <w:szCs w:val="24"/>
        </w:rPr>
        <w:t>规划主要指标</w:t>
      </w:r>
      <w:r>
        <w:rPr>
          <w:rFonts w:ascii="Times New Roman" w:hAnsi="Times New Roman" w:eastAsia="华文中宋" w:cs="Times New Roman"/>
          <w:color w:val="000000"/>
          <w:szCs w:val="24"/>
        </w:rPr>
        <w:tab/>
      </w:r>
      <w:r>
        <w:rPr>
          <w:rFonts w:ascii="Times New Roman" w:hAnsi="Times New Roman" w:eastAsia="华文中宋" w:cs="Times New Roman"/>
          <w:color w:val="000000"/>
          <w:szCs w:val="24"/>
        </w:rPr>
        <w:fldChar w:fldCharType="begin"/>
      </w:r>
      <w:r>
        <w:rPr>
          <w:rFonts w:ascii="Times New Roman" w:hAnsi="Times New Roman" w:eastAsia="华文中宋" w:cs="Times New Roman"/>
          <w:color w:val="000000"/>
          <w:szCs w:val="24"/>
        </w:rPr>
        <w:instrText xml:space="preserve"> PAGEREF _Toc443390043 \h </w:instrText>
      </w:r>
      <w:r>
        <w:rPr>
          <w:rFonts w:ascii="Times New Roman" w:hAnsi="Times New Roman" w:eastAsia="华文中宋" w:cs="Times New Roman"/>
          <w:color w:val="000000"/>
          <w:szCs w:val="24"/>
        </w:rPr>
        <w:fldChar w:fldCharType="separate"/>
      </w:r>
      <w:r>
        <w:rPr>
          <w:rFonts w:ascii="Times New Roman" w:hAnsi="Times New Roman" w:eastAsia="华文中宋" w:cs="Times New Roman"/>
          <w:color w:val="000000"/>
          <w:szCs w:val="24"/>
        </w:rPr>
        <w:t>- 55 -</w:t>
      </w:r>
      <w:r>
        <w:rPr>
          <w:rFonts w:ascii="Times New Roman" w:hAnsi="Times New Roman" w:eastAsia="华文中宋" w:cs="Times New Roman"/>
          <w:color w:val="000000"/>
          <w:szCs w:val="24"/>
        </w:rPr>
        <w:fldChar w:fldCharType="end"/>
      </w:r>
      <w:r>
        <w:rPr>
          <w:rFonts w:ascii="Times New Roman" w:hAnsi="Times New Roman" w:eastAsia="华文中宋" w:cs="Times New Roman"/>
          <w:color w:val="000000"/>
          <w:szCs w:val="24"/>
        </w:rPr>
        <w:fldChar w:fldCharType="end"/>
      </w:r>
    </w:p>
    <w:p w14:paraId="25C55E3A">
      <w:pPr>
        <w:pStyle w:val="12"/>
        <w:tabs>
          <w:tab w:val="right" w:leader="dot" w:pos="8834"/>
        </w:tabs>
        <w:spacing w:line="520" w:lineRule="exact"/>
        <w:rPr>
          <w:rFonts w:ascii="Times New Roman" w:hAnsi="Times New Roman" w:eastAsia="华文中宋" w:cs="Times New Roman"/>
          <w:color w:val="000000"/>
          <w:sz w:val="21"/>
          <w:szCs w:val="21"/>
        </w:rPr>
      </w:pPr>
      <w:r>
        <w:fldChar w:fldCharType="begin"/>
      </w:r>
      <w:r>
        <w:instrText xml:space="preserve"> HYPERLINK \l "_Toc443390044" </w:instrText>
      </w:r>
      <w:r>
        <w:fldChar w:fldCharType="separate"/>
      </w:r>
      <w:r>
        <w:rPr>
          <w:rStyle w:val="20"/>
          <w:rFonts w:hint="eastAsia" w:ascii="Times New Roman" w:hAnsi="Times New Roman" w:eastAsia="华文中宋"/>
          <w:color w:val="000000"/>
          <w:szCs w:val="24"/>
        </w:rPr>
        <w:t>附件</w:t>
      </w:r>
      <w:r>
        <w:rPr>
          <w:rStyle w:val="20"/>
          <w:rFonts w:ascii="Times New Roman" w:hAnsi="Times New Roman" w:eastAsia="华文中宋"/>
          <w:color w:val="000000"/>
          <w:szCs w:val="24"/>
        </w:rPr>
        <w:t xml:space="preserve">2  </w:t>
      </w:r>
      <w:r>
        <w:rPr>
          <w:rStyle w:val="20"/>
          <w:rFonts w:hint="eastAsia" w:ascii="Times New Roman" w:hAnsi="Times New Roman" w:eastAsia="华文中宋"/>
          <w:color w:val="000000"/>
          <w:szCs w:val="24"/>
        </w:rPr>
        <w:t>名词解释</w:t>
      </w:r>
      <w:r>
        <w:rPr>
          <w:rFonts w:ascii="Times New Roman" w:hAnsi="Times New Roman" w:eastAsia="华文中宋" w:cs="Times New Roman"/>
          <w:color w:val="000000"/>
          <w:szCs w:val="24"/>
        </w:rPr>
        <w:tab/>
      </w:r>
      <w:r>
        <w:rPr>
          <w:rFonts w:ascii="Times New Roman" w:hAnsi="Times New Roman" w:eastAsia="华文中宋" w:cs="Times New Roman"/>
          <w:color w:val="000000"/>
          <w:szCs w:val="24"/>
        </w:rPr>
        <w:fldChar w:fldCharType="begin"/>
      </w:r>
      <w:r>
        <w:rPr>
          <w:rFonts w:ascii="Times New Roman" w:hAnsi="Times New Roman" w:eastAsia="华文中宋" w:cs="Times New Roman"/>
          <w:color w:val="000000"/>
          <w:szCs w:val="24"/>
        </w:rPr>
        <w:instrText xml:space="preserve"> PAGEREF _Toc443390044 \h </w:instrText>
      </w:r>
      <w:r>
        <w:rPr>
          <w:rFonts w:ascii="Times New Roman" w:hAnsi="Times New Roman" w:eastAsia="华文中宋" w:cs="Times New Roman"/>
          <w:color w:val="000000"/>
          <w:szCs w:val="24"/>
        </w:rPr>
        <w:fldChar w:fldCharType="separate"/>
      </w:r>
      <w:r>
        <w:rPr>
          <w:rFonts w:ascii="Times New Roman" w:hAnsi="Times New Roman" w:eastAsia="华文中宋" w:cs="Times New Roman"/>
          <w:color w:val="000000"/>
          <w:szCs w:val="24"/>
        </w:rPr>
        <w:t>- 56 -</w:t>
      </w:r>
      <w:r>
        <w:rPr>
          <w:rFonts w:ascii="Times New Roman" w:hAnsi="Times New Roman" w:eastAsia="华文中宋" w:cs="Times New Roman"/>
          <w:color w:val="000000"/>
          <w:szCs w:val="24"/>
        </w:rPr>
        <w:fldChar w:fldCharType="end"/>
      </w:r>
      <w:r>
        <w:rPr>
          <w:rFonts w:ascii="Times New Roman" w:hAnsi="Times New Roman" w:eastAsia="华文中宋" w:cs="Times New Roman"/>
          <w:color w:val="000000"/>
          <w:szCs w:val="24"/>
        </w:rPr>
        <w:fldChar w:fldCharType="end"/>
      </w:r>
    </w:p>
    <w:p w14:paraId="2B8DC505">
      <w:pPr>
        <w:spacing w:line="560" w:lineRule="exact"/>
        <w:jc w:val="center"/>
        <w:rPr>
          <w:rFonts w:ascii="Times New Roman" w:hAnsi="Times New Roman" w:eastAsia="方正小标宋简体" w:cs="Times New Roman"/>
          <w:b/>
          <w:color w:val="000000"/>
          <w:kern w:val="0"/>
          <w:sz w:val="44"/>
          <w:szCs w:val="32"/>
        </w:rPr>
        <w:sectPr>
          <w:footerReference r:id="rId5" w:type="default"/>
          <w:pgSz w:w="11906" w:h="16838"/>
          <w:pgMar w:top="1985" w:right="1588" w:bottom="2098" w:left="1474" w:header="851" w:footer="992" w:gutter="0"/>
          <w:pgNumType w:fmt="upperRoman" w:start="1"/>
          <w:cols w:space="720" w:num="1"/>
          <w:docGrid w:type="lines" w:linePitch="312" w:charSpace="0"/>
        </w:sectPr>
      </w:pPr>
      <w:r>
        <w:rPr>
          <w:rFonts w:ascii="Times New Roman" w:hAnsi="Times New Roman" w:eastAsia="华文中宋" w:cs="Times New Roman"/>
          <w:color w:val="000000"/>
          <w:szCs w:val="21"/>
        </w:rPr>
        <w:fldChar w:fldCharType="end"/>
      </w:r>
    </w:p>
    <w:p w14:paraId="02F66312">
      <w:pPr>
        <w:spacing w:line="640" w:lineRule="exact"/>
        <w:jc w:val="center"/>
        <w:rPr>
          <w:rFonts w:ascii="Times New Roman" w:hAnsi="Times New Roman" w:eastAsia="方正小标宋简体" w:cs="Times New Roman"/>
          <w:b/>
          <w:color w:val="000000"/>
          <w:kern w:val="0"/>
          <w:sz w:val="44"/>
          <w:szCs w:val="32"/>
        </w:rPr>
      </w:pPr>
      <w:r>
        <w:rPr>
          <w:rFonts w:hint="eastAsia" w:ascii="Times New Roman" w:hAnsi="Times New Roman" w:eastAsia="方正小标宋简体" w:cs="Times New Roman"/>
          <w:b/>
          <w:color w:val="000000"/>
          <w:kern w:val="0"/>
          <w:sz w:val="44"/>
          <w:szCs w:val="32"/>
        </w:rPr>
        <w:t>敖汉旗国民经济和社会发展</w:t>
      </w:r>
    </w:p>
    <w:p w14:paraId="5BE9292C">
      <w:pPr>
        <w:spacing w:line="640" w:lineRule="exact"/>
        <w:jc w:val="center"/>
        <w:rPr>
          <w:rFonts w:ascii="Times New Roman" w:hAnsi="Times New Roman" w:eastAsia="方正小标宋简体" w:cs="Times New Roman"/>
          <w:b/>
          <w:color w:val="000000"/>
          <w:kern w:val="0"/>
          <w:sz w:val="44"/>
          <w:szCs w:val="32"/>
        </w:rPr>
      </w:pPr>
      <w:r>
        <w:rPr>
          <w:rFonts w:hint="eastAsia" w:ascii="Times New Roman" w:hAnsi="Times New Roman" w:eastAsia="方正小标宋简体" w:cs="Times New Roman"/>
          <w:b/>
          <w:color w:val="000000"/>
          <w:kern w:val="0"/>
          <w:sz w:val="44"/>
          <w:szCs w:val="32"/>
        </w:rPr>
        <w:t>第十三个五年规划纲要</w:t>
      </w:r>
    </w:p>
    <w:p w14:paraId="696A2A2F">
      <w:pPr>
        <w:spacing w:line="540" w:lineRule="exact"/>
        <w:rPr>
          <w:rFonts w:ascii="Times New Roman" w:hAnsi="Times New Roman" w:eastAsia="楷体_GB2312" w:cs="Times New Roman"/>
          <w:color w:val="000000"/>
          <w:sz w:val="32"/>
        </w:rPr>
      </w:pPr>
    </w:p>
    <w:p w14:paraId="3DED9194">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时期，是敖汉旗全面建成小康社会的决胜阶段，科学编制和有效实施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规划，对于同步建成小康社会，加快建设现代化敖汉旗，具有重大意义。依据《中共中央关于制定国民经济和社会发展第十三个五年规划的建议》、《内蒙古自治区党委关于制定国民经济和社会发展第十三个五年规划的建议》、《中共赤峰市委关于制定国民经济和社会发展第十三个五年规划的建议》、《中共敖汉旗十四届九次全委（扩大）会议决议》等文件，编制本规划纲要。</w:t>
      </w:r>
      <w:bookmarkStart w:id="0" w:name="_Toc438543345"/>
      <w:bookmarkStart w:id="1" w:name="_Toc437823873"/>
      <w:bookmarkStart w:id="2" w:name="_Toc437819125"/>
    </w:p>
    <w:p w14:paraId="471D00BF">
      <w:pPr>
        <w:pStyle w:val="2"/>
        <w:spacing w:beforeLines="100" w:afterLines="100" w:line="640" w:lineRule="exact"/>
        <w:jc w:val="center"/>
        <w:rPr>
          <w:rFonts w:eastAsia="方正小标宋简体"/>
          <w:color w:val="000000"/>
          <w:sz w:val="36"/>
          <w:szCs w:val="36"/>
        </w:rPr>
      </w:pPr>
      <w:r>
        <w:rPr>
          <w:rFonts w:eastAsia="方正小标宋简体"/>
          <w:color w:val="000000"/>
          <w:sz w:val="36"/>
          <w:szCs w:val="36"/>
        </w:rPr>
        <w:t xml:space="preserve">  </w:t>
      </w:r>
      <w:bookmarkStart w:id="3" w:name="_Toc443390001"/>
      <w:r>
        <w:rPr>
          <w:rFonts w:hint="eastAsia" w:eastAsia="方正小标宋简体"/>
          <w:color w:val="000000"/>
          <w:sz w:val="36"/>
          <w:szCs w:val="36"/>
        </w:rPr>
        <w:t>第一章</w:t>
      </w:r>
      <w:r>
        <w:rPr>
          <w:rFonts w:eastAsia="方正小标宋简体"/>
          <w:color w:val="000000"/>
          <w:sz w:val="36"/>
          <w:szCs w:val="36"/>
        </w:rPr>
        <w:t xml:space="preserve">  </w:t>
      </w:r>
      <w:r>
        <w:rPr>
          <w:rFonts w:hint="eastAsia" w:eastAsia="方正小标宋简体"/>
          <w:color w:val="000000"/>
          <w:sz w:val="36"/>
          <w:szCs w:val="36"/>
        </w:rPr>
        <w:t>发展基础和发展环境</w:t>
      </w:r>
      <w:bookmarkEnd w:id="0"/>
      <w:bookmarkEnd w:id="1"/>
      <w:bookmarkEnd w:id="2"/>
      <w:bookmarkEnd w:id="3"/>
      <w:bookmarkStart w:id="4" w:name="_Toc437819126"/>
      <w:bookmarkStart w:id="5" w:name="_Toc438543346"/>
      <w:bookmarkStart w:id="6" w:name="_Toc437823874"/>
    </w:p>
    <w:p w14:paraId="30E5FA79">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十二五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期间，敖汉旗经济社会发展取得新的重大成就，为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时期发展奠定了坚实基础。</w:t>
      </w:r>
    </w:p>
    <w:p w14:paraId="0F24704C">
      <w:pPr>
        <w:pStyle w:val="3"/>
        <w:spacing w:beforeLines="50" w:afterLines="50" w:line="640" w:lineRule="exact"/>
        <w:jc w:val="center"/>
        <w:rPr>
          <w:rFonts w:ascii="Times New Roman" w:hAnsi="Times New Roman" w:eastAsia="黑体"/>
          <w:color w:val="000000"/>
        </w:rPr>
      </w:pPr>
      <w:bookmarkStart w:id="7" w:name="_Toc443390002"/>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发展基础</w:t>
      </w:r>
      <w:bookmarkEnd w:id="4"/>
      <w:bookmarkEnd w:id="5"/>
      <w:bookmarkEnd w:id="6"/>
      <w:bookmarkEnd w:id="7"/>
      <w:bookmarkStart w:id="8" w:name="_Toc427308663"/>
    </w:p>
    <w:p w14:paraId="3A50375F">
      <w:pPr>
        <w:spacing w:line="6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综合实力实现新跨越。</w:t>
      </w:r>
      <w:bookmarkStart w:id="9" w:name="_Toc427308664"/>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十二五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期末，地区生产总值实现</w:t>
      </w:r>
      <w:r>
        <w:rPr>
          <w:rFonts w:ascii="Times New Roman" w:hAnsi="Times New Roman" w:eastAsia="仿宋_GB2312" w:cs="Times New Roman"/>
          <w:color w:val="000000"/>
          <w:sz w:val="32"/>
          <w:szCs w:val="32"/>
        </w:rPr>
        <w:t>164</w:t>
      </w:r>
      <w:r>
        <w:rPr>
          <w:rFonts w:hint="eastAsia" w:ascii="Times New Roman" w:hAnsi="Times New Roman" w:eastAsia="仿宋_GB2312" w:cs="Times New Roman"/>
          <w:color w:val="000000"/>
          <w:sz w:val="32"/>
          <w:szCs w:val="32"/>
        </w:rPr>
        <w:t>亿元，是</w:t>
      </w:r>
      <w:r>
        <w:rPr>
          <w:rFonts w:ascii="Times New Roman" w:hAnsi="Times New Roman" w:eastAsia="仿宋_GB2312" w:cs="Times New Roman"/>
          <w:color w:val="000000"/>
          <w:sz w:val="32"/>
          <w:szCs w:val="32"/>
        </w:rPr>
        <w:t>2010</w:t>
      </w:r>
      <w:r>
        <w:rPr>
          <w:rFonts w:hint="eastAsia" w:ascii="Times New Roman" w:hAnsi="Times New Roman" w:eastAsia="仿宋_GB2312" w:cs="Times New Roman"/>
          <w:color w:val="000000"/>
          <w:sz w:val="32"/>
          <w:szCs w:val="32"/>
        </w:rPr>
        <w:t>年的</w:t>
      </w:r>
      <w:r>
        <w:rPr>
          <w:rFonts w:ascii="Times New Roman" w:hAnsi="Times New Roman" w:eastAsia="仿宋_GB2312" w:cs="Times New Roman"/>
          <w:color w:val="000000"/>
          <w:sz w:val="32"/>
          <w:szCs w:val="32"/>
        </w:rPr>
        <w:t>1.8</w:t>
      </w:r>
      <w:r>
        <w:rPr>
          <w:rFonts w:hint="eastAsia" w:ascii="Times New Roman" w:hAnsi="Times New Roman" w:eastAsia="仿宋_GB2312" w:cs="Times New Roman"/>
          <w:color w:val="000000"/>
          <w:sz w:val="32"/>
          <w:szCs w:val="32"/>
        </w:rPr>
        <w:t>倍，年均增长</w:t>
      </w:r>
      <w:r>
        <w:rPr>
          <w:rFonts w:ascii="Times New Roman" w:hAnsi="Times New Roman" w:eastAsia="仿宋_GB2312" w:cs="Times New Roman"/>
          <w:color w:val="000000"/>
          <w:sz w:val="32"/>
          <w:szCs w:val="32"/>
        </w:rPr>
        <w:t>12.1%</w:t>
      </w:r>
      <w:r>
        <w:rPr>
          <w:rFonts w:hint="eastAsia" w:ascii="Times New Roman" w:hAnsi="Times New Roman" w:eastAsia="仿宋_GB2312" w:cs="Times New Roman"/>
          <w:color w:val="000000"/>
          <w:sz w:val="32"/>
          <w:szCs w:val="32"/>
        </w:rPr>
        <w:t>；公共财政预算收入</w:t>
      </w:r>
      <w:r>
        <w:rPr>
          <w:rFonts w:ascii="Times New Roman" w:hAnsi="Times New Roman" w:eastAsia="仿宋_GB2312" w:cs="Times New Roman"/>
          <w:color w:val="000000"/>
          <w:sz w:val="32"/>
          <w:szCs w:val="32"/>
        </w:rPr>
        <w:t>5.58</w:t>
      </w:r>
      <w:r>
        <w:rPr>
          <w:rFonts w:hint="eastAsia" w:ascii="Times New Roman" w:hAnsi="Times New Roman" w:eastAsia="仿宋_GB2312" w:cs="Times New Roman"/>
          <w:color w:val="000000"/>
          <w:sz w:val="32"/>
          <w:szCs w:val="32"/>
        </w:rPr>
        <w:t>亿元，是</w:t>
      </w:r>
      <w:r>
        <w:rPr>
          <w:rFonts w:ascii="Times New Roman" w:hAnsi="Times New Roman" w:eastAsia="仿宋_GB2312" w:cs="Times New Roman"/>
          <w:color w:val="000000"/>
          <w:sz w:val="32"/>
          <w:szCs w:val="32"/>
        </w:rPr>
        <w:t>2010</w:t>
      </w:r>
      <w:r>
        <w:rPr>
          <w:rFonts w:hint="eastAsia" w:ascii="Times New Roman" w:hAnsi="Times New Roman" w:eastAsia="仿宋_GB2312" w:cs="Times New Roman"/>
          <w:color w:val="000000"/>
          <w:sz w:val="32"/>
          <w:szCs w:val="32"/>
        </w:rPr>
        <w:t>年的</w:t>
      </w:r>
      <w:r>
        <w:rPr>
          <w:rFonts w:ascii="Times New Roman" w:hAnsi="Times New Roman" w:eastAsia="仿宋_GB2312" w:cs="Times New Roman"/>
          <w:color w:val="000000"/>
          <w:sz w:val="32"/>
          <w:szCs w:val="32"/>
        </w:rPr>
        <w:t>2.2</w:t>
      </w:r>
      <w:r>
        <w:rPr>
          <w:rFonts w:hint="eastAsia" w:ascii="Times New Roman" w:hAnsi="Times New Roman" w:eastAsia="仿宋_GB2312" w:cs="Times New Roman"/>
          <w:color w:val="000000"/>
          <w:sz w:val="32"/>
          <w:szCs w:val="32"/>
        </w:rPr>
        <w:t>倍，年均增长</w:t>
      </w:r>
      <w:r>
        <w:rPr>
          <w:rFonts w:ascii="Times New Roman" w:hAnsi="Times New Roman" w:eastAsia="仿宋_GB2312" w:cs="Times New Roman"/>
          <w:color w:val="000000"/>
          <w:sz w:val="32"/>
          <w:szCs w:val="32"/>
        </w:rPr>
        <w:t>16.5%</w:t>
      </w:r>
      <w:r>
        <w:rPr>
          <w:rFonts w:hint="eastAsia" w:ascii="Times New Roman" w:hAnsi="Times New Roman" w:eastAsia="仿宋_GB2312" w:cs="Times New Roman"/>
          <w:color w:val="000000"/>
          <w:sz w:val="32"/>
          <w:szCs w:val="32"/>
        </w:rPr>
        <w:t>；全社会固定资产投资完成</w:t>
      </w:r>
      <w:r>
        <w:rPr>
          <w:rFonts w:ascii="Times New Roman" w:hAnsi="Times New Roman" w:eastAsia="仿宋_GB2312" w:cs="Times New Roman"/>
          <w:color w:val="000000"/>
          <w:sz w:val="32"/>
          <w:szCs w:val="32"/>
        </w:rPr>
        <w:t>108.3</w:t>
      </w:r>
      <w:r>
        <w:rPr>
          <w:rFonts w:hint="eastAsia" w:ascii="Times New Roman" w:hAnsi="Times New Roman" w:eastAsia="仿宋_GB2312" w:cs="Times New Roman"/>
          <w:color w:val="000000"/>
          <w:sz w:val="32"/>
          <w:szCs w:val="32"/>
        </w:rPr>
        <w:t>亿元，是</w:t>
      </w:r>
      <w:r>
        <w:rPr>
          <w:rFonts w:ascii="Times New Roman" w:hAnsi="Times New Roman" w:eastAsia="仿宋_GB2312" w:cs="Times New Roman"/>
          <w:color w:val="000000"/>
          <w:sz w:val="32"/>
          <w:szCs w:val="32"/>
        </w:rPr>
        <w:t>2010</w:t>
      </w:r>
      <w:r>
        <w:rPr>
          <w:rFonts w:hint="eastAsia" w:ascii="Times New Roman" w:hAnsi="Times New Roman" w:eastAsia="仿宋_GB2312" w:cs="Times New Roman"/>
          <w:color w:val="000000"/>
          <w:sz w:val="32"/>
          <w:szCs w:val="32"/>
        </w:rPr>
        <w:t>年的</w:t>
      </w:r>
      <w:r>
        <w:rPr>
          <w:rFonts w:ascii="Times New Roman" w:hAnsi="Times New Roman" w:eastAsia="仿宋_GB2312" w:cs="Times New Roman"/>
          <w:color w:val="000000"/>
          <w:sz w:val="32"/>
          <w:szCs w:val="32"/>
        </w:rPr>
        <w:t>1.8</w:t>
      </w:r>
      <w:r>
        <w:rPr>
          <w:rFonts w:hint="eastAsia" w:ascii="Times New Roman" w:hAnsi="Times New Roman" w:eastAsia="仿宋_GB2312" w:cs="Times New Roman"/>
          <w:color w:val="000000"/>
          <w:sz w:val="32"/>
          <w:szCs w:val="32"/>
        </w:rPr>
        <w:t>倍，年均增长</w:t>
      </w:r>
      <w:r>
        <w:rPr>
          <w:rFonts w:ascii="Times New Roman" w:hAnsi="Times New Roman" w:eastAsia="仿宋_GB2312" w:cs="Times New Roman"/>
          <w:color w:val="000000"/>
          <w:sz w:val="32"/>
          <w:szCs w:val="32"/>
        </w:rPr>
        <w:t>11.8%</w:t>
      </w:r>
      <w:r>
        <w:rPr>
          <w:rFonts w:hint="eastAsia" w:ascii="Times New Roman" w:hAnsi="Times New Roman" w:eastAsia="仿宋_GB2312" w:cs="Times New Roman"/>
          <w:color w:val="000000"/>
          <w:sz w:val="32"/>
          <w:szCs w:val="32"/>
        </w:rPr>
        <w:t>；社会消费品零售总额实现</w:t>
      </w:r>
      <w:r>
        <w:rPr>
          <w:rFonts w:ascii="Times New Roman" w:hAnsi="Times New Roman" w:eastAsia="仿宋_GB2312" w:cs="Times New Roman"/>
          <w:color w:val="000000"/>
          <w:sz w:val="32"/>
          <w:szCs w:val="32"/>
        </w:rPr>
        <w:t>42.6</w:t>
      </w:r>
      <w:r>
        <w:rPr>
          <w:rFonts w:hint="eastAsia" w:ascii="Times New Roman" w:hAnsi="Times New Roman" w:eastAsia="仿宋_GB2312" w:cs="Times New Roman"/>
          <w:color w:val="000000"/>
          <w:sz w:val="32"/>
          <w:szCs w:val="32"/>
        </w:rPr>
        <w:t>亿元，是</w:t>
      </w:r>
      <w:r>
        <w:rPr>
          <w:rFonts w:ascii="Times New Roman" w:hAnsi="Times New Roman" w:eastAsia="仿宋_GB2312" w:cs="Times New Roman"/>
          <w:color w:val="000000"/>
          <w:sz w:val="32"/>
          <w:szCs w:val="32"/>
        </w:rPr>
        <w:t>2010</w:t>
      </w:r>
      <w:r>
        <w:rPr>
          <w:rFonts w:hint="eastAsia" w:ascii="Times New Roman" w:hAnsi="Times New Roman" w:eastAsia="仿宋_GB2312" w:cs="Times New Roman"/>
          <w:color w:val="000000"/>
          <w:sz w:val="32"/>
          <w:szCs w:val="32"/>
        </w:rPr>
        <w:t>年的</w:t>
      </w:r>
      <w:r>
        <w:rPr>
          <w:rFonts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rPr>
        <w:t>倍，年均增长</w:t>
      </w:r>
      <w:r>
        <w:rPr>
          <w:rFonts w:ascii="Times New Roman" w:hAnsi="Times New Roman" w:eastAsia="仿宋_GB2312" w:cs="Times New Roman"/>
          <w:color w:val="000000"/>
          <w:sz w:val="32"/>
          <w:szCs w:val="32"/>
        </w:rPr>
        <w:t>13.9%</w:t>
      </w:r>
      <w:r>
        <w:rPr>
          <w:rFonts w:hint="eastAsia" w:ascii="Times New Roman" w:hAnsi="Times New Roman" w:eastAsia="仿宋_GB2312" w:cs="Times New Roman"/>
          <w:color w:val="000000"/>
          <w:sz w:val="32"/>
          <w:szCs w:val="32"/>
        </w:rPr>
        <w:t>；城乡居民收入分别达到</w:t>
      </w:r>
      <w:r>
        <w:rPr>
          <w:rFonts w:ascii="Times New Roman" w:hAnsi="Times New Roman" w:eastAsia="仿宋_GB2312" w:cs="Times New Roman"/>
          <w:color w:val="000000"/>
          <w:sz w:val="32"/>
          <w:szCs w:val="32"/>
        </w:rPr>
        <w:t>22328</w:t>
      </w:r>
      <w:r>
        <w:rPr>
          <w:rFonts w:hint="eastAsia" w:ascii="Times New Roman" w:hAnsi="Times New Roman" w:eastAsia="仿宋_GB2312" w:cs="Times New Roman"/>
          <w:color w:val="000000"/>
          <w:sz w:val="32"/>
          <w:szCs w:val="32"/>
        </w:rPr>
        <w:t>元和</w:t>
      </w:r>
      <w:r>
        <w:rPr>
          <w:rFonts w:ascii="Times New Roman" w:hAnsi="Times New Roman" w:eastAsia="仿宋_GB2312" w:cs="Times New Roman"/>
          <w:color w:val="000000"/>
          <w:sz w:val="32"/>
          <w:szCs w:val="32"/>
        </w:rPr>
        <w:t>8692</w:t>
      </w:r>
      <w:r>
        <w:rPr>
          <w:rFonts w:hint="eastAsia" w:ascii="Times New Roman" w:hAnsi="Times New Roman" w:eastAsia="仿宋_GB2312" w:cs="Times New Roman"/>
          <w:color w:val="000000"/>
          <w:sz w:val="32"/>
          <w:szCs w:val="32"/>
        </w:rPr>
        <w:t>元，年均分别增长</w:t>
      </w:r>
      <w:r>
        <w:rPr>
          <w:rFonts w:ascii="Times New Roman" w:hAnsi="Times New Roman" w:eastAsia="仿宋_GB2312" w:cs="Times New Roman"/>
          <w:color w:val="000000"/>
          <w:sz w:val="32"/>
          <w:szCs w:val="32"/>
        </w:rPr>
        <w:t xml:space="preserve">12.5% </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12.9%</w:t>
      </w:r>
      <w:r>
        <w:rPr>
          <w:rFonts w:hint="eastAsia" w:ascii="Times New Roman" w:hAnsi="Times New Roman" w:eastAsia="仿宋_GB2312" w:cs="Times New Roman"/>
          <w:color w:val="000000"/>
          <w:sz w:val="32"/>
          <w:szCs w:val="32"/>
        </w:rPr>
        <w:t>。</w:t>
      </w:r>
    </w:p>
    <w:p w14:paraId="0C7EEDD7">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产业发展取得新突破</w:t>
      </w:r>
      <w:bookmarkEnd w:id="9"/>
      <w:r>
        <w:rPr>
          <w:rFonts w:hint="eastAsia" w:ascii="Times New Roman" w:hAnsi="Times New Roman" w:eastAsia="楷体_GB2312" w:cs="Times New Roman"/>
          <w:color w:val="000000"/>
          <w:sz w:val="32"/>
          <w:szCs w:val="32"/>
        </w:rPr>
        <w:t>。</w:t>
      </w:r>
      <w:r>
        <w:rPr>
          <w:rFonts w:hint="eastAsia" w:ascii="Times New Roman" w:hAnsi="Times New Roman" w:eastAsia="仿宋_GB2312" w:cs="Times New Roman"/>
          <w:color w:val="000000"/>
          <w:sz w:val="32"/>
          <w:szCs w:val="32"/>
        </w:rPr>
        <w:t>农畜产品加工迅猛发展，工业经济规模显著跃升，文化旅游品牌效应凸显，金融物流快速发展。粮食综合生产能力再上新台阶，五年总产量达到</w:t>
      </w:r>
      <w:r>
        <w:rPr>
          <w:rFonts w:ascii="Times New Roman" w:hAnsi="Times New Roman" w:eastAsia="仿宋_GB2312" w:cs="Times New Roman"/>
          <w:color w:val="000000"/>
          <w:sz w:val="32"/>
          <w:szCs w:val="32"/>
        </w:rPr>
        <w:t>120</w:t>
      </w:r>
      <w:r>
        <w:rPr>
          <w:rFonts w:hint="eastAsia" w:ascii="Times New Roman" w:hAnsi="Times New Roman" w:eastAsia="仿宋_GB2312" w:cs="Times New Roman"/>
          <w:color w:val="000000"/>
          <w:sz w:val="32"/>
          <w:szCs w:val="32"/>
        </w:rPr>
        <w:t>亿斤。畜牧业效益明显提升，</w:t>
      </w:r>
      <w:r>
        <w:rPr>
          <w:rFonts w:ascii="Times New Roman" w:hAnsi="Times New Roman" w:eastAsia="仿宋_GB2312" w:cs="Times New Roman"/>
          <w:color w:val="000000"/>
          <w:sz w:val="32"/>
          <w:szCs w:val="32"/>
        </w:rPr>
        <w:t>2015</w:t>
      </w:r>
      <w:r>
        <w:rPr>
          <w:rFonts w:hint="eastAsia" w:ascii="Times New Roman" w:hAnsi="Times New Roman" w:eastAsia="仿宋_GB2312" w:cs="Times New Roman"/>
          <w:color w:val="000000"/>
          <w:sz w:val="32"/>
          <w:szCs w:val="32"/>
        </w:rPr>
        <w:t>年全旗牲畜存栏</w:t>
      </w:r>
      <w:r>
        <w:rPr>
          <w:rFonts w:ascii="Times New Roman" w:hAnsi="Times New Roman" w:eastAsia="仿宋_GB2312" w:cs="Times New Roman"/>
          <w:color w:val="000000"/>
          <w:sz w:val="32"/>
          <w:szCs w:val="32"/>
        </w:rPr>
        <w:t>289.7</w:t>
      </w:r>
      <w:r>
        <w:rPr>
          <w:rFonts w:hint="eastAsia" w:ascii="Times New Roman" w:hAnsi="Times New Roman" w:eastAsia="仿宋_GB2312" w:cs="Times New Roman"/>
          <w:color w:val="000000"/>
          <w:sz w:val="32"/>
          <w:szCs w:val="32"/>
        </w:rPr>
        <w:t>万头只、出栏</w:t>
      </w:r>
      <w:r>
        <w:rPr>
          <w:rFonts w:ascii="Times New Roman" w:hAnsi="Times New Roman" w:eastAsia="仿宋_GB2312" w:cs="Times New Roman"/>
          <w:color w:val="000000"/>
          <w:sz w:val="32"/>
          <w:szCs w:val="32"/>
        </w:rPr>
        <w:t>253</w:t>
      </w:r>
      <w:r>
        <w:rPr>
          <w:rFonts w:hint="eastAsia" w:ascii="Times New Roman" w:hAnsi="Times New Roman" w:eastAsia="仿宋_GB2312" w:cs="Times New Roman"/>
          <w:color w:val="000000"/>
          <w:sz w:val="32"/>
          <w:szCs w:val="32"/>
        </w:rPr>
        <w:t>万头只。</w:t>
      </w:r>
      <w:bookmarkStart w:id="10" w:name="_Toc427308665"/>
      <w:r>
        <w:rPr>
          <w:rFonts w:hint="eastAsia" w:ascii="Times New Roman" w:hAnsi="Times New Roman" w:eastAsia="仿宋_GB2312" w:cs="Times New Roman"/>
          <w:color w:val="000000"/>
          <w:sz w:val="32"/>
          <w:szCs w:val="32"/>
        </w:rPr>
        <w:t>三次产业结构进一步优化，由</w:t>
      </w:r>
      <w:r>
        <w:rPr>
          <w:rFonts w:ascii="Times New Roman" w:hAnsi="Times New Roman" w:eastAsia="仿宋_GB2312" w:cs="Times New Roman"/>
          <w:color w:val="000000"/>
          <w:sz w:val="32"/>
          <w:szCs w:val="32"/>
        </w:rPr>
        <w:t>2010</w:t>
      </w:r>
      <w:r>
        <w:rPr>
          <w:rFonts w:hint="eastAsia" w:ascii="Times New Roman" w:hAnsi="Times New Roman" w:eastAsia="仿宋_GB2312" w:cs="Times New Roman"/>
          <w:color w:val="000000"/>
          <w:sz w:val="32"/>
          <w:szCs w:val="32"/>
        </w:rPr>
        <w:t>年的</w:t>
      </w:r>
      <w:r>
        <w:rPr>
          <w:rFonts w:ascii="Times New Roman" w:hAnsi="Times New Roman" w:eastAsia="仿宋_GB2312" w:cs="Times New Roman"/>
          <w:color w:val="000000"/>
          <w:sz w:val="32"/>
          <w:szCs w:val="32"/>
        </w:rPr>
        <w:t>28.5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43.5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28</w:t>
      </w:r>
      <w:r>
        <w:rPr>
          <w:rFonts w:hint="eastAsia" w:ascii="Times New Roman" w:hAnsi="Times New Roman" w:eastAsia="仿宋_GB2312" w:cs="Times New Roman"/>
          <w:color w:val="000000"/>
          <w:sz w:val="32"/>
          <w:szCs w:val="32"/>
        </w:rPr>
        <w:t>调整为</w:t>
      </w:r>
      <w:r>
        <w:rPr>
          <w:rFonts w:ascii="Times New Roman" w:hAnsi="Times New Roman" w:eastAsia="仿宋_GB2312" w:cs="Times New Roman"/>
          <w:color w:val="000000"/>
          <w:sz w:val="32"/>
          <w:szCs w:val="32"/>
        </w:rPr>
        <w:t>25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42.7</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32.3</w:t>
      </w:r>
      <w:r>
        <w:rPr>
          <w:rFonts w:hint="eastAsia" w:ascii="Times New Roman" w:hAnsi="Times New Roman" w:eastAsia="仿宋_GB2312" w:cs="Times New Roman"/>
          <w:color w:val="000000"/>
          <w:sz w:val="32"/>
          <w:szCs w:val="32"/>
        </w:rPr>
        <w:t>。</w:t>
      </w:r>
    </w:p>
    <w:p w14:paraId="67AF0AB9">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基础建设得到新改善。</w:t>
      </w:r>
      <w:bookmarkEnd w:id="10"/>
      <w:bookmarkStart w:id="11" w:name="_Toc427308667"/>
      <w:r>
        <w:rPr>
          <w:rFonts w:hint="eastAsia" w:ascii="Times New Roman" w:hAnsi="Times New Roman" w:eastAsia="仿宋_GB2312" w:cs="Times New Roman"/>
          <w:color w:val="000000"/>
          <w:sz w:val="32"/>
          <w:szCs w:val="32"/>
        </w:rPr>
        <w:t>城乡建设日新月异，城镇人口达到</w:t>
      </w:r>
      <w:r>
        <w:rPr>
          <w:rFonts w:ascii="Times New Roman" w:hAnsi="Times New Roman" w:eastAsia="仿宋_GB2312" w:cs="Times New Roman"/>
          <w:color w:val="000000"/>
          <w:sz w:val="32"/>
          <w:szCs w:val="32"/>
        </w:rPr>
        <w:t>22.5</w:t>
      </w:r>
      <w:r>
        <w:rPr>
          <w:rFonts w:hint="eastAsia" w:ascii="Times New Roman" w:hAnsi="Times New Roman" w:eastAsia="仿宋_GB2312" w:cs="Times New Roman"/>
          <w:color w:val="000000"/>
          <w:sz w:val="32"/>
          <w:szCs w:val="32"/>
        </w:rPr>
        <w:t>万人，城镇化率达到</w:t>
      </w:r>
      <w:r>
        <w:rPr>
          <w:rFonts w:ascii="Times New Roman" w:hAnsi="Times New Roman" w:eastAsia="仿宋_GB2312" w:cs="Times New Roman"/>
          <w:color w:val="000000"/>
          <w:sz w:val="32"/>
          <w:szCs w:val="32"/>
        </w:rPr>
        <w:t>37.44%</w:t>
      </w:r>
      <w:r>
        <w:rPr>
          <w:rFonts w:hint="eastAsia" w:ascii="Times New Roman" w:hAnsi="Times New Roman" w:eastAsia="仿宋_GB2312" w:cs="Times New Roman"/>
          <w:color w:val="000000"/>
          <w:sz w:val="32"/>
          <w:szCs w:val="32"/>
        </w:rPr>
        <w:t>，新惠镇、四家子镇、长胜镇、下洼镇被评为全国重点镇。全旗有林面积达到</w:t>
      </w:r>
      <w:r>
        <w:rPr>
          <w:rFonts w:ascii="Times New Roman" w:hAnsi="Times New Roman" w:eastAsia="仿宋_GB2312" w:cs="Times New Roman"/>
          <w:color w:val="000000"/>
          <w:sz w:val="32"/>
          <w:szCs w:val="32"/>
        </w:rPr>
        <w:t>572</w:t>
      </w:r>
      <w:r>
        <w:rPr>
          <w:rFonts w:hint="eastAsia" w:ascii="Times New Roman" w:hAnsi="Times New Roman" w:eastAsia="仿宋_GB2312" w:cs="Times New Roman"/>
          <w:color w:val="000000"/>
          <w:sz w:val="32"/>
          <w:szCs w:val="32"/>
        </w:rPr>
        <w:t>万亩，森林覆被率达到</w:t>
      </w:r>
      <w:r>
        <w:rPr>
          <w:rFonts w:ascii="Times New Roman" w:hAnsi="Times New Roman" w:eastAsia="仿宋_GB2312" w:cs="Times New Roman"/>
          <w:color w:val="000000"/>
          <w:sz w:val="32"/>
          <w:szCs w:val="32"/>
        </w:rPr>
        <w:t>43.8%</w:t>
      </w:r>
      <w:r>
        <w:rPr>
          <w:rFonts w:hint="eastAsia" w:ascii="Times New Roman" w:hAnsi="Times New Roman" w:eastAsia="仿宋_GB2312" w:cs="Times New Roman"/>
          <w:color w:val="000000"/>
          <w:sz w:val="32"/>
          <w:szCs w:val="32"/>
        </w:rPr>
        <w:t>。新建高效节水膜下滴灌面积</w:t>
      </w:r>
      <w:r>
        <w:rPr>
          <w:rFonts w:ascii="Times New Roman" w:hAnsi="Times New Roman" w:eastAsia="仿宋_GB2312" w:cs="Times New Roman"/>
          <w:color w:val="000000"/>
          <w:sz w:val="32"/>
          <w:szCs w:val="32"/>
        </w:rPr>
        <w:t>91.7</w:t>
      </w:r>
      <w:r>
        <w:rPr>
          <w:rFonts w:hint="eastAsia" w:ascii="Times New Roman" w:hAnsi="Times New Roman" w:eastAsia="仿宋_GB2312" w:cs="Times New Roman"/>
          <w:color w:val="000000"/>
          <w:sz w:val="32"/>
          <w:szCs w:val="32"/>
        </w:rPr>
        <w:t>万亩，位居全市第一。萨新一级路建成通车，省道</w:t>
      </w:r>
      <w:r>
        <w:rPr>
          <w:rFonts w:ascii="Times New Roman" w:hAnsi="Times New Roman" w:eastAsia="仿宋_GB2312" w:cs="Times New Roman"/>
          <w:color w:val="000000"/>
          <w:sz w:val="32"/>
          <w:szCs w:val="32"/>
        </w:rPr>
        <w:t>210</w:t>
      </w:r>
      <w:r>
        <w:rPr>
          <w:rFonts w:hint="eastAsia" w:ascii="Times New Roman" w:hAnsi="Times New Roman" w:eastAsia="仿宋_GB2312" w:cs="Times New Roman"/>
          <w:color w:val="000000"/>
          <w:sz w:val="32"/>
          <w:szCs w:val="32"/>
        </w:rPr>
        <w:t>线新惠至老虎山段一级公路全面启动，行政村通油路率达到</w:t>
      </w:r>
      <w:r>
        <w:rPr>
          <w:rFonts w:ascii="Times New Roman" w:hAnsi="Times New Roman" w:eastAsia="仿宋_GB2312" w:cs="Times New Roman"/>
          <w:color w:val="000000"/>
          <w:sz w:val="32"/>
          <w:szCs w:val="32"/>
        </w:rPr>
        <w:t>91%</w:t>
      </w:r>
      <w:r>
        <w:rPr>
          <w:rFonts w:hint="eastAsia" w:ascii="Times New Roman" w:hAnsi="Times New Roman" w:eastAsia="仿宋_GB2312" w:cs="Times New Roman"/>
          <w:color w:val="000000"/>
          <w:sz w:val="32"/>
          <w:szCs w:val="32"/>
        </w:rPr>
        <w:t>，高效便捷的交通网络初步形成。实施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引哈入惠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西部三乡镇饮水安全工程和北部五乡镇饮水工程，解决了</w:t>
      </w:r>
      <w:r>
        <w:rPr>
          <w:rFonts w:ascii="Times New Roman" w:hAnsi="Times New Roman" w:eastAsia="仿宋_GB2312" w:cs="Times New Roman"/>
          <w:color w:val="000000"/>
          <w:sz w:val="32"/>
          <w:szCs w:val="32"/>
        </w:rPr>
        <w:t>23</w:t>
      </w:r>
      <w:r>
        <w:rPr>
          <w:rFonts w:hint="eastAsia" w:ascii="Times New Roman" w:hAnsi="Times New Roman" w:eastAsia="仿宋_GB2312" w:cs="Times New Roman"/>
          <w:color w:val="000000"/>
          <w:sz w:val="32"/>
          <w:szCs w:val="32"/>
        </w:rPr>
        <w:t>万人饮水困难问题。新建了六个</w:t>
      </w:r>
      <w:r>
        <w:rPr>
          <w:rFonts w:ascii="Times New Roman" w:hAnsi="Times New Roman" w:eastAsia="仿宋_GB2312" w:cs="Times New Roman"/>
          <w:color w:val="000000"/>
          <w:sz w:val="32"/>
          <w:szCs w:val="32"/>
        </w:rPr>
        <w:t>66</w:t>
      </w:r>
      <w:r>
        <w:rPr>
          <w:rFonts w:hint="eastAsia" w:ascii="Times New Roman" w:hAnsi="Times New Roman" w:eastAsia="仿宋_GB2312" w:cs="Times New Roman"/>
          <w:color w:val="000000"/>
          <w:sz w:val="32"/>
          <w:szCs w:val="32"/>
        </w:rPr>
        <w:t>千伏送变电工程和一个</w:t>
      </w:r>
      <w:r>
        <w:rPr>
          <w:rFonts w:ascii="Times New Roman" w:hAnsi="Times New Roman" w:eastAsia="仿宋_GB2312" w:cs="Times New Roman"/>
          <w:color w:val="000000"/>
          <w:sz w:val="32"/>
          <w:szCs w:val="32"/>
        </w:rPr>
        <w:t>220</w:t>
      </w:r>
      <w:r>
        <w:rPr>
          <w:rFonts w:hint="eastAsia" w:ascii="Times New Roman" w:hAnsi="Times New Roman" w:eastAsia="仿宋_GB2312" w:cs="Times New Roman"/>
          <w:color w:val="000000"/>
          <w:sz w:val="32"/>
          <w:szCs w:val="32"/>
        </w:rPr>
        <w:t>千伏变电站，城乡居民用电实现同网同价。</w:t>
      </w:r>
    </w:p>
    <w:p w14:paraId="6D3E5E6A">
      <w:pPr>
        <w:spacing w:line="64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民生保障获得新提升。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十个全覆盖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工程加速实施，农村整体形象大幅改善。扶贫开发成效显著，</w:t>
      </w:r>
      <w:r>
        <w:rPr>
          <w:rFonts w:ascii="Times New Roman" w:hAnsi="Times New Roman" w:eastAsia="仿宋_GB2312" w:cs="Times New Roman"/>
          <w:color w:val="000000"/>
          <w:sz w:val="32"/>
          <w:szCs w:val="32"/>
        </w:rPr>
        <w:t>8.11</w:t>
      </w:r>
      <w:r>
        <w:rPr>
          <w:rFonts w:hint="eastAsia" w:ascii="Times New Roman" w:hAnsi="Times New Roman" w:eastAsia="仿宋_GB2312" w:cs="Times New Roman"/>
          <w:color w:val="000000"/>
          <w:sz w:val="32"/>
          <w:szCs w:val="32"/>
        </w:rPr>
        <w:t>万人实现稳定脱贫。基础教育均衡发展，民族教育、职业教育和特殊教育协调布局，校安工程积极推进。城乡养老保险全面铺开，城乡居民养老、医疗保险参保率提高到</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以上。公共文化服务体系进一步完善，</w:t>
      </w:r>
      <w:r>
        <w:rPr>
          <w:rFonts w:ascii="Times New Roman" w:hAnsi="Times New Roman" w:eastAsia="仿宋_GB2312" w:cs="Times New Roman"/>
          <w:color w:val="000000"/>
          <w:sz w:val="32"/>
          <w:szCs w:val="32"/>
        </w:rPr>
        <w:t>2.95</w:t>
      </w:r>
      <w:r>
        <w:rPr>
          <w:rFonts w:hint="eastAsia" w:ascii="Times New Roman" w:hAnsi="Times New Roman" w:eastAsia="仿宋_GB2312" w:cs="Times New Roman"/>
          <w:color w:val="000000"/>
          <w:sz w:val="32"/>
          <w:szCs w:val="32"/>
        </w:rPr>
        <w:t>万户广播电视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户户通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工程全部完工。</w:t>
      </w:r>
      <w:bookmarkEnd w:id="11"/>
      <w:bookmarkStart w:id="12" w:name="_Toc427308670"/>
    </w:p>
    <w:p w14:paraId="187A5D42">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改革开放迈出新步伐。</w:t>
      </w:r>
      <w:bookmarkEnd w:id="8"/>
      <w:bookmarkEnd w:id="12"/>
      <w:bookmarkStart w:id="13" w:name="_Toc427501050"/>
      <w:bookmarkStart w:id="14" w:name="_Toc427308672"/>
      <w:r>
        <w:rPr>
          <w:rFonts w:hint="eastAsia" w:ascii="Times New Roman" w:hAnsi="Times New Roman" w:eastAsia="仿宋_GB2312" w:cs="Times New Roman"/>
          <w:color w:val="000000"/>
          <w:sz w:val="32"/>
          <w:szCs w:val="32"/>
        </w:rPr>
        <w:t>深入践行党的群众路线，依法治旗开启新征程。成功举办世界小米大会、中国兴隆洼文化节。成立全面深化改革领导小组，深化行政审批制度改革，审批事项由</w:t>
      </w:r>
      <w:r>
        <w:rPr>
          <w:rFonts w:ascii="Times New Roman" w:hAnsi="Times New Roman" w:eastAsia="仿宋_GB2312" w:cs="Times New Roman"/>
          <w:color w:val="000000"/>
          <w:sz w:val="32"/>
          <w:szCs w:val="32"/>
        </w:rPr>
        <w:t>345</w:t>
      </w:r>
      <w:r>
        <w:rPr>
          <w:rFonts w:hint="eastAsia" w:ascii="Times New Roman" w:hAnsi="Times New Roman" w:eastAsia="仿宋_GB2312" w:cs="Times New Roman"/>
          <w:color w:val="000000"/>
          <w:sz w:val="32"/>
          <w:szCs w:val="32"/>
        </w:rPr>
        <w:t>项精简到</w:t>
      </w:r>
      <w:r>
        <w:rPr>
          <w:rFonts w:ascii="Times New Roman" w:hAnsi="Times New Roman" w:eastAsia="仿宋_GB2312" w:cs="Times New Roman"/>
          <w:color w:val="000000"/>
          <w:sz w:val="32"/>
          <w:szCs w:val="32"/>
        </w:rPr>
        <w:t>193</w:t>
      </w:r>
      <w:r>
        <w:rPr>
          <w:rFonts w:hint="eastAsia" w:ascii="Times New Roman" w:hAnsi="Times New Roman" w:eastAsia="仿宋_GB2312" w:cs="Times New Roman"/>
          <w:color w:val="000000"/>
          <w:sz w:val="32"/>
          <w:szCs w:val="32"/>
        </w:rPr>
        <w:t>项，政务服务中心办理行政审批事项</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万件。投资环境进一步优化，一批重大项目落户我旗。生态文明体制改革成效突出，财税体制改革取得新突破，农村集体土地确权登记颁证、基本草原划定、小型水利产权制度改革和农业综合水价改革试点示范等改革全面展开。</w:t>
      </w:r>
    </w:p>
    <w:bookmarkEnd w:id="13"/>
    <w:bookmarkEnd w:id="14"/>
    <w:p w14:paraId="12B46B2E">
      <w:pPr>
        <w:spacing w:line="360" w:lineRule="auto"/>
        <w:ind w:firstLine="640" w:firstLineChars="200"/>
        <w:rPr>
          <w:rFonts w:ascii="Times New Roman" w:hAnsi="Times New Roman" w:eastAsia="仿宋_GB2312" w:cs="Times New Roman"/>
          <w:color w:val="000000"/>
          <w:sz w:val="32"/>
          <w:szCs w:val="32"/>
        </w:rPr>
      </w:pPr>
      <w:bookmarkStart w:id="15" w:name="_Toc437819127"/>
      <w:bookmarkStart w:id="16" w:name="_Toc437823875"/>
      <w:bookmarkStart w:id="17" w:name="_Toc438543347"/>
      <w:r>
        <w:rPr>
          <w:rFonts w:hint="eastAsia" w:ascii="Times New Roman" w:hAnsi="Times New Roman" w:eastAsia="仿宋_GB2312" w:cs="Times New Roman"/>
          <w:color w:val="000000"/>
          <w:sz w:val="32"/>
          <w:szCs w:val="32"/>
        </w:rPr>
        <w:t>在看到成绩的同时，我们也要清醒地认识到全旗经济社会发展中存在的问题和差距。主要是：经济总量小，人均水平低，发展不足仍然是我旗最大实际；产业发展结构不合理，发展方式粗放，转型升级任务艰巨；城乡基础设施薄弱，城乡发展差距大，发展短板较为突出；基本公共服务供给不足，贫困人口存量大，保障和改善民生的任务十分繁重；区域特色发挥不充分，经济带动能力不足，特色历史文化、生态环境等资源优势尚未转化成经济优势；社会矛盾交织多发，法治建设亟待加强，部分领导干部的思想作风和能力水平有待提升。</w:t>
      </w:r>
    </w:p>
    <w:p w14:paraId="30A3410A">
      <w:pPr>
        <w:pStyle w:val="3"/>
        <w:spacing w:beforeLines="50" w:afterLines="50" w:line="640" w:lineRule="exact"/>
        <w:jc w:val="center"/>
        <w:rPr>
          <w:rFonts w:ascii="Times New Roman" w:hAnsi="Times New Roman" w:eastAsia="黑体"/>
          <w:color w:val="000000"/>
        </w:rPr>
      </w:pPr>
      <w:bookmarkStart w:id="18" w:name="_Toc443390003"/>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发展环境</w:t>
      </w:r>
      <w:bookmarkEnd w:id="15"/>
      <w:bookmarkEnd w:id="16"/>
      <w:bookmarkEnd w:id="17"/>
      <w:bookmarkEnd w:id="18"/>
    </w:p>
    <w:p w14:paraId="75C84818">
      <w:pPr>
        <w:spacing w:line="276" w:lineRule="auto"/>
        <w:ind w:firstLine="640" w:firstLineChars="200"/>
        <w:rPr>
          <w:rFonts w:ascii="Times New Roman" w:hAnsi="Times New Roman" w:eastAsia="仿宋_GB2312" w:cs="Times New Roman"/>
          <w:color w:val="000000"/>
          <w:sz w:val="32"/>
          <w:szCs w:val="32"/>
        </w:rPr>
      </w:pPr>
      <w:bookmarkStart w:id="19" w:name="_Toc438543348"/>
      <w:bookmarkStart w:id="20" w:name="_Toc437819128"/>
      <w:bookmarkStart w:id="21" w:name="_Toc437823876"/>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时期，我国经济进入增速换档、结构转型、动力转换的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新常态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，敖汉旗发展面临的内外环境发生了很大变化。</w:t>
      </w:r>
      <w:r>
        <w:rPr>
          <w:rFonts w:hint="eastAsia" w:ascii="Times New Roman" w:hAnsi="Times New Roman" w:eastAsia="仿宋_GB2312" w:cs="Times New Roman"/>
          <w:b/>
          <w:bCs/>
          <w:color w:val="000000"/>
          <w:sz w:val="32"/>
          <w:szCs w:val="32"/>
        </w:rPr>
        <w:t>从国家层面看</w:t>
      </w:r>
      <w:r>
        <w:rPr>
          <w:rFonts w:hint="eastAsia" w:ascii="Times New Roman" w:hAnsi="Times New Roman" w:eastAsia="仿宋_GB2312" w:cs="Times New Roman"/>
          <w:bCs/>
          <w:color w:val="000000"/>
          <w:sz w:val="32"/>
          <w:szCs w:val="32"/>
        </w:rPr>
        <w:t>，</w:t>
      </w:r>
      <w:r>
        <w:rPr>
          <w:rFonts w:hint="eastAsia" w:ascii="Times New Roman" w:hAnsi="Times New Roman" w:eastAsia="仿宋_GB2312" w:cs="Times New Roman"/>
          <w:color w:val="000000"/>
          <w:sz w:val="32"/>
          <w:szCs w:val="32"/>
        </w:rPr>
        <w:t>党的十八届五中全会提出了创新、协调、绿色、开放、共享五大发展理念，成为引领我国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发展的主基调。一带一路、京津冀协同发展、新一轮振兴东北、环渤海经济区合作发展、国家新型城镇化建设、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双创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、扶贫开发等国家战略的实施，将为我旗带来前所未有的政策叠加新机遇。</w:t>
      </w:r>
      <w:r>
        <w:rPr>
          <w:rFonts w:hint="eastAsia" w:ascii="Times New Roman" w:hAnsi="Times New Roman" w:eastAsia="仿宋_GB2312" w:cs="Times New Roman"/>
          <w:b/>
          <w:bCs/>
          <w:color w:val="000000"/>
          <w:sz w:val="32"/>
          <w:szCs w:val="32"/>
        </w:rPr>
        <w:t>从全区层面看</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w:t>
      </w:r>
      <w:r>
        <w:rPr>
          <w:rFonts w:ascii="Times New Roman" w:hAnsi="Times New Roman" w:eastAsia="仿宋_GB2312" w:cs="Times New Roman"/>
          <w:color w:val="000000"/>
          <w:sz w:val="32"/>
          <w:szCs w:val="32"/>
        </w:rPr>
        <w:t>“</w:t>
      </w:r>
      <w:bookmarkStart w:id="216" w:name="_GoBack"/>
      <w:bookmarkEnd w:id="216"/>
      <w:r>
        <w:rPr>
          <w:rFonts w:hint="eastAsia" w:ascii="Times New Roman" w:hAnsi="Times New Roman" w:eastAsia="仿宋_GB2312" w:cs="Times New Roman"/>
          <w:color w:val="000000"/>
          <w:sz w:val="32"/>
          <w:szCs w:val="32"/>
        </w:rPr>
        <w:t>共建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丝绸之路经济带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和建设中蒙俄经济走廊、加快建设蒙东能源基地、培育</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锡赤通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经济区，这些战略措施为我旗加快发展和扩大开放创造了有利条件。</w:t>
      </w:r>
      <w:r>
        <w:rPr>
          <w:rFonts w:hint="eastAsia" w:ascii="Times New Roman" w:hAnsi="Times New Roman" w:eastAsia="仿宋_GB2312" w:cs="Times New Roman"/>
          <w:b/>
          <w:bCs/>
          <w:color w:val="000000"/>
          <w:sz w:val="32"/>
          <w:szCs w:val="32"/>
        </w:rPr>
        <w:t>从全市层面看</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期间，围绕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五大基地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建设，调整优化产业结构，大力推进融入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环渤海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经济圈、纳入京津冀协同发展、推进区域经济合作等重大战略，有利于我旗借力发展，增强发展活力，拓展发展新空间。</w:t>
      </w:r>
    </w:p>
    <w:p w14:paraId="2197A70B">
      <w:pPr>
        <w:spacing w:line="276" w:lineRule="auto"/>
        <w:ind w:firstLine="643"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从敖汉旗自身看</w:t>
      </w:r>
      <w:r>
        <w:rPr>
          <w:rFonts w:hint="eastAsia" w:ascii="Times New Roman" w:hAnsi="Times New Roman" w:eastAsia="仿宋_GB2312" w:cs="Times New Roman"/>
          <w:bCs/>
          <w:color w:val="000000"/>
          <w:sz w:val="32"/>
          <w:szCs w:val="32"/>
        </w:rPr>
        <w:t>，</w:t>
      </w:r>
      <w:r>
        <w:rPr>
          <w:rFonts w:hint="eastAsia" w:ascii="Times New Roman" w:hAnsi="Times New Roman" w:eastAsia="仿宋_GB2312" w:cs="Times New Roman"/>
          <w:color w:val="000000"/>
          <w:sz w:val="32"/>
          <w:szCs w:val="32"/>
        </w:rPr>
        <w:t>经过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十二五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持续快速发展，我旗工业化、城镇化进入加速发展阶段，基础条件日益改善，发展环境不断优化，资源红利、生态红利、劳动力红利、政策红利、改革红利正在相继释放，特别是在大农业、新兴产业、文化旅游、产业转移承接、区域开放合作等方面都有较大的潜力可挖，具备形成优势产业的基础，将逐步构筑我旗产业发展新方向，</w:t>
      </w:r>
      <w:r>
        <w:rPr>
          <w:rFonts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万敖汉人民创业创新的热情进一步释放，成为我旗后发追赶、实现同步全面建成小康社会的强大力量。同时，我们也要冷静地认识到，全球经济艰难复苏，我国经济发展的新旧动力转换还需要一个过程，周边地区竞相发展，我旗发展竞争压力增大，稳增长调结构惠民生补短板仍需付出更大努力。</w:t>
      </w:r>
    </w:p>
    <w:p w14:paraId="700E39E9">
      <w:pPr>
        <w:spacing w:line="360"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总体上看，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时期，敖汉旗仍处于大有作为的战略机遇期，需要充分利用一切有利条件，夯实基础、补齐短板、加快发展，保持快于全国发展速度的态势，缩小与先进地区的差距，形成后发追赶新优势，开辟科学发展新境界。</w:t>
      </w:r>
    </w:p>
    <w:p w14:paraId="4062B07C">
      <w:pPr>
        <w:pStyle w:val="2"/>
        <w:spacing w:beforeLines="100" w:afterLines="100" w:line="640" w:lineRule="exact"/>
        <w:jc w:val="center"/>
        <w:rPr>
          <w:rFonts w:eastAsia="方正小标宋简体"/>
          <w:color w:val="000000"/>
          <w:sz w:val="36"/>
          <w:szCs w:val="36"/>
        </w:rPr>
      </w:pPr>
      <w:bookmarkStart w:id="22" w:name="_Toc443390004"/>
      <w:r>
        <w:rPr>
          <w:rFonts w:hint="eastAsia" w:eastAsia="方正小标宋简体"/>
          <w:color w:val="000000"/>
          <w:sz w:val="36"/>
          <w:szCs w:val="36"/>
        </w:rPr>
        <w:t>第二章</w:t>
      </w:r>
      <w:r>
        <w:rPr>
          <w:rFonts w:eastAsia="方正小标宋简体"/>
          <w:color w:val="000000"/>
          <w:sz w:val="36"/>
          <w:szCs w:val="36"/>
        </w:rPr>
        <w:t xml:space="preserve">  </w:t>
      </w:r>
      <w:r>
        <w:rPr>
          <w:rFonts w:hint="eastAsia" w:eastAsia="方正小标宋简体"/>
          <w:color w:val="000000"/>
          <w:sz w:val="36"/>
          <w:szCs w:val="36"/>
        </w:rPr>
        <w:t>指导思想和主要目标</w:t>
      </w:r>
      <w:bookmarkEnd w:id="19"/>
      <w:bookmarkEnd w:id="20"/>
      <w:bookmarkEnd w:id="21"/>
      <w:bookmarkEnd w:id="22"/>
      <w:bookmarkStart w:id="23" w:name="_Toc437823877"/>
      <w:bookmarkStart w:id="24" w:name="_Toc438543349"/>
      <w:bookmarkStart w:id="25" w:name="_Toc437819129"/>
    </w:p>
    <w:p w14:paraId="31DF66A5">
      <w:pPr>
        <w:pStyle w:val="3"/>
        <w:spacing w:beforeLines="50" w:afterLines="50" w:line="640" w:lineRule="exact"/>
        <w:jc w:val="center"/>
        <w:rPr>
          <w:rFonts w:ascii="Times New Roman" w:hAnsi="Times New Roman" w:eastAsia="黑体"/>
          <w:color w:val="000000"/>
        </w:rPr>
      </w:pPr>
      <w:bookmarkStart w:id="26" w:name="_Toc443390005"/>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指导思想</w:t>
      </w:r>
      <w:bookmarkEnd w:id="23"/>
      <w:bookmarkEnd w:id="24"/>
      <w:bookmarkEnd w:id="25"/>
      <w:bookmarkEnd w:id="26"/>
    </w:p>
    <w:p w14:paraId="679EC0A4">
      <w:pPr>
        <w:spacing w:beforeLines="50" w:afterLines="50" w:line="360" w:lineRule="auto"/>
        <w:ind w:firstLine="640" w:firstLineChars="200"/>
        <w:rPr>
          <w:rFonts w:ascii="Times New Roman" w:hAnsi="Times New Roman" w:eastAsia="仿宋_GB2312" w:cs="Times New Roman"/>
          <w:color w:val="000000"/>
          <w:sz w:val="32"/>
          <w:szCs w:val="32"/>
        </w:rPr>
      </w:pPr>
      <w:bookmarkStart w:id="27" w:name="_Toc438543350"/>
      <w:bookmarkStart w:id="28" w:name="_Toc437823878"/>
      <w:bookmarkStart w:id="29" w:name="_Toc437819130"/>
      <w:r>
        <w:rPr>
          <w:rFonts w:hint="eastAsia" w:ascii="Times New Roman" w:hAnsi="Times New Roman" w:eastAsia="仿宋_GB2312" w:cs="Times New Roman"/>
          <w:color w:val="000000"/>
          <w:sz w:val="32"/>
          <w:szCs w:val="32"/>
        </w:rPr>
        <w:t>高举中国特色社会主义伟大旗帜，全面贯彻党的十八大和十八届三中、四中、五中全会精神，以马克思列宁主义、毛泽东思想、邓小平理论、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三个代表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重要思想、科学发展观为指导，深入贯彻习近平总书记系列重要讲话精神，坚持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四个全面</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战略布局，坚持发展是第一要务，牢固树立创新、协调、绿色、开放、共享发展理念，深入实施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生态立旗、产业强旗、文化兴旗、改革活旗</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战略，以提高发展质量和效益为中心，加快形成适应和引领经济发展新常态的体制机制和发展方式，确保同步全面建成小康社会，为建设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美丽敖汉、富裕敖汉、平安敖汉、幸福敖汉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而努力奋斗！</w:t>
      </w:r>
    </w:p>
    <w:p w14:paraId="0CF39F91">
      <w:pPr>
        <w:pStyle w:val="3"/>
        <w:spacing w:beforeLines="50" w:afterLines="50" w:line="640" w:lineRule="exact"/>
        <w:jc w:val="center"/>
        <w:rPr>
          <w:rFonts w:ascii="Times New Roman" w:hAnsi="Times New Roman" w:eastAsia="黑体"/>
          <w:color w:val="000000"/>
        </w:rPr>
      </w:pPr>
      <w:bookmarkStart w:id="30" w:name="_Toc443390006"/>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基本原则</w:t>
      </w:r>
      <w:bookmarkEnd w:id="27"/>
      <w:bookmarkEnd w:id="28"/>
      <w:bookmarkEnd w:id="29"/>
      <w:bookmarkEnd w:id="30"/>
    </w:p>
    <w:p w14:paraId="45FDB894">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坚持加快发展。</w:t>
      </w:r>
      <w:r>
        <w:rPr>
          <w:rFonts w:hint="eastAsia" w:ascii="Times New Roman" w:hAnsi="Times New Roman" w:eastAsia="仿宋_GB2312" w:cs="Times New Roman"/>
          <w:color w:val="000000"/>
          <w:sz w:val="32"/>
          <w:szCs w:val="32"/>
        </w:rPr>
        <w:t>坚持把发展作为第一要务，以发展抢先机、缩差距、求突破、谱新篇。遵循发展规律，破解发展难题，发挥比较优势，坚持做大经济总量和提升发展质量并重，提升地区综合实力。</w:t>
      </w:r>
    </w:p>
    <w:p w14:paraId="30F4BD53">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坚持民生优先。</w:t>
      </w:r>
      <w:r>
        <w:rPr>
          <w:rFonts w:hint="eastAsia" w:ascii="Times New Roman" w:hAnsi="Times New Roman" w:eastAsia="仿宋_GB2312" w:cs="Times New Roman"/>
          <w:color w:val="000000"/>
          <w:sz w:val="32"/>
          <w:szCs w:val="32"/>
        </w:rPr>
        <w:t>牢固树立以人民为中心的发展思想，集中力量抓好脱贫攻坚，千方百计扩大就业创业、社会保障、医疗卫生、文化教育等公共服务供给，推进基本公共服务均等化，使各族群众在共建共享发展中有更多获得感。</w:t>
      </w:r>
    </w:p>
    <w:p w14:paraId="477FCA78">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坚持深化改革。</w:t>
      </w:r>
      <w:r>
        <w:rPr>
          <w:rFonts w:hint="eastAsia" w:ascii="Times New Roman" w:hAnsi="Times New Roman" w:eastAsia="仿宋_GB2312" w:cs="Times New Roman"/>
          <w:color w:val="000000"/>
          <w:sz w:val="32"/>
          <w:szCs w:val="32"/>
        </w:rPr>
        <w:t>坚持以改革激发内生动力、增强发展活力、释放发展潜力，把深化改革融入到经济社会发展的各领域、各环节，充分发挥市场在资源配置中的决定性作用，以政府权力的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减法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换取市场活力的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加法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p>
    <w:p w14:paraId="31F684F8">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坚持依法治旗。</w:t>
      </w:r>
      <w:r>
        <w:rPr>
          <w:rFonts w:hint="eastAsia" w:ascii="Times New Roman" w:hAnsi="Times New Roman" w:eastAsia="仿宋_GB2312" w:cs="Times New Roman"/>
          <w:color w:val="000000"/>
          <w:sz w:val="32"/>
          <w:szCs w:val="32"/>
        </w:rPr>
        <w:t>推进依法行政、公正司法、全民守法，维护社会公平正义，加快建设法治敖汉，把经济社会发展纳入法治轨道，加强和创新社会治理，健全公共安全体系，提升治理能力，建设和谐社会。</w:t>
      </w:r>
    </w:p>
    <w:p w14:paraId="48071164">
      <w:pPr>
        <w:spacing w:line="360" w:lineRule="auto"/>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坚持党的领导。</w:t>
      </w:r>
      <w:r>
        <w:rPr>
          <w:rFonts w:hint="eastAsia" w:ascii="Times New Roman" w:hAnsi="Times New Roman" w:eastAsia="仿宋_GB2312" w:cs="Times New Roman"/>
          <w:color w:val="000000"/>
          <w:sz w:val="32"/>
          <w:szCs w:val="32"/>
        </w:rPr>
        <w:t>党的领导是中国特色社会主义制度最大优势，坚决贯彻全面从严治党要求，充分发挥党的领导核心作用，不断增强党组织的创造力、凝聚力、战斗力，为实现经济社会持续健康发展提供根本政治保证。</w:t>
      </w:r>
    </w:p>
    <w:p w14:paraId="490DD6D4">
      <w:pPr>
        <w:pStyle w:val="3"/>
        <w:spacing w:beforeLines="50" w:afterLines="50" w:line="640" w:lineRule="exact"/>
        <w:jc w:val="center"/>
        <w:rPr>
          <w:rFonts w:ascii="Times New Roman" w:hAnsi="Times New Roman" w:eastAsia="黑体"/>
          <w:color w:val="000000"/>
        </w:rPr>
      </w:pPr>
      <w:bookmarkStart w:id="31" w:name="_Toc437823879"/>
      <w:bookmarkStart w:id="32" w:name="_Toc437819131"/>
      <w:bookmarkStart w:id="33" w:name="_Toc438543351"/>
      <w:bookmarkStart w:id="34" w:name="_Toc443390007"/>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主要目标</w:t>
      </w:r>
      <w:bookmarkEnd w:id="31"/>
      <w:bookmarkEnd w:id="32"/>
      <w:bookmarkEnd w:id="33"/>
      <w:bookmarkEnd w:id="34"/>
    </w:p>
    <w:p w14:paraId="574D9613">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经济保持较快增长</w:t>
      </w:r>
      <w:r>
        <w:rPr>
          <w:rFonts w:hint="eastAsia" w:ascii="Times New Roman" w:hAnsi="Times New Roman" w:eastAsia="仿宋_GB2312" w:cs="Times New Roman"/>
          <w:color w:val="000000"/>
          <w:sz w:val="32"/>
          <w:szCs w:val="32"/>
        </w:rPr>
        <w:t>。</w:t>
      </w:r>
      <w:bookmarkStart w:id="35" w:name="_Toc432054220"/>
      <w:r>
        <w:rPr>
          <w:rFonts w:hint="eastAsia" w:ascii="Times New Roman" w:hAnsi="Times New Roman" w:eastAsia="仿宋_GB2312" w:cs="Times New Roman"/>
          <w:color w:val="000000"/>
          <w:sz w:val="32"/>
          <w:szCs w:val="32"/>
        </w:rPr>
        <w:t>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年，全旗地区生产总值达到</w:t>
      </w:r>
      <w:r>
        <w:rPr>
          <w:rFonts w:ascii="Times New Roman" w:hAnsi="Times New Roman" w:eastAsia="仿宋_GB2312" w:cs="Times New Roman"/>
          <w:color w:val="000000"/>
          <w:sz w:val="32"/>
          <w:szCs w:val="32"/>
        </w:rPr>
        <w:t>252.3</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rPr>
        <w:t>；公共财政预算收入完成</w:t>
      </w:r>
      <w:r>
        <w:rPr>
          <w:rFonts w:ascii="Times New Roman" w:hAnsi="Times New Roman" w:eastAsia="仿宋_GB2312" w:cs="Times New Roman"/>
          <w:color w:val="000000"/>
          <w:sz w:val="32"/>
          <w:szCs w:val="32"/>
        </w:rPr>
        <w:t>7.8</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500</w:t>
      </w:r>
      <w:r>
        <w:rPr>
          <w:rFonts w:hint="eastAsia" w:ascii="Times New Roman" w:hAnsi="Times New Roman" w:eastAsia="仿宋_GB2312" w:cs="Times New Roman"/>
          <w:color w:val="000000"/>
          <w:sz w:val="32"/>
          <w:szCs w:val="32"/>
        </w:rPr>
        <w:t>万元以上项目固定资产投资完成</w:t>
      </w:r>
      <w:r>
        <w:rPr>
          <w:rFonts w:ascii="Times New Roman" w:hAnsi="Times New Roman" w:eastAsia="仿宋_GB2312" w:cs="Times New Roman"/>
          <w:color w:val="000000"/>
          <w:sz w:val="32"/>
          <w:szCs w:val="32"/>
        </w:rPr>
        <w:t>208.5</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14%</w:t>
      </w:r>
      <w:r>
        <w:rPr>
          <w:rFonts w:hint="eastAsia" w:ascii="Times New Roman" w:hAnsi="Times New Roman" w:eastAsia="仿宋_GB2312" w:cs="Times New Roman"/>
          <w:color w:val="000000"/>
          <w:sz w:val="32"/>
          <w:szCs w:val="32"/>
        </w:rPr>
        <w:t>；社会消费品零售总额实现</w:t>
      </w:r>
      <w:r>
        <w:rPr>
          <w:rFonts w:ascii="Times New Roman" w:hAnsi="Times New Roman" w:eastAsia="仿宋_GB2312" w:cs="Times New Roman"/>
          <w:color w:val="000000"/>
          <w:sz w:val="32"/>
          <w:szCs w:val="32"/>
        </w:rPr>
        <w:t>75.1</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；城乡居民人均可支配收入分别达到</w:t>
      </w:r>
      <w:r>
        <w:rPr>
          <w:rFonts w:ascii="Times New Roman" w:hAnsi="Times New Roman" w:eastAsia="仿宋_GB2312" w:cs="Times New Roman"/>
          <w:color w:val="000000"/>
          <w:sz w:val="32"/>
          <w:szCs w:val="32"/>
        </w:rPr>
        <w:t>35959</w:t>
      </w:r>
      <w:r>
        <w:rPr>
          <w:rFonts w:hint="eastAsia" w:ascii="Times New Roman" w:hAnsi="Times New Roman" w:eastAsia="仿宋_GB2312" w:cs="Times New Roman"/>
          <w:color w:val="000000"/>
          <w:sz w:val="32"/>
          <w:szCs w:val="32"/>
        </w:rPr>
        <w:t>元和</w:t>
      </w:r>
      <w:r>
        <w:rPr>
          <w:rFonts w:ascii="Times New Roman" w:hAnsi="Times New Roman" w:eastAsia="仿宋_GB2312" w:cs="Times New Roman"/>
          <w:color w:val="000000"/>
          <w:sz w:val="32"/>
          <w:szCs w:val="32"/>
        </w:rPr>
        <w:t>14646</w:t>
      </w:r>
      <w:r>
        <w:rPr>
          <w:rFonts w:hint="eastAsia" w:ascii="Times New Roman" w:hAnsi="Times New Roman" w:eastAsia="仿宋_GB2312" w:cs="Times New Roman"/>
          <w:color w:val="000000"/>
          <w:sz w:val="32"/>
          <w:szCs w:val="32"/>
        </w:rPr>
        <w:t>元以上，分别年均增长</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11%</w:t>
      </w:r>
      <w:r>
        <w:rPr>
          <w:rFonts w:hint="eastAsia" w:ascii="Times New Roman" w:hAnsi="Times New Roman" w:eastAsia="仿宋_GB2312" w:cs="Times New Roman"/>
          <w:color w:val="000000"/>
          <w:sz w:val="32"/>
          <w:szCs w:val="32"/>
        </w:rPr>
        <w:t>；三次产业结构优化为</w:t>
      </w:r>
      <w:r>
        <w:rPr>
          <w:rFonts w:ascii="Times New Roman" w:hAnsi="Times New Roman" w:eastAsia="仿宋_GB2312" w:cs="Times New Roman"/>
          <w:color w:val="000000"/>
          <w:sz w:val="32"/>
          <w:szCs w:val="32"/>
        </w:rPr>
        <w:t>22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41.5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36.5</w:t>
      </w:r>
      <w:r>
        <w:rPr>
          <w:rFonts w:hint="eastAsia" w:ascii="Times New Roman" w:hAnsi="Times New Roman" w:eastAsia="仿宋_GB2312" w:cs="Times New Roman"/>
          <w:color w:val="000000"/>
          <w:sz w:val="32"/>
          <w:szCs w:val="32"/>
        </w:rPr>
        <w:t>。</w:t>
      </w:r>
    </w:p>
    <w:p w14:paraId="4128B2CD">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民生保障显著提升。</w:t>
      </w:r>
      <w:r>
        <w:rPr>
          <w:rFonts w:hint="eastAsia" w:ascii="Times New Roman" w:hAnsi="Times New Roman" w:eastAsia="仿宋_GB2312" w:cs="Times New Roman"/>
          <w:color w:val="000000"/>
          <w:sz w:val="32"/>
          <w:szCs w:val="32"/>
        </w:rPr>
        <w:t>坚决打赢脱贫攻坚战，到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w:t>
      </w:r>
      <w:r>
        <w:rPr>
          <w:rFonts w:ascii="Times New Roman" w:hAnsi="Times New Roman" w:eastAsia="仿宋_GB2312" w:cs="Times New Roman"/>
          <w:color w:val="000000"/>
          <w:sz w:val="32"/>
          <w:szCs w:val="32"/>
        </w:rPr>
        <w:t>3.85</w:t>
      </w:r>
      <w:r>
        <w:rPr>
          <w:rFonts w:hint="eastAsia" w:ascii="Times New Roman" w:hAnsi="Times New Roman" w:eastAsia="仿宋_GB2312" w:cs="Times New Roman"/>
          <w:color w:val="000000"/>
          <w:sz w:val="32"/>
          <w:szCs w:val="32"/>
        </w:rPr>
        <w:t>万贫困人口全部实现稳定脱贫，城镇新增就业岗位</w:t>
      </w:r>
      <w:r>
        <w:rPr>
          <w:rFonts w:ascii="Times New Roman" w:hAnsi="Times New Roman" w:eastAsia="仿宋_GB2312" w:cs="Times New Roman"/>
          <w:color w:val="000000"/>
          <w:sz w:val="32"/>
          <w:szCs w:val="32"/>
        </w:rPr>
        <w:t>9000</w:t>
      </w:r>
      <w:r>
        <w:rPr>
          <w:rFonts w:hint="eastAsia" w:ascii="Times New Roman" w:hAnsi="Times New Roman" w:eastAsia="仿宋_GB2312" w:cs="Times New Roman"/>
          <w:color w:val="000000"/>
          <w:sz w:val="32"/>
          <w:szCs w:val="32"/>
        </w:rPr>
        <w:t>个，城乡居民养老、医疗保险参保率达到</w:t>
      </w:r>
      <w:r>
        <w:rPr>
          <w:rFonts w:ascii="Times New Roman" w:hAnsi="Times New Roman" w:eastAsia="仿宋_GB2312" w:cs="Times New Roman"/>
          <w:color w:val="000000"/>
          <w:sz w:val="32"/>
          <w:szCs w:val="32"/>
        </w:rPr>
        <w:t>95%</w:t>
      </w:r>
      <w:r>
        <w:rPr>
          <w:rFonts w:hint="eastAsia" w:ascii="Times New Roman" w:hAnsi="Times New Roman" w:eastAsia="仿宋_GB2312" w:cs="Times New Roman"/>
          <w:color w:val="000000"/>
          <w:sz w:val="32"/>
          <w:szCs w:val="32"/>
        </w:rPr>
        <w:t>以上，养老床位达到</w:t>
      </w:r>
      <w:r>
        <w:rPr>
          <w:rFonts w:ascii="Times New Roman" w:hAnsi="Times New Roman" w:eastAsia="仿宋_GB2312" w:cs="Times New Roman"/>
          <w:color w:val="000000"/>
          <w:sz w:val="32"/>
          <w:szCs w:val="32"/>
        </w:rPr>
        <w:t xml:space="preserve"> 2700</w:t>
      </w:r>
      <w:r>
        <w:rPr>
          <w:rFonts w:hint="eastAsia" w:ascii="Times New Roman" w:hAnsi="Times New Roman" w:eastAsia="仿宋_GB2312" w:cs="Times New Roman"/>
          <w:color w:val="000000"/>
          <w:sz w:val="32"/>
          <w:szCs w:val="32"/>
        </w:rPr>
        <w:t>张以上，病床数达到</w:t>
      </w:r>
      <w:r>
        <w:rPr>
          <w:rFonts w:ascii="Times New Roman" w:hAnsi="Times New Roman" w:eastAsia="仿宋_GB2312" w:cs="Times New Roman"/>
          <w:color w:val="000000"/>
          <w:sz w:val="32"/>
          <w:szCs w:val="32"/>
        </w:rPr>
        <w:t>3000</w:t>
      </w:r>
      <w:r>
        <w:rPr>
          <w:rFonts w:hint="eastAsia" w:ascii="Times New Roman" w:hAnsi="Times New Roman" w:eastAsia="仿宋_GB2312" w:cs="Times New Roman"/>
          <w:color w:val="000000"/>
          <w:sz w:val="32"/>
          <w:szCs w:val="32"/>
        </w:rPr>
        <w:t>张以上。城乡教育均衡发展，社会保障体系逐步完善，健康敖汉建设取得重大进展，努力实现基本公共服务均等化。</w:t>
      </w:r>
    </w:p>
    <w:p w14:paraId="23FA63C3">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协调发展初步形成。</w:t>
      </w:r>
      <w:bookmarkStart w:id="36" w:name="_Toc432054222"/>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期间，农村牧区收缩转移、集中发展迈出实质性步伐，全旗城镇人口达到</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万人以上，城镇化率达到</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。到</w:t>
      </w:r>
      <w:r>
        <w:rPr>
          <w:rFonts w:ascii="Times New Roman" w:hAnsi="Times New Roman" w:eastAsia="仿宋_GB2312" w:cs="Times New Roman"/>
          <w:color w:val="000000"/>
          <w:sz w:val="32"/>
          <w:szCs w:val="32"/>
        </w:rPr>
        <w:t>2017</w:t>
      </w:r>
      <w:r>
        <w:rPr>
          <w:rFonts w:hint="eastAsia" w:ascii="Times New Roman" w:hAnsi="Times New Roman" w:eastAsia="仿宋_GB2312" w:cs="Times New Roman"/>
          <w:color w:val="000000"/>
          <w:sz w:val="32"/>
          <w:szCs w:val="32"/>
        </w:rPr>
        <w:t>年，全面完成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十个全覆盖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工程建设，城乡面貌焕然一新。精神文明与物质文明协调发展取得新进展，基本建成公共文化服务体系，民族团结的良好局面进一步巩固。</w:t>
      </w:r>
    </w:p>
    <w:p w14:paraId="009F1260">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基础设施</w:t>
      </w:r>
      <w:bookmarkEnd w:id="36"/>
      <w:r>
        <w:rPr>
          <w:rFonts w:hint="eastAsia" w:ascii="Times New Roman" w:hAnsi="Times New Roman" w:eastAsia="楷体_GB2312" w:cs="Times New Roman"/>
          <w:color w:val="000000"/>
          <w:sz w:val="32"/>
          <w:szCs w:val="32"/>
        </w:rPr>
        <w:t>显著改善。</w:t>
      </w:r>
      <w:bookmarkStart w:id="37" w:name="_Toc432054223"/>
      <w:r>
        <w:rPr>
          <w:rFonts w:hint="eastAsia" w:ascii="Times New Roman" w:hAnsi="Times New Roman" w:eastAsia="仿宋_GB2312" w:cs="Times New Roman"/>
          <w:color w:val="000000"/>
          <w:sz w:val="32"/>
          <w:szCs w:val="32"/>
        </w:rPr>
        <w:t>补齐基础设施发展短板，逐步构建集公路、铁路、航空为一体的立体交通网络，加强水利基础设施建设，推动信息通信网络基础设施建设和深度覆盖。到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年，农村牧区自来水普及率达到</w:t>
      </w:r>
      <w:r>
        <w:rPr>
          <w:rFonts w:ascii="Times New Roman" w:hAnsi="Times New Roman" w:eastAsia="仿宋_GB2312" w:cs="Times New Roman"/>
          <w:color w:val="000000"/>
          <w:sz w:val="32"/>
          <w:szCs w:val="32"/>
        </w:rPr>
        <w:t>85%</w:t>
      </w:r>
      <w:r>
        <w:rPr>
          <w:rFonts w:hint="eastAsia" w:ascii="Times New Roman" w:hAnsi="Times New Roman" w:eastAsia="仿宋_GB2312" w:cs="Times New Roman"/>
          <w:color w:val="000000"/>
          <w:sz w:val="32"/>
          <w:szCs w:val="32"/>
        </w:rPr>
        <w:t>以上，行政村通油路率达到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，供电可靠率达到</w:t>
      </w:r>
      <w:r>
        <w:rPr>
          <w:rFonts w:ascii="Times New Roman" w:hAnsi="Times New Roman" w:eastAsia="仿宋_GB2312" w:cs="Times New Roman"/>
          <w:color w:val="000000"/>
          <w:sz w:val="32"/>
          <w:szCs w:val="32"/>
        </w:rPr>
        <w:t>99.7%</w:t>
      </w:r>
      <w:r>
        <w:rPr>
          <w:rFonts w:hint="eastAsia" w:ascii="Times New Roman" w:hAnsi="Times New Roman" w:eastAsia="仿宋_GB2312" w:cs="Times New Roman"/>
          <w:color w:val="000000"/>
          <w:sz w:val="32"/>
          <w:szCs w:val="32"/>
        </w:rPr>
        <w:t>，电信基础网络覆盖</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的行政村。</w:t>
      </w:r>
      <w:bookmarkEnd w:id="35"/>
      <w:bookmarkEnd w:id="37"/>
    </w:p>
    <w:p w14:paraId="1B580FBF">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生态建设继续加强。</w:t>
      </w:r>
      <w:r>
        <w:rPr>
          <w:rFonts w:hint="eastAsia" w:ascii="Times New Roman" w:hAnsi="Times New Roman" w:eastAsia="仿宋_GB2312" w:cs="Times New Roman"/>
          <w:color w:val="000000"/>
          <w:sz w:val="32"/>
          <w:szCs w:val="32"/>
        </w:rPr>
        <w:t>生产方式和生活方式绿色、低碳水平上升，城乡人居环境明显改善。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时期，退化林分改造</w:t>
      </w:r>
      <w:r>
        <w:rPr>
          <w:rFonts w:ascii="Times New Roman" w:hAnsi="Times New Roman" w:eastAsia="仿宋_GB2312" w:cs="Times New Roman"/>
          <w:color w:val="000000"/>
          <w:sz w:val="32"/>
          <w:szCs w:val="32"/>
        </w:rPr>
        <w:t>52</w:t>
      </w:r>
      <w:r>
        <w:rPr>
          <w:rFonts w:hint="eastAsia" w:ascii="Times New Roman" w:hAnsi="Times New Roman" w:eastAsia="仿宋_GB2312" w:cs="Times New Roman"/>
          <w:color w:val="000000"/>
          <w:sz w:val="32"/>
          <w:szCs w:val="32"/>
        </w:rPr>
        <w:t>万亩，森林覆被率达到</w:t>
      </w:r>
      <w:r>
        <w:rPr>
          <w:rFonts w:ascii="Times New Roman" w:hAnsi="Times New Roman" w:eastAsia="仿宋_GB2312" w:cs="Times New Roman"/>
          <w:color w:val="000000"/>
          <w:sz w:val="32"/>
          <w:szCs w:val="32"/>
        </w:rPr>
        <w:t>46%</w:t>
      </w:r>
      <w:r>
        <w:rPr>
          <w:rFonts w:hint="eastAsia" w:ascii="Times New Roman" w:hAnsi="Times New Roman" w:eastAsia="仿宋_GB2312" w:cs="Times New Roman"/>
          <w:color w:val="000000"/>
          <w:sz w:val="32"/>
          <w:szCs w:val="32"/>
        </w:rPr>
        <w:t>，活立木蓄积量达到</w:t>
      </w:r>
      <w:r>
        <w:rPr>
          <w:rFonts w:ascii="Times New Roman" w:hAnsi="Times New Roman" w:eastAsia="仿宋_GB2312" w:cs="Times New Roman"/>
          <w:color w:val="000000"/>
          <w:sz w:val="32"/>
          <w:szCs w:val="32"/>
        </w:rPr>
        <w:t>750</w:t>
      </w:r>
      <w:r>
        <w:rPr>
          <w:rFonts w:hint="eastAsia" w:ascii="Times New Roman" w:hAnsi="Times New Roman" w:eastAsia="仿宋_GB2312" w:cs="Times New Roman"/>
          <w:color w:val="000000"/>
          <w:sz w:val="32"/>
          <w:szCs w:val="32"/>
        </w:rPr>
        <w:t>万立方米，实现生态效益、经济效益和社会效益的统一，生态文明体制改革取得突破性进展，初步形成生态文明体系</w:t>
      </w:r>
      <w:bookmarkStart w:id="38" w:name="_Toc432054224"/>
      <w:r>
        <w:rPr>
          <w:rFonts w:hint="eastAsia" w:ascii="Times New Roman" w:hAnsi="Times New Roman" w:eastAsia="仿宋_GB2312" w:cs="Times New Roman"/>
          <w:color w:val="000000"/>
          <w:sz w:val="32"/>
          <w:szCs w:val="32"/>
        </w:rPr>
        <w:t>。</w:t>
      </w:r>
    </w:p>
    <w:p w14:paraId="051128B1">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改革开放</w:t>
      </w:r>
      <w:bookmarkEnd w:id="38"/>
      <w:r>
        <w:rPr>
          <w:rFonts w:hint="eastAsia" w:ascii="Times New Roman" w:hAnsi="Times New Roman" w:eastAsia="楷体_GB2312" w:cs="Times New Roman"/>
          <w:color w:val="000000"/>
          <w:sz w:val="32"/>
          <w:szCs w:val="32"/>
        </w:rPr>
        <w:t>全面深化。</w:t>
      </w:r>
      <w:r>
        <w:rPr>
          <w:rFonts w:hint="eastAsia" w:ascii="Times New Roman" w:hAnsi="Times New Roman" w:eastAsia="仿宋_GB2312" w:cs="Times New Roman"/>
          <w:color w:val="000000"/>
          <w:sz w:val="32"/>
          <w:szCs w:val="32"/>
        </w:rPr>
        <w:t>政府和市场的关系进一步理顺，制度创新、模式创新、管理创新取得重要进展，创业创新的体制机制逐步完善，非公有制经济快速发展，各类市场主体活力增强。融入区域经济一体化进程明显加快，对外开放合作空间进一步拓宽。法治敖汉建设取得重要进展，社会治理体系更加科学高效，社会发展和谐稳定。</w:t>
      </w:r>
    </w:p>
    <w:p w14:paraId="77647B69">
      <w:pPr>
        <w:pStyle w:val="3"/>
        <w:spacing w:beforeLines="50" w:afterLines="50" w:line="640" w:lineRule="exact"/>
        <w:jc w:val="center"/>
        <w:rPr>
          <w:rFonts w:ascii="Times New Roman" w:hAnsi="Times New Roman" w:eastAsia="黑体"/>
          <w:color w:val="000000"/>
        </w:rPr>
      </w:pPr>
      <w:bookmarkStart w:id="39" w:name="_Toc438543352"/>
      <w:bookmarkStart w:id="40" w:name="_Toc437823880"/>
      <w:bookmarkStart w:id="41" w:name="_Toc443390008"/>
      <w:bookmarkStart w:id="42" w:name="_Toc437819132"/>
      <w:r>
        <w:rPr>
          <w:rFonts w:hint="eastAsia" w:ascii="Times New Roman" w:hAnsi="Times New Roman" w:eastAsia="黑体"/>
          <w:color w:val="000000"/>
        </w:rPr>
        <w:t>第四节</w:t>
      </w:r>
      <w:r>
        <w:rPr>
          <w:rFonts w:ascii="Times New Roman" w:hAnsi="Times New Roman" w:eastAsia="黑体"/>
          <w:color w:val="000000"/>
        </w:rPr>
        <w:t xml:space="preserve">  </w:t>
      </w:r>
      <w:r>
        <w:rPr>
          <w:rFonts w:hint="eastAsia" w:ascii="Times New Roman" w:hAnsi="Times New Roman" w:eastAsia="黑体"/>
          <w:color w:val="000000"/>
        </w:rPr>
        <w:t>发展定位</w:t>
      </w:r>
      <w:bookmarkEnd w:id="39"/>
      <w:bookmarkEnd w:id="40"/>
      <w:bookmarkEnd w:id="41"/>
      <w:bookmarkEnd w:id="42"/>
    </w:p>
    <w:p w14:paraId="379FF591">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地区功能定位。</w:t>
      </w:r>
      <w:r>
        <w:rPr>
          <w:rFonts w:hint="eastAsia" w:ascii="Times New Roman" w:hAnsi="Times New Roman" w:eastAsia="仿宋_GB2312" w:cs="Times New Roman"/>
          <w:color w:val="000000"/>
          <w:sz w:val="32"/>
          <w:szCs w:val="32"/>
        </w:rPr>
        <w:t>蒙东南历史文化休闲娱乐中心区（</w:t>
      </w:r>
      <w:r>
        <w:rPr>
          <w:rFonts w:ascii="Times New Roman" w:hAnsi="Times New Roman" w:eastAsia="仿宋_GB2312" w:cs="Times New Roman"/>
          <w:color w:val="000000"/>
          <w:sz w:val="32"/>
          <w:szCs w:val="32"/>
        </w:rPr>
        <w:t>HRD  Historical &amp;Recreation District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京津冀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地区生态安全屏障、创建国家生态文明建设示范区和国家园林县城。</w:t>
      </w:r>
    </w:p>
    <w:p w14:paraId="363748F9">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产业发展定位。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环渤海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地区绿色有机农畜产品生产加工输出基地、蒙东辽西重要的有色和黑色金属生产加工基地、赤峰市重要的清洁能源保障输出基地。</w:t>
      </w:r>
    </w:p>
    <w:p w14:paraId="76EA7532">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历史文化定位。</w:t>
      </w:r>
      <w:r>
        <w:rPr>
          <w:rFonts w:hint="eastAsia" w:ascii="Times New Roman" w:hAnsi="Times New Roman" w:eastAsia="仿宋_GB2312" w:cs="Times New Roman"/>
          <w:color w:val="000000"/>
          <w:sz w:val="32"/>
          <w:szCs w:val="32"/>
        </w:rPr>
        <w:t>中华龙的发祥地、中国玉文化的源头、中国祖先崇拜的发端地、红山古国的核心区域、世界旱作农业的发源地。</w:t>
      </w:r>
    </w:p>
    <w:p w14:paraId="134F00B9">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开放合作定位。</w:t>
      </w:r>
      <w:r>
        <w:rPr>
          <w:rFonts w:hint="eastAsia" w:ascii="Times New Roman" w:hAnsi="Times New Roman" w:eastAsia="仿宋_GB2312" w:cs="Times New Roman"/>
          <w:color w:val="000000"/>
          <w:sz w:val="32"/>
          <w:szCs w:val="32"/>
        </w:rPr>
        <w:t>赤峰市产业转移主要承载区、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锡赤通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区域开放合作的重要区域物流基地、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互联网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农业开放合作试验区。</w:t>
      </w:r>
    </w:p>
    <w:p w14:paraId="2A097440">
      <w:pPr>
        <w:pStyle w:val="3"/>
        <w:spacing w:beforeLines="50" w:afterLines="50" w:line="640" w:lineRule="exact"/>
        <w:jc w:val="center"/>
        <w:rPr>
          <w:rFonts w:ascii="Times New Roman" w:hAnsi="Times New Roman" w:eastAsia="黑体"/>
          <w:color w:val="000000"/>
        </w:rPr>
      </w:pPr>
      <w:bookmarkStart w:id="43" w:name="_Toc442140724"/>
      <w:bookmarkStart w:id="44" w:name="_Toc442140289"/>
      <w:bookmarkStart w:id="45" w:name="_Toc438543353"/>
      <w:r>
        <w:rPr>
          <w:rFonts w:ascii="Times New Roman" w:hAnsi="Times New Roman" w:eastAsia="黑体"/>
          <w:color w:val="000000"/>
        </w:rPr>
        <w:t xml:space="preserve">  </w:t>
      </w:r>
      <w:bookmarkStart w:id="46" w:name="_Toc443390009"/>
      <w:r>
        <w:rPr>
          <w:rFonts w:hint="eastAsia" w:ascii="Times New Roman" w:hAnsi="Times New Roman" w:eastAsia="黑体"/>
          <w:color w:val="000000"/>
        </w:rPr>
        <w:t>第五节</w:t>
      </w:r>
      <w:r>
        <w:rPr>
          <w:rFonts w:ascii="Times New Roman" w:hAnsi="Times New Roman" w:eastAsia="黑体"/>
          <w:color w:val="000000"/>
        </w:rPr>
        <w:t xml:space="preserve">  </w:t>
      </w:r>
      <w:r>
        <w:rPr>
          <w:rFonts w:hint="eastAsia" w:ascii="Times New Roman" w:hAnsi="Times New Roman" w:eastAsia="黑体"/>
          <w:color w:val="000000"/>
        </w:rPr>
        <w:t>发展理念</w:t>
      </w:r>
      <w:bookmarkEnd w:id="43"/>
      <w:bookmarkEnd w:id="44"/>
      <w:bookmarkEnd w:id="45"/>
      <w:bookmarkEnd w:id="46"/>
    </w:p>
    <w:p w14:paraId="0D60BA16">
      <w:pPr>
        <w:spacing w:beforeLines="50" w:afterLines="50" w:line="65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奋斗目标，必须全面贯彻党的十八届五中全会提出的创新、协调、绿色、开放、共享的发展理念。创新是引领发展的第一动力，协调是持续健康发展的内在要求，绿色是永续发展的重要基础，开放是繁荣发展的必由之路，共享是推动发展的根本目的。坚持创新、转型、协调、绿色、开放、共享的发展理念，是关系发展全局的一场深刻变革。我们必须把新的发展理念贯彻到经济社会发展各领域各环节，以发展理念创新引领发展方式转变，以发展方式转变促进质量效益提升，加快推进新型工业化、信息化、城镇化、农牧业现代化进程，实现新旧发展动能的更快转换，把全旗发展提高到一个新水平。</w:t>
      </w:r>
    </w:p>
    <w:p w14:paraId="7B7327BD">
      <w:pPr>
        <w:pStyle w:val="2"/>
        <w:spacing w:beforeLines="100" w:afterLines="100" w:line="640" w:lineRule="exact"/>
        <w:jc w:val="center"/>
        <w:rPr>
          <w:rFonts w:eastAsia="方正小标宋简体"/>
          <w:color w:val="000000"/>
          <w:sz w:val="36"/>
          <w:szCs w:val="36"/>
        </w:rPr>
      </w:pPr>
      <w:bookmarkStart w:id="47" w:name="_Toc437823881"/>
      <w:bookmarkStart w:id="48" w:name="_Toc438543354"/>
      <w:bookmarkStart w:id="49" w:name="_Toc437819133"/>
      <w:bookmarkStart w:id="50" w:name="_Toc443390010"/>
      <w:r>
        <w:rPr>
          <w:rFonts w:hint="eastAsia" w:eastAsia="方正小标宋简体"/>
          <w:color w:val="000000"/>
          <w:sz w:val="36"/>
          <w:szCs w:val="36"/>
        </w:rPr>
        <w:t>第三章</w:t>
      </w:r>
      <w:r>
        <w:rPr>
          <w:rFonts w:eastAsia="方正小标宋简体"/>
          <w:color w:val="000000"/>
          <w:sz w:val="36"/>
          <w:szCs w:val="36"/>
        </w:rPr>
        <w:t xml:space="preserve">  </w:t>
      </w:r>
      <w:r>
        <w:rPr>
          <w:rFonts w:hint="eastAsia" w:eastAsia="方正小标宋简体"/>
          <w:color w:val="000000"/>
          <w:sz w:val="36"/>
          <w:szCs w:val="36"/>
        </w:rPr>
        <w:t>坚持创新发展，</w:t>
      </w:r>
      <w:bookmarkEnd w:id="47"/>
      <w:bookmarkEnd w:id="48"/>
      <w:bookmarkEnd w:id="49"/>
      <w:r>
        <w:rPr>
          <w:rFonts w:hint="eastAsia" w:eastAsia="方正小标宋简体"/>
          <w:color w:val="000000"/>
          <w:sz w:val="36"/>
          <w:szCs w:val="36"/>
        </w:rPr>
        <w:t>提高发展质量效益</w:t>
      </w:r>
      <w:bookmarkEnd w:id="50"/>
    </w:p>
    <w:p w14:paraId="3A65D6DE">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施创新驱动发展战略，坚持以创新引领产业转型升级，促进三次产业融合发展，提升产业链的高附加值环节，优化创新发展环境，促进全民创业创新。积极培育发展新动力，拓展发展新空间，构建产业新体系、发展新体制，形成以创新为主要引领和支撑的经济体系和发展模式，努力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富裕敖汉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p>
    <w:p w14:paraId="358F933E">
      <w:pPr>
        <w:pStyle w:val="3"/>
        <w:spacing w:beforeLines="50" w:afterLines="50" w:line="640" w:lineRule="exact"/>
        <w:jc w:val="center"/>
        <w:rPr>
          <w:rFonts w:ascii="Times New Roman" w:hAnsi="Times New Roman" w:eastAsia="黑体"/>
          <w:color w:val="000000"/>
        </w:rPr>
      </w:pPr>
      <w:bookmarkStart w:id="51" w:name="_Toc437819134"/>
      <w:bookmarkStart w:id="52" w:name="_Toc443390011"/>
      <w:bookmarkStart w:id="53" w:name="_Toc437823882"/>
      <w:bookmarkStart w:id="54" w:name="_Toc438543355"/>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推动农牧业升级，实现特色创新发展</w:t>
      </w:r>
      <w:bookmarkEnd w:id="51"/>
      <w:bookmarkEnd w:id="52"/>
      <w:bookmarkEnd w:id="53"/>
      <w:bookmarkEnd w:id="54"/>
    </w:p>
    <w:p w14:paraId="07A3A2F9">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大力提高农牧业质量效益和竞争力，走产出高效、产品安全、资源节约、环境友好的农牧业现代化道路。到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年，第一产业增加值达到</w:t>
      </w:r>
      <w:r>
        <w:rPr>
          <w:rFonts w:ascii="Times New Roman" w:hAnsi="Times New Roman" w:eastAsia="仿宋_GB2312" w:cs="Times New Roman"/>
          <w:color w:val="000000"/>
          <w:sz w:val="32"/>
          <w:szCs w:val="32"/>
        </w:rPr>
        <w:t>55.4</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6.2%</w:t>
      </w:r>
      <w:r>
        <w:rPr>
          <w:rFonts w:hint="eastAsia" w:ascii="Times New Roman" w:hAnsi="Times New Roman" w:eastAsia="仿宋_GB2312" w:cs="Times New Roman"/>
          <w:color w:val="000000"/>
          <w:sz w:val="32"/>
          <w:szCs w:val="32"/>
        </w:rPr>
        <w:t>，建成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中国谷乡</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bookmarkStart w:id="55" w:name="_Toc437819135"/>
      <w:bookmarkStart w:id="56" w:name="_Toc437823883"/>
      <w:bookmarkStart w:id="57" w:name="_Toc437973468"/>
    </w:p>
    <w:p w14:paraId="40D5BCCF">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一、加快农牧业基础设施建设</w:t>
      </w:r>
      <w:bookmarkEnd w:id="55"/>
      <w:bookmarkEnd w:id="56"/>
      <w:bookmarkEnd w:id="57"/>
    </w:p>
    <w:p w14:paraId="06226A85">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抓住国家实施藏粮于地、藏粮于技战略和我旗列入国家级农产品主产区契机，争取项目、加大投入，集中连片推进农村土地整治，实行山、水、田、林、路综合治理，大规模开展中低产田改造、高效节水灌溉设施建设，提高粮食综合生产能力。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年，新建和巩固膜下滴灌面积达到</w:t>
      </w:r>
      <w:r>
        <w:rPr>
          <w:rFonts w:ascii="Times New Roman" w:hAnsi="Times New Roman" w:eastAsia="仿宋_GB2312" w:cs="Times New Roman"/>
          <w:color w:val="000000"/>
          <w:sz w:val="32"/>
          <w:szCs w:val="32"/>
        </w:rPr>
        <w:t>120</w:t>
      </w:r>
      <w:r>
        <w:rPr>
          <w:rFonts w:hint="eastAsia" w:ascii="Times New Roman" w:hAnsi="Times New Roman" w:eastAsia="仿宋_GB2312" w:cs="Times New Roman"/>
          <w:color w:val="000000"/>
          <w:sz w:val="32"/>
          <w:szCs w:val="32"/>
        </w:rPr>
        <w:t>万亩，全旗农作物总播种面积稳定在</w:t>
      </w:r>
      <w:r>
        <w:rPr>
          <w:rFonts w:ascii="Times New Roman" w:hAnsi="Times New Roman" w:eastAsia="仿宋_GB2312" w:cs="Times New Roman"/>
          <w:color w:val="000000"/>
          <w:sz w:val="32"/>
          <w:szCs w:val="32"/>
        </w:rPr>
        <w:t>380</w:t>
      </w:r>
      <w:r>
        <w:rPr>
          <w:rFonts w:hint="eastAsia" w:ascii="Times New Roman" w:hAnsi="Times New Roman" w:eastAsia="仿宋_GB2312" w:cs="Times New Roman"/>
          <w:color w:val="000000"/>
          <w:sz w:val="32"/>
          <w:szCs w:val="32"/>
        </w:rPr>
        <w:t>万亩，粮食总产稳定在</w:t>
      </w:r>
      <w:r>
        <w:rPr>
          <w:rFonts w:ascii="Times New Roman" w:hAnsi="Times New Roman" w:eastAsia="仿宋_GB2312" w:cs="Times New Roman"/>
          <w:color w:val="000000"/>
          <w:sz w:val="32"/>
          <w:szCs w:val="32"/>
        </w:rPr>
        <w:t>25</w:t>
      </w:r>
      <w:r>
        <w:rPr>
          <w:rFonts w:hint="eastAsia" w:ascii="Times New Roman" w:hAnsi="Times New Roman" w:eastAsia="仿宋_GB2312" w:cs="Times New Roman"/>
          <w:color w:val="000000"/>
          <w:sz w:val="32"/>
          <w:szCs w:val="32"/>
        </w:rPr>
        <w:t>亿斤左右。落实严格的耕地保护基本国策，强化耕地保护责任，划定永久基本农田。探索实行耕地轮作休耕制度，促进农业资源休养生息。依托风沙源治理、退耕还林还草工程，建设标准化棚圈、饲草料库、青贮窖等设施，提升现代畜牧业规模化、集约化水平。</w:t>
      </w:r>
      <w:bookmarkStart w:id="58" w:name="_Toc288462281"/>
      <w:bookmarkEnd w:id="58"/>
      <w:bookmarkStart w:id="59" w:name="_Toc437973469"/>
      <w:bookmarkStart w:id="60" w:name="_Toc437819136"/>
      <w:bookmarkStart w:id="61" w:name="_Toc437823884"/>
    </w:p>
    <w:p w14:paraId="559A8A8F">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二、优化农牧业结构</w:t>
      </w:r>
      <w:bookmarkEnd w:id="59"/>
      <w:bookmarkEnd w:id="60"/>
      <w:bookmarkEnd w:id="61"/>
    </w:p>
    <w:p w14:paraId="5F67D593">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加快农牧业结构调整，推动粮经饲统筹、农林牧结合、种养加一体，促进农牧业增值，拓展农牧民增收空间。推动种植业结构向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两压缩、两增加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方向调整，逐步压缩两杂作物玉米和高粱、山地作物种植和低产低效作物面积，增加杂豆和高效经济作物、以紫花苜蓿为主饲用作物面积。以家庭农场、种粮大户、示范社为载体，加速发展以谷子、荞麦为代表的杂粮种植，积极发展食用菌、甜菜、中药材等高效特色经济作物，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年，杂粮种植面积达到</w:t>
      </w:r>
      <w:r>
        <w:rPr>
          <w:rFonts w:ascii="Times New Roman" w:hAnsi="Times New Roman" w:eastAsia="仿宋_GB2312" w:cs="Times New Roman"/>
          <w:color w:val="000000"/>
          <w:sz w:val="32"/>
          <w:szCs w:val="32"/>
        </w:rPr>
        <w:t>130</w:t>
      </w:r>
      <w:r>
        <w:rPr>
          <w:rFonts w:hint="eastAsia" w:ascii="Times New Roman" w:hAnsi="Times New Roman" w:eastAsia="仿宋_GB2312" w:cs="Times New Roman"/>
          <w:color w:val="000000"/>
          <w:sz w:val="32"/>
          <w:szCs w:val="32"/>
        </w:rPr>
        <w:t>万亩，经济作物种植面积</w:t>
      </w:r>
      <w:r>
        <w:rPr>
          <w:rFonts w:ascii="Times New Roman" w:hAnsi="Times New Roman" w:eastAsia="仿宋_GB2312" w:cs="Times New Roman"/>
          <w:color w:val="000000"/>
          <w:sz w:val="32"/>
          <w:szCs w:val="32"/>
        </w:rPr>
        <w:t>70</w:t>
      </w:r>
      <w:r>
        <w:rPr>
          <w:rFonts w:hint="eastAsia" w:ascii="Times New Roman" w:hAnsi="Times New Roman" w:eastAsia="仿宋_GB2312" w:cs="Times New Roman"/>
          <w:color w:val="000000"/>
          <w:sz w:val="32"/>
          <w:szCs w:val="32"/>
        </w:rPr>
        <w:t>万亩、饲料作物</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万亩。实施农畜产品种植基地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一村一品、联村一品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战略，突出发展肉牛、肉羊、肉驴等养殖业，壮大养殖规模，发展现代畜牧业。做大做强生态畜牧业，推行舍饲精养和集约化经营，促进种养平衡、草畜平衡。</w:t>
      </w:r>
      <w:bookmarkStart w:id="62" w:name="_Toc437973470"/>
      <w:bookmarkStart w:id="63" w:name="_Toc437819137"/>
      <w:bookmarkStart w:id="64" w:name="_Toc437823885"/>
      <w:r>
        <w:rPr>
          <w:rFonts w:hint="eastAsia" w:ascii="Times New Roman" w:hAnsi="Times New Roman" w:eastAsia="仿宋_GB2312" w:cs="Times New Roman"/>
          <w:color w:val="000000"/>
          <w:sz w:val="32"/>
          <w:szCs w:val="32"/>
        </w:rPr>
        <w:t>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年，全旗大小牲畜牧业年度存栏达到</w:t>
      </w:r>
      <w:r>
        <w:rPr>
          <w:rFonts w:ascii="Times New Roman" w:hAnsi="Times New Roman" w:eastAsia="仿宋_GB2312" w:cs="Times New Roman"/>
          <w:color w:val="000000"/>
          <w:sz w:val="32"/>
          <w:szCs w:val="32"/>
        </w:rPr>
        <w:t>360</w:t>
      </w:r>
      <w:r>
        <w:rPr>
          <w:rFonts w:hint="eastAsia" w:ascii="Times New Roman" w:hAnsi="Times New Roman" w:eastAsia="仿宋_GB2312" w:cs="Times New Roman"/>
          <w:color w:val="000000"/>
          <w:sz w:val="32"/>
          <w:szCs w:val="32"/>
        </w:rPr>
        <w:t>万头只以上，出栏</w:t>
      </w:r>
      <w:r>
        <w:rPr>
          <w:rFonts w:ascii="Times New Roman" w:hAnsi="Times New Roman" w:eastAsia="仿宋_GB2312" w:cs="Times New Roman"/>
          <w:color w:val="000000"/>
          <w:sz w:val="32"/>
          <w:szCs w:val="32"/>
        </w:rPr>
        <w:t>330</w:t>
      </w:r>
      <w:r>
        <w:rPr>
          <w:rFonts w:hint="eastAsia" w:ascii="Times New Roman" w:hAnsi="Times New Roman" w:eastAsia="仿宋_GB2312" w:cs="Times New Roman"/>
          <w:color w:val="000000"/>
          <w:sz w:val="32"/>
          <w:szCs w:val="32"/>
        </w:rPr>
        <w:t>万头只以上，其中，肉牛存栏达到</w:t>
      </w:r>
      <w:r>
        <w:rPr>
          <w:rFonts w:ascii="Times New Roman" w:hAnsi="Times New Roman" w:eastAsia="仿宋_GB2312" w:cs="Times New Roman"/>
          <w:color w:val="000000"/>
          <w:sz w:val="32"/>
          <w:szCs w:val="32"/>
        </w:rPr>
        <w:t>25</w:t>
      </w:r>
      <w:r>
        <w:rPr>
          <w:rFonts w:hint="eastAsia" w:ascii="Times New Roman" w:hAnsi="Times New Roman" w:eastAsia="仿宋_GB2312" w:cs="Times New Roman"/>
          <w:color w:val="000000"/>
          <w:sz w:val="32"/>
          <w:szCs w:val="32"/>
        </w:rPr>
        <w:t>万头，肉羊存栏</w:t>
      </w:r>
      <w:r>
        <w:rPr>
          <w:rFonts w:ascii="Times New Roman" w:hAnsi="Times New Roman" w:eastAsia="仿宋_GB2312" w:cs="Times New Roman"/>
          <w:color w:val="000000"/>
          <w:sz w:val="32"/>
          <w:szCs w:val="32"/>
        </w:rPr>
        <w:t>180</w:t>
      </w:r>
      <w:r>
        <w:rPr>
          <w:rFonts w:hint="eastAsia" w:ascii="Times New Roman" w:hAnsi="Times New Roman" w:eastAsia="仿宋_GB2312" w:cs="Times New Roman"/>
          <w:color w:val="000000"/>
          <w:sz w:val="32"/>
          <w:szCs w:val="32"/>
        </w:rPr>
        <w:t>万只，生猪存栏达到</w:t>
      </w:r>
      <w:r>
        <w:rPr>
          <w:rFonts w:ascii="Times New Roman" w:hAnsi="Times New Roman" w:eastAsia="仿宋_GB2312" w:cs="Times New Roman"/>
          <w:color w:val="000000"/>
          <w:sz w:val="32"/>
          <w:szCs w:val="32"/>
        </w:rPr>
        <w:t>150</w:t>
      </w:r>
      <w:r>
        <w:rPr>
          <w:rFonts w:hint="eastAsia" w:ascii="Times New Roman" w:hAnsi="Times New Roman" w:eastAsia="仿宋_GB2312" w:cs="Times New Roman"/>
          <w:color w:val="000000"/>
          <w:sz w:val="32"/>
          <w:szCs w:val="32"/>
        </w:rPr>
        <w:t>万口，肉驴存栏达到</w:t>
      </w:r>
      <w:r>
        <w:rPr>
          <w:rFonts w:ascii="Times New Roman" w:hAnsi="Times New Roman" w:eastAsia="仿宋_GB2312" w:cs="Times New Roman"/>
          <w:color w:val="000000"/>
          <w:sz w:val="32"/>
          <w:szCs w:val="32"/>
        </w:rPr>
        <w:t>40</w:t>
      </w:r>
      <w:r>
        <w:rPr>
          <w:rFonts w:hint="eastAsia" w:ascii="Times New Roman" w:hAnsi="Times New Roman" w:eastAsia="仿宋_GB2312" w:cs="Times New Roman"/>
          <w:color w:val="000000"/>
          <w:sz w:val="32"/>
          <w:szCs w:val="32"/>
        </w:rPr>
        <w:t>万头。全旗蛋鸡存栏达到</w:t>
      </w:r>
      <w:r>
        <w:rPr>
          <w:rFonts w:ascii="Times New Roman" w:hAnsi="Times New Roman" w:eastAsia="仿宋_GB2312" w:cs="Times New Roman"/>
          <w:color w:val="000000"/>
          <w:sz w:val="32"/>
          <w:szCs w:val="32"/>
        </w:rPr>
        <w:t>2500</w:t>
      </w:r>
      <w:r>
        <w:rPr>
          <w:rFonts w:hint="eastAsia" w:ascii="Times New Roman" w:hAnsi="Times New Roman" w:eastAsia="仿宋_GB2312" w:cs="Times New Roman"/>
          <w:color w:val="000000"/>
          <w:sz w:val="32"/>
          <w:szCs w:val="32"/>
        </w:rPr>
        <w:t>万只，肉鹅年饲养量达到</w:t>
      </w:r>
      <w:r>
        <w:rPr>
          <w:rFonts w:ascii="Times New Roman" w:hAnsi="Times New Roman" w:eastAsia="仿宋_GB2312" w:cs="Times New Roman"/>
          <w:color w:val="000000"/>
          <w:sz w:val="32"/>
          <w:szCs w:val="32"/>
        </w:rPr>
        <w:t>1900</w:t>
      </w:r>
      <w:r>
        <w:rPr>
          <w:rFonts w:hint="eastAsia" w:ascii="Times New Roman" w:hAnsi="Times New Roman" w:eastAsia="仿宋_GB2312" w:cs="Times New Roman"/>
          <w:color w:val="000000"/>
          <w:sz w:val="32"/>
          <w:szCs w:val="32"/>
        </w:rPr>
        <w:t>万只。</w:t>
      </w:r>
    </w:p>
    <w:p w14:paraId="16FC8973">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三、提升农牧业产业化水平</w:t>
      </w:r>
      <w:bookmarkEnd w:id="62"/>
      <w:bookmarkEnd w:id="63"/>
      <w:bookmarkEnd w:id="64"/>
      <w:bookmarkStart w:id="65" w:name="_Toc437823886"/>
      <w:bookmarkStart w:id="66" w:name="_Toc437973471"/>
      <w:bookmarkStart w:id="67" w:name="_Toc437819138"/>
    </w:p>
    <w:p w14:paraId="6310B151">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坚持集约化、有机化、品牌化方向，加快转变农牧业发展方式，走出一条农业与牧业循环，规模经营与品牌效益兼得，一、二、三产业融合发展的特色之路。推广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龙头企业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合作社（协会）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农牧户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利益联结模式，提高农牧民生产经营组织化程度。积极发展农村专业合作组织，加强经纪人队伍建设，探索发展大田托管等市场化服务，支持社会资本更多投向农牧业。培育壮大龙头企业，引进温氏集团、中粮集团等大型企业，支持阜信源、金沟农业、中敖等企业做大做强，推进农副产品精深加工，延伸产业链条。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绿色有机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为方向，以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全球重要农业文化遗产地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全球环境</w:t>
      </w:r>
      <w:r>
        <w:rPr>
          <w:rFonts w:ascii="Times New Roman" w:hAnsi="Times New Roman" w:eastAsia="仿宋_GB2312" w:cs="Times New Roman"/>
          <w:color w:val="000000"/>
          <w:sz w:val="32"/>
          <w:szCs w:val="32"/>
        </w:rPr>
        <w:t>500</w:t>
      </w:r>
      <w:r>
        <w:rPr>
          <w:rFonts w:hint="eastAsia" w:ascii="Times New Roman" w:hAnsi="Times New Roman" w:eastAsia="仿宋_GB2312" w:cs="Times New Roman"/>
          <w:color w:val="000000"/>
          <w:sz w:val="32"/>
          <w:szCs w:val="32"/>
        </w:rPr>
        <w:t>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世界品牌为载体，做好小米、荞麦、高粱、苜蓿等农畜产品地理标志证明商标申报跟踪工作，提升品牌经济效益。探索开发休闲农牧业、观光农牧业、创意农牧业等新兴业态，开发农牧业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生产、生活、生态、示范</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多种功能，构建和延伸</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接二连三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产业链和价值链，提升综合效益。到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年，市级以上农牧民专业合作示范社达到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家以上，家庭农牧林场达到</w:t>
      </w:r>
      <w:r>
        <w:rPr>
          <w:rFonts w:ascii="Times New Roman" w:hAnsi="Times New Roman" w:eastAsia="仿宋_GB2312" w:cs="Times New Roman"/>
          <w:color w:val="000000"/>
          <w:sz w:val="32"/>
          <w:szCs w:val="32"/>
        </w:rPr>
        <w:t>700</w:t>
      </w:r>
      <w:r>
        <w:rPr>
          <w:rFonts w:hint="eastAsia" w:ascii="Times New Roman" w:hAnsi="Times New Roman" w:eastAsia="仿宋_GB2312" w:cs="Times New Roman"/>
          <w:color w:val="000000"/>
          <w:sz w:val="32"/>
          <w:szCs w:val="32"/>
        </w:rPr>
        <w:t>家，农副产品加工龙头企业达到</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家，打造农产品知名品牌</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个，</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三品一标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农产品认证达到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个，建成面向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环渤海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京津冀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地区绿色有机农畜产品生产加工输出基地。</w:t>
      </w:r>
    </w:p>
    <w:p w14:paraId="53B2C46A">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四、健全农牧业服务体系</w:t>
      </w:r>
      <w:bookmarkEnd w:id="65"/>
      <w:bookmarkEnd w:id="66"/>
      <w:bookmarkEnd w:id="67"/>
    </w:p>
    <w:p w14:paraId="7F0BBEA3">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深化农牧业机械化服务体系建设，扩大农机装备规模，提高全程机械化水平，到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年，全旗农机总动力达到</w:t>
      </w:r>
      <w:r>
        <w:rPr>
          <w:rFonts w:ascii="Times New Roman" w:hAnsi="Times New Roman" w:eastAsia="仿宋_GB2312" w:cs="Times New Roman"/>
          <w:color w:val="000000"/>
          <w:sz w:val="32"/>
          <w:szCs w:val="32"/>
        </w:rPr>
        <w:t>120</w:t>
      </w:r>
      <w:r>
        <w:rPr>
          <w:rFonts w:hint="eastAsia" w:ascii="Times New Roman" w:hAnsi="Times New Roman" w:eastAsia="仿宋_GB2312" w:cs="Times New Roman"/>
          <w:color w:val="000000"/>
          <w:sz w:val="32"/>
          <w:szCs w:val="32"/>
        </w:rPr>
        <w:t>万千瓦，耕、播、收综合机械化作业水平达到</w:t>
      </w:r>
      <w:r>
        <w:rPr>
          <w:rFonts w:ascii="Times New Roman" w:hAnsi="Times New Roman" w:eastAsia="仿宋_GB2312" w:cs="Times New Roman"/>
          <w:color w:val="000000"/>
          <w:sz w:val="32"/>
          <w:szCs w:val="32"/>
        </w:rPr>
        <w:t>80%</w:t>
      </w:r>
      <w:r>
        <w:rPr>
          <w:rFonts w:hint="eastAsia" w:ascii="Times New Roman" w:hAnsi="Times New Roman" w:eastAsia="仿宋_GB2312" w:cs="Times New Roman"/>
          <w:color w:val="000000"/>
          <w:sz w:val="32"/>
          <w:szCs w:val="32"/>
        </w:rPr>
        <w:t>以上，农业新技术、新成果推广应用率达到</w:t>
      </w:r>
      <w:r>
        <w:rPr>
          <w:rFonts w:ascii="Times New Roman" w:hAnsi="Times New Roman" w:eastAsia="仿宋_GB2312" w:cs="Times New Roman"/>
          <w:color w:val="000000"/>
          <w:sz w:val="32"/>
          <w:szCs w:val="32"/>
        </w:rPr>
        <w:t>85%</w:t>
      </w:r>
      <w:r>
        <w:rPr>
          <w:rFonts w:hint="eastAsia" w:ascii="Times New Roman" w:hAnsi="Times New Roman" w:eastAsia="仿宋_GB2312" w:cs="Times New Roman"/>
          <w:color w:val="000000"/>
          <w:sz w:val="32"/>
          <w:szCs w:val="32"/>
        </w:rPr>
        <w:t>以上，农业科技贡献率达到</w:t>
      </w:r>
      <w:r>
        <w:rPr>
          <w:rFonts w:ascii="Times New Roman" w:hAnsi="Times New Roman" w:eastAsia="仿宋_GB2312" w:cs="Times New Roman"/>
          <w:color w:val="000000"/>
          <w:sz w:val="32"/>
          <w:szCs w:val="32"/>
        </w:rPr>
        <w:t>70%</w:t>
      </w:r>
      <w:r>
        <w:rPr>
          <w:rFonts w:hint="eastAsia" w:ascii="Times New Roman" w:hAnsi="Times New Roman" w:eastAsia="仿宋_GB2312" w:cs="Times New Roman"/>
          <w:color w:val="000000"/>
          <w:sz w:val="32"/>
          <w:szCs w:val="32"/>
        </w:rPr>
        <w:t>以上。建立健全防灾减灾体系和长效机制，加大人工影响天气力度。深化农业保险改革，到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年，农业保险覆盖率达到</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以上。扎实推进农牧业标准化体系建设，合理使用化肥、农药、地膜，建立健全农产品从地头到餐桌的农产品质量追溯体系，守护</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舌尖上的安全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，创建国家农产品质量安全监管示范县。建立健全农牧业社会化服务体系，在信息、政策、公益组织等领域不断满足农牧民需求。</w:t>
      </w:r>
      <w:bookmarkStart w:id="68" w:name="_Toc437973472"/>
      <w:bookmarkStart w:id="69" w:name="_Toc437823887"/>
      <w:bookmarkStart w:id="70" w:name="_Toc437819139"/>
    </w:p>
    <w:p w14:paraId="7A54426D">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五、建设</w:t>
      </w:r>
      <w:r>
        <w:rPr>
          <w:rFonts w:ascii="Times New Roman" w:hAnsi="Times New Roman" w:eastAsia="黑体" w:cs="Times New Roman"/>
          <w:b/>
          <w:color w:val="000000"/>
          <w:sz w:val="32"/>
          <w:szCs w:val="32"/>
        </w:rPr>
        <w:t>“</w:t>
      </w:r>
      <w:r>
        <w:rPr>
          <w:rFonts w:hint="eastAsia" w:ascii="Times New Roman" w:hAnsi="Times New Roman" w:eastAsia="黑体" w:cs="Times New Roman"/>
          <w:b/>
          <w:color w:val="000000"/>
          <w:sz w:val="32"/>
          <w:szCs w:val="32"/>
        </w:rPr>
        <w:t>中国谷乡</w:t>
      </w:r>
      <w:bookmarkEnd w:id="68"/>
      <w:bookmarkEnd w:id="69"/>
      <w:bookmarkEnd w:id="70"/>
      <w:r>
        <w:rPr>
          <w:rFonts w:ascii="Times New Roman" w:hAnsi="Times New Roman" w:eastAsia="黑体" w:cs="Times New Roman"/>
          <w:b/>
          <w:color w:val="000000"/>
          <w:sz w:val="32"/>
          <w:szCs w:val="32"/>
        </w:rPr>
        <w:t>”</w:t>
      </w:r>
    </w:p>
    <w:p w14:paraId="569CFFF9">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提升敖汉小米品质。</w:t>
      </w:r>
      <w:r>
        <w:rPr>
          <w:rFonts w:hint="eastAsia" w:ascii="Times New Roman" w:hAnsi="Times New Roman" w:eastAsia="仿宋_GB2312" w:cs="Times New Roman"/>
          <w:color w:val="000000"/>
          <w:sz w:val="32"/>
          <w:szCs w:val="32"/>
        </w:rPr>
        <w:t>突出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旱作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有机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特色，制定谷子旱作种植标准，加大配套标准化技术的推广应用，提倡使用农家肥，规范使用化肥、农药，建设一批谷子标准化生产基地。制定完善产地准出、贮藏运输、包装标识等方面的标准，加快推进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无公害农产品产地认定和产品认证步伐，授权使用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标识，全面推行条形码制度，构建全产业链的小米质量安全追溯体系。到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年，优质谷子种植面积稳定在</w:t>
      </w:r>
      <w:r>
        <w:rPr>
          <w:rFonts w:ascii="Times New Roman" w:hAnsi="Times New Roman" w:eastAsia="仿宋_GB2312" w:cs="Times New Roman"/>
          <w:color w:val="000000"/>
          <w:sz w:val="32"/>
          <w:szCs w:val="32"/>
        </w:rPr>
        <w:t>80</w:t>
      </w:r>
      <w:r>
        <w:rPr>
          <w:rFonts w:hint="eastAsia" w:ascii="Times New Roman" w:hAnsi="Times New Roman" w:eastAsia="仿宋_GB2312" w:cs="Times New Roman"/>
          <w:color w:val="000000"/>
          <w:sz w:val="32"/>
          <w:szCs w:val="32"/>
        </w:rPr>
        <w:t>万亩，谷子种植全程机械化率达到</w:t>
      </w:r>
      <w:r>
        <w:rPr>
          <w:rFonts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以上，良种覆盖率达到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w:t>
      </w:r>
    </w:p>
    <w:p w14:paraId="35FC5F63">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加大品牌建设力度。</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品牌战略推进工程，深入挖掘文化潜力，注入文化元素，将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品牌培育与农业文化遗产保护有机结合，提升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市场价值。设计推出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品牌整体形象，集中扶持</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个品牌，努力打造全国驰名商标，通过各种形式向国内外推广，扩大</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知名度和美誉度。办好世界小米大会，加快建设谷子产业园、谷子交易中心和旱作农业文化遗产保护区，通过展销推荐、观光旅游、消费体验等多种形式，进一步提升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影响力。综合利用自律、经济、行政和法律等手段建立多部门联动的监管体系，保护</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品牌。鼓励各种经营主体在大中城市建立专卖店，专柜专销、直供直销，建立稳定的销售渠道。大力发展电子商务、直销配送、农超对接等新型营销模式，实现线上线下结合，生产、经营、消费无缝链接，扩大</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市场占有率。到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年，力争把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打造成全国小米第一品牌。通过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敖汉小米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品牌率先突破，推动我旗农牧业转型升级。</w:t>
      </w:r>
    </w:p>
    <w:tbl>
      <w:tblPr>
        <w:tblStyle w:val="18"/>
        <w:tblpPr w:leftFromText="180" w:rightFromText="180" w:vertAnchor="text" w:horzAnchor="margin" w:tblpXSpec="center" w:tblpY="37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F6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5B3D7"/>
            <w:vAlign w:val="center"/>
          </w:tcPr>
          <w:p w14:paraId="0D354509">
            <w:pPr>
              <w:spacing w:line="360" w:lineRule="auto"/>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1                </w:t>
            </w:r>
            <w:r>
              <w:rPr>
                <w:rFonts w:hint="eastAsia" w:ascii="Times New Roman" w:hAnsi="Times New Roman" w:eastAsia="黑体" w:cs="Times New Roman"/>
                <w:b/>
                <w:color w:val="000000"/>
                <w:kern w:val="0"/>
                <w:sz w:val="28"/>
                <w:szCs w:val="28"/>
              </w:rPr>
              <w:t>农牧业重点项目</w:t>
            </w:r>
          </w:p>
        </w:tc>
      </w:tr>
      <w:tr w14:paraId="0C10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62C9316">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土地综合治理项目：</w:t>
            </w:r>
            <w:r>
              <w:rPr>
                <w:rFonts w:hint="eastAsia" w:ascii="Times New Roman" w:hAnsi="Times New Roman" w:eastAsia="仿宋_GB2312" w:cs="Times New Roman"/>
                <w:color w:val="000000"/>
                <w:kern w:val="0"/>
                <w:sz w:val="24"/>
                <w:szCs w:val="32"/>
              </w:rPr>
              <w:t>建设高标准农田</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万亩、基本农田土地整理</w:t>
            </w:r>
            <w:r>
              <w:rPr>
                <w:rFonts w:ascii="Times New Roman" w:hAnsi="Times New Roman" w:eastAsia="仿宋_GB2312" w:cs="Times New Roman"/>
                <w:color w:val="000000"/>
                <w:kern w:val="0"/>
                <w:sz w:val="24"/>
                <w:szCs w:val="32"/>
              </w:rPr>
              <w:t>19</w:t>
            </w:r>
            <w:r>
              <w:rPr>
                <w:rFonts w:hint="eastAsia" w:ascii="Times New Roman" w:hAnsi="Times New Roman" w:eastAsia="仿宋_GB2312" w:cs="Times New Roman"/>
                <w:color w:val="000000"/>
                <w:kern w:val="0"/>
                <w:sz w:val="24"/>
                <w:szCs w:val="32"/>
              </w:rPr>
              <w:t>万亩、坡耕地综合治理面积</w:t>
            </w:r>
            <w:r>
              <w:rPr>
                <w:rFonts w:ascii="Times New Roman" w:hAnsi="Times New Roman" w:eastAsia="仿宋_GB2312" w:cs="Times New Roman"/>
                <w:color w:val="000000"/>
                <w:kern w:val="0"/>
                <w:sz w:val="24"/>
                <w:szCs w:val="32"/>
              </w:rPr>
              <w:t>4</w:t>
            </w:r>
            <w:r>
              <w:rPr>
                <w:rFonts w:hint="eastAsia" w:ascii="Times New Roman" w:hAnsi="Times New Roman" w:eastAsia="仿宋_GB2312" w:cs="Times New Roman"/>
                <w:color w:val="000000"/>
                <w:kern w:val="0"/>
                <w:sz w:val="24"/>
                <w:szCs w:val="32"/>
              </w:rPr>
              <w:t>万亩。</w:t>
            </w:r>
          </w:p>
          <w:p w14:paraId="1353A064">
            <w:pPr>
              <w:spacing w:line="360" w:lineRule="auto"/>
              <w:ind w:firstLine="482" w:firstLineChars="200"/>
              <w:rPr>
                <w:rFonts w:ascii="Times New Roman" w:hAnsi="Times New Roman" w:eastAsia="仿宋" w:cs="Times New Roman"/>
                <w:bCs/>
                <w:color w:val="000000"/>
                <w:kern w:val="0"/>
                <w:sz w:val="24"/>
                <w:szCs w:val="20"/>
              </w:rPr>
            </w:pPr>
            <w:r>
              <w:rPr>
                <w:rFonts w:hint="eastAsia" w:ascii="Times New Roman" w:hAnsi="Times New Roman" w:eastAsia="黑体" w:cs="Times New Roman"/>
                <w:b/>
                <w:bCs/>
                <w:color w:val="000000"/>
                <w:kern w:val="0"/>
                <w:sz w:val="24"/>
                <w:szCs w:val="20"/>
              </w:rPr>
              <w:t>膜下滴灌项目：</w:t>
            </w:r>
            <w:r>
              <w:rPr>
                <w:rFonts w:hint="eastAsia" w:ascii="Times New Roman" w:hAnsi="Times New Roman" w:eastAsia="仿宋_GB2312" w:cs="Times New Roman"/>
                <w:color w:val="000000"/>
                <w:kern w:val="0"/>
                <w:sz w:val="24"/>
                <w:szCs w:val="32"/>
              </w:rPr>
              <w:t>新建膜下滴灌</w:t>
            </w:r>
            <w:r>
              <w:rPr>
                <w:rFonts w:ascii="Times New Roman" w:hAnsi="Times New Roman" w:eastAsia="仿宋_GB2312" w:cs="Times New Roman"/>
                <w:color w:val="000000"/>
                <w:kern w:val="0"/>
                <w:sz w:val="24"/>
                <w:szCs w:val="32"/>
              </w:rPr>
              <w:t>30</w:t>
            </w:r>
            <w:r>
              <w:rPr>
                <w:rFonts w:hint="eastAsia" w:ascii="Times New Roman" w:hAnsi="Times New Roman" w:eastAsia="仿宋_GB2312" w:cs="Times New Roman"/>
                <w:color w:val="000000"/>
                <w:kern w:val="0"/>
                <w:sz w:val="24"/>
                <w:szCs w:val="32"/>
              </w:rPr>
              <w:t>万亩，巩固膜下滴灌</w:t>
            </w:r>
            <w:r>
              <w:rPr>
                <w:rFonts w:ascii="Times New Roman" w:hAnsi="Times New Roman" w:eastAsia="仿宋_GB2312" w:cs="Times New Roman"/>
                <w:color w:val="000000"/>
                <w:kern w:val="0"/>
                <w:sz w:val="24"/>
                <w:szCs w:val="32"/>
              </w:rPr>
              <w:t>90</w:t>
            </w:r>
            <w:r>
              <w:rPr>
                <w:rFonts w:hint="eastAsia" w:ascii="Times New Roman" w:hAnsi="Times New Roman" w:eastAsia="仿宋_GB2312" w:cs="Times New Roman"/>
                <w:color w:val="000000"/>
                <w:kern w:val="0"/>
                <w:sz w:val="24"/>
                <w:szCs w:val="32"/>
              </w:rPr>
              <w:t>万亩。</w:t>
            </w:r>
          </w:p>
          <w:p w14:paraId="5BCA8863">
            <w:pPr>
              <w:spacing w:line="360" w:lineRule="auto"/>
              <w:ind w:firstLine="482" w:firstLineChars="200"/>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4"/>
                <w:szCs w:val="28"/>
              </w:rPr>
              <w:t>谷子产业园项目：</w:t>
            </w:r>
            <w:r>
              <w:rPr>
                <w:rFonts w:hint="eastAsia" w:ascii="Times New Roman" w:hAnsi="Times New Roman" w:eastAsia="仿宋_GB2312" w:cs="Times New Roman"/>
                <w:color w:val="000000"/>
                <w:kern w:val="0"/>
                <w:sz w:val="24"/>
                <w:szCs w:val="32"/>
              </w:rPr>
              <w:t>占地</w:t>
            </w:r>
            <w:r>
              <w:rPr>
                <w:rFonts w:ascii="Times New Roman" w:hAnsi="Times New Roman" w:eastAsia="仿宋_GB2312" w:cs="Times New Roman"/>
                <w:color w:val="000000"/>
                <w:kern w:val="0"/>
                <w:sz w:val="24"/>
                <w:szCs w:val="32"/>
              </w:rPr>
              <w:t>2000</w:t>
            </w:r>
            <w:r>
              <w:rPr>
                <w:rFonts w:hint="eastAsia" w:ascii="Times New Roman" w:hAnsi="Times New Roman" w:eastAsia="仿宋_GB2312" w:cs="Times New Roman"/>
                <w:color w:val="000000"/>
                <w:kern w:val="0"/>
                <w:sz w:val="24"/>
                <w:szCs w:val="32"/>
              </w:rPr>
              <w:t>亩，分八个功能区，建成集展示、观光、交易、结算等为一体谷子产业园。</w:t>
            </w:r>
          </w:p>
        </w:tc>
      </w:tr>
    </w:tbl>
    <w:p w14:paraId="1BF46446">
      <w:pPr>
        <w:pStyle w:val="3"/>
        <w:spacing w:beforeLines="50" w:afterLines="50" w:line="640" w:lineRule="exact"/>
        <w:jc w:val="center"/>
        <w:rPr>
          <w:rFonts w:ascii="Times New Roman" w:hAnsi="Times New Roman" w:eastAsia="黑体"/>
          <w:color w:val="000000"/>
        </w:rPr>
      </w:pPr>
      <w:bookmarkStart w:id="71" w:name="_Toc438543356"/>
      <w:bookmarkStart w:id="72" w:name="_Toc437819140"/>
      <w:bookmarkStart w:id="73" w:name="_Toc437823888"/>
      <w:bookmarkStart w:id="74" w:name="_Toc443390012"/>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推动工业转型，实现规模创新发展</w:t>
      </w:r>
      <w:bookmarkEnd w:id="71"/>
      <w:bookmarkEnd w:id="72"/>
      <w:bookmarkEnd w:id="73"/>
      <w:bookmarkEnd w:id="74"/>
    </w:p>
    <w:p w14:paraId="771E5E31">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以创新为引领，以招商引资为重点，落实《中国制造</w:t>
      </w:r>
      <w:r>
        <w:rPr>
          <w:rFonts w:ascii="Times New Roman" w:hAnsi="Times New Roman" w:eastAsia="仿宋_GB2312" w:cs="Times New Roman"/>
          <w:color w:val="000000"/>
          <w:sz w:val="32"/>
          <w:szCs w:val="32"/>
        </w:rPr>
        <w:t>2025</w:t>
      </w:r>
      <w:r>
        <w:rPr>
          <w:rFonts w:hint="eastAsia" w:ascii="Times New Roman" w:hAnsi="Times New Roman" w:eastAsia="仿宋_GB2312" w:cs="Times New Roman"/>
          <w:color w:val="000000"/>
          <w:sz w:val="32"/>
          <w:szCs w:val="32"/>
        </w:rPr>
        <w:t>》，加快推进工业转型升级，延长资源型产业链条，发展非资源型产业，加快实现传统产业新型化、新兴产业规模化、支柱产业多元化，着力构建新型工业体系。到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w:t>
      </w:r>
      <w:bookmarkStart w:id="75" w:name="_Toc437819141"/>
      <w:bookmarkStart w:id="76" w:name="_Toc437973474"/>
      <w:bookmarkStart w:id="77" w:name="_Toc437823889"/>
      <w:r>
        <w:rPr>
          <w:rFonts w:hint="eastAsia" w:ascii="Times New Roman" w:hAnsi="Times New Roman" w:eastAsia="仿宋_GB2312" w:cs="Times New Roman"/>
          <w:color w:val="000000"/>
          <w:sz w:val="32"/>
          <w:szCs w:val="32"/>
        </w:rPr>
        <w:t>第二产业增加值达到</w:t>
      </w:r>
      <w:r>
        <w:rPr>
          <w:rFonts w:ascii="Times New Roman" w:hAnsi="Times New Roman" w:eastAsia="仿宋_GB2312" w:cs="Times New Roman"/>
          <w:color w:val="000000"/>
          <w:sz w:val="32"/>
          <w:szCs w:val="32"/>
        </w:rPr>
        <w:t>104.8</w:t>
      </w:r>
      <w:r>
        <w:rPr>
          <w:rFonts w:hint="eastAsia" w:ascii="Times New Roman" w:hAnsi="Times New Roman" w:eastAsia="仿宋_GB2312" w:cs="Times New Roman"/>
          <w:color w:val="000000"/>
          <w:sz w:val="32"/>
          <w:szCs w:val="32"/>
        </w:rPr>
        <w:t>亿元，年均增长</w:t>
      </w:r>
      <w:r>
        <w:rPr>
          <w:rFonts w:ascii="Times New Roman" w:hAnsi="Times New Roman" w:eastAsia="仿宋_GB2312" w:cs="Times New Roman"/>
          <w:color w:val="000000"/>
          <w:sz w:val="32"/>
          <w:szCs w:val="32"/>
        </w:rPr>
        <w:t>8.4%</w:t>
      </w:r>
      <w:r>
        <w:rPr>
          <w:rFonts w:hint="eastAsia" w:ascii="Times New Roman" w:hAnsi="Times New Roman" w:eastAsia="仿宋_GB2312" w:cs="Times New Roman"/>
          <w:color w:val="000000"/>
          <w:sz w:val="32"/>
          <w:szCs w:val="32"/>
        </w:rPr>
        <w:t>。</w:t>
      </w:r>
    </w:p>
    <w:p w14:paraId="17EDA83D">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一、改造提升传统产业</w:t>
      </w:r>
      <w:bookmarkEnd w:id="75"/>
      <w:bookmarkEnd w:id="76"/>
      <w:bookmarkEnd w:id="77"/>
    </w:p>
    <w:p w14:paraId="1BF807B3">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矿产冶金业。</w:t>
      </w:r>
      <w:r>
        <w:rPr>
          <w:rFonts w:hint="eastAsia" w:ascii="Times New Roman" w:hAnsi="Times New Roman" w:eastAsia="仿宋_GB2312" w:cs="Times New Roman"/>
          <w:color w:val="000000"/>
          <w:sz w:val="32"/>
          <w:szCs w:val="32"/>
        </w:rPr>
        <w:t>坚持生态安全，强化政策引导，积极鼓励黄金企业把资金更多投向新兴产业，推动矿产冶金转型升级。加大黄金勘查力度，支持中国黄金、赤峰黄金两大黄金公司启动外围开发，引导小型黄金企业兼并重组、盘活资产，促进转型升级，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期末，年生产黄金达到</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吨，建成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内蒙金都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；加快以铁为主的黑色金属采、选、冶、加一体化发展，鼓励企业淘汰落后产能，调整产品结构，延长产业链条，培育一批具有较强竞争力的龙头企业，到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期末，年生产铁铸件</w:t>
      </w:r>
      <w:r>
        <w:rPr>
          <w:rFonts w:ascii="Times New Roman" w:hAnsi="Times New Roman" w:eastAsia="仿宋_GB2312" w:cs="Times New Roman"/>
          <w:color w:val="000000"/>
          <w:sz w:val="32"/>
          <w:szCs w:val="32"/>
        </w:rPr>
        <w:t>100 </w:t>
      </w:r>
      <w:r>
        <w:rPr>
          <w:rFonts w:hint="eastAsia" w:ascii="Times New Roman" w:hAnsi="Times New Roman" w:eastAsia="仿宋_GB2312" w:cs="Times New Roman"/>
          <w:color w:val="000000"/>
          <w:sz w:val="32"/>
          <w:szCs w:val="32"/>
        </w:rPr>
        <w:t>万吨、铁精粉</w:t>
      </w:r>
      <w:r>
        <w:rPr>
          <w:rFonts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万吨；加快铜、钼、铅、锌产业实现探转采，提高矿产资源综合利用水平，生产加工铜杆、铜线、铅锌纯板、锌电池等下游产品，提高产品技术含量和附加值，到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期末，年生产铅、锌、铜、钼等产品</w:t>
      </w:r>
      <w:r>
        <w:rPr>
          <w:rFonts w:ascii="Times New Roman" w:hAnsi="Times New Roman" w:eastAsia="仿宋_GB2312" w:cs="Times New Roman"/>
          <w:color w:val="000000"/>
          <w:sz w:val="32"/>
          <w:szCs w:val="32"/>
        </w:rPr>
        <w:t>5.5</w:t>
      </w:r>
      <w:r>
        <w:rPr>
          <w:rFonts w:hint="eastAsia" w:ascii="Times New Roman" w:hAnsi="Times New Roman" w:eastAsia="仿宋_GB2312" w:cs="Times New Roman"/>
          <w:color w:val="000000"/>
          <w:sz w:val="32"/>
          <w:szCs w:val="32"/>
        </w:rPr>
        <w:t>万吨。到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年，矿产冶金业实现销售产值</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亿元。</w:t>
      </w:r>
    </w:p>
    <w:p w14:paraId="6D547FDC">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农畜产品加工业。</w:t>
      </w:r>
      <w:r>
        <w:rPr>
          <w:rFonts w:hint="eastAsia" w:ascii="Times New Roman" w:hAnsi="Times New Roman" w:eastAsia="仿宋_GB2312" w:cs="Times New Roman"/>
          <w:color w:val="000000"/>
          <w:sz w:val="32"/>
          <w:szCs w:val="32"/>
        </w:rPr>
        <w:t>突出绿色有机，鼓励农畜产品加工企业拓宽领域，鼓励沙漠之花做大做强饮品产业，带动我旗健康饮品产业发展，扶持金沟农业、阜信源等龙头企业通过兼并重组等方式，打造大型企业集团。吸引国内有实力的农畜产品加工企业向园区集聚，打造杂粮、畜禽、林果、饮品等农畜产品深加工产业集群。支持农畜产品加工业向精深发展，鼓励企业加大科技投入，提升深加工水平，提高产品档次和附加值。强化农畜产品市场流通，重点面向京津冀等市场，采取农产品连锁直销、农超（社）对接、展示展销等多元营销方式，发展农产品现代物流产业和新型流通业态。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年，农畜产品加工业年销售产值实现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亿元以上，成为全旗重要支柱产业。</w:t>
      </w:r>
    </w:p>
    <w:p w14:paraId="6F73734B">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建材化工业。</w:t>
      </w:r>
      <w:r>
        <w:rPr>
          <w:rFonts w:hint="eastAsia" w:ascii="Times New Roman" w:hAnsi="Times New Roman" w:eastAsia="仿宋_GB2312" w:cs="Times New Roman"/>
          <w:color w:val="000000"/>
          <w:sz w:val="32"/>
          <w:szCs w:val="32"/>
        </w:rPr>
        <w:t>以蒸压加气混凝土砌块、多效节能建材为方向，大力发展混凝土与水泥制品业。引导利用煤矸石、尾矿、矿渣等工业级建筑废弃物烧结多孔砖等产品，开发节能、环保、美观的新型墙体材料。以残次林更新、退化防护林改造为契机，大力发展木材加工业。规范糠醛生产企业发展，积极开发糠醛下游产品。以氟化工产业园区为平台，引进一批氟化工企业和新型氟化工项目，生产含氟聚合物和含氟精细化工等高档氟化工产品。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年，建材化工业实现销售产值</w:t>
      </w:r>
      <w:r>
        <w:rPr>
          <w:rFonts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亿元。</w:t>
      </w:r>
    </w:p>
    <w:p w14:paraId="2DE4080A">
      <w:pPr>
        <w:spacing w:line="64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加工制造业。</w:t>
      </w:r>
      <w:r>
        <w:rPr>
          <w:rFonts w:hint="eastAsia" w:ascii="Times New Roman" w:hAnsi="Times New Roman" w:eastAsia="仿宋_GB2312" w:cs="Times New Roman"/>
          <w:color w:val="000000"/>
          <w:sz w:val="32"/>
          <w:szCs w:val="32"/>
        </w:rPr>
        <w:t>依托丰富的黑色、有色金属资源，重点承接农牧业机械制造、机电设备组装及零配件生产等项目。依托丰富的人力资源，引进家具制造、服装纺织等特色劳动密集型生产加工项目。到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年，全旗加工制造业销售产值达到</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亿元。</w:t>
      </w:r>
      <w:bookmarkStart w:id="78" w:name="_Toc437973475"/>
      <w:bookmarkStart w:id="79" w:name="_Toc437823890"/>
      <w:bookmarkStart w:id="80" w:name="_Toc437819142"/>
    </w:p>
    <w:p w14:paraId="6D0DC445">
      <w:pPr>
        <w:spacing w:line="640" w:lineRule="exact"/>
        <w:ind w:firstLine="630" w:firstLineChars="196"/>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二、培育壮大新兴产业</w:t>
      </w:r>
      <w:bookmarkEnd w:id="78"/>
      <w:bookmarkEnd w:id="79"/>
      <w:bookmarkEnd w:id="80"/>
    </w:p>
    <w:p w14:paraId="6FBB84D3">
      <w:pPr>
        <w:spacing w:line="64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重点打造新能源产业。</w:t>
      </w:r>
      <w:r>
        <w:rPr>
          <w:rFonts w:hint="eastAsia" w:ascii="Times New Roman" w:hAnsi="Times New Roman" w:eastAsia="仿宋_GB2312" w:cs="Times New Roman"/>
          <w:color w:val="000000"/>
          <w:sz w:val="32"/>
          <w:szCs w:val="32"/>
        </w:rPr>
        <w:t>积极发展清洁能源产业，编制清洁能源发展规划，在长胜镇、古鲁板蒿乡、木头营子乡、羊场办事处等风、光资源富集地区，布局大型光伏发电项目和风电开发项目，引进国内外风电光电企业来我旗落户。大力发展农光互补、牧光互补、林光互补等多种建站模式，实现新能源和现代农业的多元共赢发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期间，风电场装机容量达到</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万千瓦，光伏发电场装机容量达到</w:t>
      </w:r>
      <w:r>
        <w:rPr>
          <w:rFonts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兆瓦，光电、风电年产值</w:t>
      </w:r>
      <w:r>
        <w:rPr>
          <w:rFonts w:ascii="Times New Roman" w:hAnsi="Times New Roman" w:eastAsia="仿宋_GB2312" w:cs="Times New Roman"/>
          <w:color w:val="000000"/>
          <w:sz w:val="32"/>
          <w:szCs w:val="32"/>
        </w:rPr>
        <w:t>6.5</w:t>
      </w:r>
      <w:r>
        <w:rPr>
          <w:rFonts w:hint="eastAsia" w:ascii="Times New Roman" w:hAnsi="Times New Roman" w:eastAsia="仿宋_GB2312" w:cs="Times New Roman"/>
          <w:color w:val="000000"/>
          <w:sz w:val="32"/>
          <w:szCs w:val="32"/>
        </w:rPr>
        <w:t>亿元。扶持非常规能源产业加快发展，努力打造兴隆洼油页岩循环经济园区、四家子沥青岩循环经济园区，推动塞浦路斯浦达拉集团</w:t>
      </w:r>
      <w:r>
        <w:rPr>
          <w:rFonts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万吨沥青岩综合利用项目和北煤集团</w:t>
      </w:r>
      <w:r>
        <w:rPr>
          <w:rFonts w:ascii="Times New Roman" w:hAnsi="Times New Roman" w:eastAsia="仿宋_GB2312" w:cs="Times New Roman"/>
          <w:color w:val="000000"/>
          <w:sz w:val="32"/>
          <w:szCs w:val="32"/>
        </w:rPr>
        <w:t>1000</w:t>
      </w:r>
      <w:r>
        <w:rPr>
          <w:rFonts w:hint="eastAsia" w:ascii="Times New Roman" w:hAnsi="Times New Roman" w:eastAsia="仿宋_GB2312" w:cs="Times New Roman"/>
          <w:color w:val="000000"/>
          <w:sz w:val="32"/>
          <w:szCs w:val="32"/>
        </w:rPr>
        <w:t>万吨油页岩综合利用项目加快建设、达产达效。到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年，全旗新能源产业实现销售产值</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亿元以上。</w:t>
      </w:r>
    </w:p>
    <w:p w14:paraId="6C93FAF4">
      <w:pPr>
        <w:spacing w:line="64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发展壮大健康产业。</w:t>
      </w:r>
      <w:r>
        <w:rPr>
          <w:rFonts w:hint="eastAsia" w:ascii="Times New Roman" w:hAnsi="Times New Roman" w:eastAsia="仿宋_GB2312" w:cs="Times New Roman"/>
          <w:color w:val="000000"/>
          <w:sz w:val="32"/>
          <w:szCs w:val="32"/>
        </w:rPr>
        <w:t>以蒙中药产业为核心，建设医药产业园，逐步形成集原材料、化学制剂、生物制药和蒙中药生产相互衔接、协作配套的医药产业基地。建立健全蒙中药产业发展、文化推广、标准化、科技服务等体系，促进蒙中药产业规模化发展。依托大鸟鹅业、阜信源、中敖等公司，积极培育生物制药产业，发展以药食同补为主的生物制药产品。大力发展以我旗绿色农畜产品为原料的保健食品，重点围绕免疫功能调节、营养素补充、抗疲劳、调节血脂等功能类型，开发特色功能保健食品。依托东阿阿胶集团开发驴奶、驴胶等深加工食品；依托郭氏庄园农业发展公司开发文冠果油、皮、叶等系列产品；依托沙漠之花、依纳维康集团等生产沙棘油和沙棘黄酮等系列高档保健品和化妆品；大力开发小米、荞麦、油用牡丹、打瓜等具有发展前景的营养健康保健休闲食品和功能饮料，打造一批具有地方特色健康食品品牌。依托我旗</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全球环境</w:t>
      </w:r>
      <w:r>
        <w:rPr>
          <w:rFonts w:ascii="Times New Roman" w:hAnsi="Times New Roman" w:eastAsia="仿宋_GB2312" w:cs="Times New Roman"/>
          <w:color w:val="000000"/>
          <w:sz w:val="32"/>
          <w:szCs w:val="32"/>
        </w:rPr>
        <w:t>500</w:t>
      </w:r>
      <w:r>
        <w:rPr>
          <w:rFonts w:hint="eastAsia" w:ascii="Times New Roman" w:hAnsi="Times New Roman" w:eastAsia="仿宋_GB2312" w:cs="Times New Roman"/>
          <w:color w:val="000000"/>
          <w:sz w:val="32"/>
          <w:szCs w:val="32"/>
        </w:rPr>
        <w:t>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资源优势，大力发展休闲居住、旅游疗养、养老养生等健康服务产业。到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年，健康产业实现销售产值</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亿元，初步建成全国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文冠果之乡</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沙棘之都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阿胶驿站</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p>
    <w:p w14:paraId="35D5EA4D">
      <w:pPr>
        <w:spacing w:line="64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积极培育新材料产业。</w:t>
      </w:r>
      <w:r>
        <w:rPr>
          <w:rFonts w:hint="eastAsia" w:ascii="Times New Roman" w:hAnsi="Times New Roman" w:eastAsia="仿宋_GB2312" w:cs="Times New Roman"/>
          <w:color w:val="000000"/>
          <w:sz w:val="32"/>
          <w:szCs w:val="32"/>
        </w:rPr>
        <w:t>重点开发高端金属材料深加工，支持华钛公司海绵钛、海绵锆、液态金属等高端金属材料产业发展，规划建设四家子高端金属材料生产区。统筹硅石开发，引进外部资源，发展单晶硅、多晶硅产业，谋划光电、电子配件生产等项目，延伸产业链条。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年，全旗新材料产业实现销售产值</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亿元。</w:t>
      </w:r>
      <w:bookmarkStart w:id="81" w:name="_Toc437819143"/>
      <w:bookmarkStart w:id="82" w:name="_Toc437973476"/>
      <w:bookmarkStart w:id="83" w:name="_Toc437823891"/>
    </w:p>
    <w:p w14:paraId="77737A1A">
      <w:pPr>
        <w:spacing w:line="640" w:lineRule="exact"/>
        <w:ind w:firstLine="630" w:firstLineChars="196"/>
        <w:rPr>
          <w:rFonts w:ascii="Times New Roman" w:hAnsi="Times New Roman" w:eastAsia="黑体" w:cs="Times New Roman"/>
          <w:b/>
          <w:color w:val="000000"/>
          <w:sz w:val="32"/>
          <w:szCs w:val="32"/>
          <w:lang w:val="zh-CN"/>
        </w:rPr>
      </w:pPr>
      <w:r>
        <w:rPr>
          <w:rFonts w:hint="eastAsia" w:ascii="Times New Roman" w:hAnsi="Times New Roman" w:eastAsia="黑体" w:cs="Times New Roman"/>
          <w:b/>
          <w:color w:val="000000"/>
          <w:sz w:val="32"/>
          <w:szCs w:val="32"/>
          <w:lang w:val="zh-CN"/>
        </w:rPr>
        <w:t>三、打造绿色工业园区</w:t>
      </w:r>
      <w:bookmarkEnd w:id="81"/>
      <w:bookmarkEnd w:id="82"/>
      <w:bookmarkEnd w:id="83"/>
    </w:p>
    <w:p w14:paraId="2470DA74">
      <w:pPr>
        <w:spacing w:line="640" w:lineRule="exact"/>
        <w:ind w:firstLine="640" w:firstLineChars="200"/>
        <w:rPr>
          <w:rFonts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新惠工业区扩容至</w:t>
      </w:r>
      <w:r>
        <w:rPr>
          <w:rFonts w:ascii="Times New Roman" w:hAnsi="Times New Roman" w:eastAsia="仿宋_GB2312" w:cs="Times New Roman"/>
          <w:color w:val="000000"/>
          <w:sz w:val="32"/>
          <w:szCs w:val="32"/>
          <w:lang w:val="zh-CN"/>
        </w:rPr>
        <w:t>30</w:t>
      </w:r>
      <w:r>
        <w:rPr>
          <w:rFonts w:hint="eastAsia" w:ascii="Times New Roman" w:hAnsi="Times New Roman" w:eastAsia="仿宋_GB2312" w:cs="Times New Roman"/>
          <w:color w:val="000000"/>
          <w:sz w:val="32"/>
          <w:szCs w:val="32"/>
          <w:lang w:val="zh-CN"/>
        </w:rPr>
        <w:t>平方公里，不断加大园区投入力度，强化供排水、输变电、公路、绿化等基础设施配套建设，推进污水处理厂、固体废弃物处理重点工程建设，持续完善园区社会化、市场化功能，提高服务质量和水平。新惠工业区重点发展农畜产品加工、加工制造业、劳动密集型产业，争取建成国家级绿色农畜产品示范园区；氟化工工业区重点发展精细化高端化氟化工产品；四家子沥青岩工业区重点发展液态燃油生产与销售、尾砂综合利用、富裕气体余热发电的循环综合利用；兴隆洼油页岩工业区重点发展油页岩采炼、尾渣综合循环利用等产业；羊场通用航空产业区主要发展航空管理培训、维修保养、商务包机、观光旅游等相关产业；通过</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五区建设</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，形成新的</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敖汉旗工业园</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。发挥</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敖汉旗工业园</w:t>
      </w:r>
      <w:r>
        <w:rPr>
          <w:rFonts w:ascii="Times New Roman" w:hAnsi="Times New Roman" w:eastAsia="仿宋_GB2312" w:cs="Times New Roman"/>
          <w:color w:val="000000"/>
          <w:sz w:val="32"/>
          <w:szCs w:val="32"/>
          <w:lang w:val="zh-CN"/>
        </w:rPr>
        <w:t>”</w:t>
      </w:r>
      <w:r>
        <w:rPr>
          <w:rFonts w:hint="eastAsia" w:ascii="Times New Roman" w:hAnsi="Times New Roman" w:eastAsia="仿宋_GB2312" w:cs="Times New Roman"/>
          <w:color w:val="000000"/>
          <w:sz w:val="32"/>
          <w:szCs w:val="32"/>
          <w:lang w:val="zh-CN"/>
        </w:rPr>
        <w:t>产业集聚和政策优势，全方位开展与东部沿海发达地区大企业、知名企业特别是</w:t>
      </w:r>
      <w:r>
        <w:rPr>
          <w:rFonts w:ascii="Times New Roman" w:hAnsi="Times New Roman" w:eastAsia="仿宋_GB2312" w:cs="Times New Roman"/>
          <w:color w:val="000000"/>
          <w:sz w:val="32"/>
          <w:szCs w:val="32"/>
          <w:lang w:val="zh-CN"/>
        </w:rPr>
        <w:t>500</w:t>
      </w:r>
      <w:r>
        <w:rPr>
          <w:rFonts w:hint="eastAsia" w:ascii="Times New Roman" w:hAnsi="Times New Roman" w:eastAsia="仿宋_GB2312" w:cs="Times New Roman"/>
          <w:color w:val="000000"/>
          <w:sz w:val="32"/>
          <w:szCs w:val="32"/>
          <w:lang w:val="zh-CN"/>
        </w:rPr>
        <w:t>强企业的战略合作，加大招商引资力度，积极承接产业转移，把敖汉旗工业园建成自治区级绿色工业园区。</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69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vAlign w:val="center"/>
          </w:tcPr>
          <w:p w14:paraId="4B153A8B">
            <w:pPr>
              <w:spacing w:line="360" w:lineRule="auto"/>
              <w:jc w:val="left"/>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2                </w:t>
            </w:r>
            <w:r>
              <w:rPr>
                <w:rFonts w:hint="eastAsia" w:ascii="Times New Roman" w:hAnsi="Times New Roman" w:eastAsia="黑体" w:cs="Times New Roman"/>
                <w:b/>
                <w:color w:val="000000"/>
                <w:kern w:val="0"/>
                <w:sz w:val="28"/>
                <w:szCs w:val="28"/>
              </w:rPr>
              <w:t>工业重点项目</w:t>
            </w:r>
          </w:p>
        </w:tc>
      </w:tr>
      <w:tr w14:paraId="7F3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595782F0">
            <w:pPr>
              <w:spacing w:line="360" w:lineRule="auto"/>
              <w:ind w:firstLine="482" w:firstLineChars="200"/>
              <w:rPr>
                <w:rFonts w:ascii="Times New Roman" w:hAnsi="Times New Roman" w:eastAsia="仿宋_GB2312" w:cs="Times New Roman"/>
                <w:color w:val="000000"/>
                <w:kern w:val="0"/>
                <w:sz w:val="24"/>
                <w:szCs w:val="32"/>
                <w:lang w:val="zh-CN"/>
              </w:rPr>
            </w:pPr>
            <w:r>
              <w:rPr>
                <w:rFonts w:hint="eastAsia" w:ascii="Times New Roman" w:hAnsi="Times New Roman" w:eastAsia="黑体" w:cs="Times New Roman"/>
                <w:b/>
                <w:bCs/>
                <w:color w:val="000000"/>
                <w:kern w:val="0"/>
                <w:sz w:val="24"/>
                <w:szCs w:val="20"/>
              </w:rPr>
              <w:t>内蒙古浦达拉沥青材料技术有限公司沥青岩综合利用项目：</w:t>
            </w:r>
            <w:r>
              <w:rPr>
                <w:rFonts w:hint="eastAsia" w:ascii="Times New Roman" w:hAnsi="Times New Roman" w:eastAsia="仿宋_GB2312" w:cs="Times New Roman"/>
                <w:color w:val="000000"/>
                <w:kern w:val="0"/>
                <w:sz w:val="24"/>
                <w:szCs w:val="32"/>
                <w:lang w:val="zh-CN"/>
              </w:rPr>
              <w:t>年处理沥青岩</w:t>
            </w:r>
            <w:r>
              <w:rPr>
                <w:rFonts w:ascii="Times New Roman" w:hAnsi="Times New Roman" w:eastAsia="仿宋_GB2312" w:cs="Times New Roman"/>
                <w:color w:val="000000"/>
                <w:kern w:val="0"/>
                <w:sz w:val="24"/>
                <w:szCs w:val="32"/>
                <w:lang w:val="zh-CN"/>
              </w:rPr>
              <w:t>200</w:t>
            </w:r>
            <w:r>
              <w:rPr>
                <w:rFonts w:hint="eastAsia" w:ascii="Times New Roman" w:hAnsi="Times New Roman" w:eastAsia="仿宋_GB2312" w:cs="Times New Roman"/>
                <w:color w:val="000000"/>
                <w:kern w:val="0"/>
                <w:sz w:val="24"/>
                <w:szCs w:val="32"/>
                <w:lang w:val="zh-CN"/>
              </w:rPr>
              <w:t>万吨、年产燃料油</w:t>
            </w:r>
            <w:r>
              <w:rPr>
                <w:rFonts w:ascii="Times New Roman" w:hAnsi="Times New Roman" w:eastAsia="仿宋_GB2312" w:cs="Times New Roman"/>
                <w:color w:val="000000"/>
                <w:kern w:val="0"/>
                <w:sz w:val="24"/>
                <w:szCs w:val="32"/>
                <w:lang w:val="zh-CN"/>
              </w:rPr>
              <w:t>30</w:t>
            </w:r>
            <w:r>
              <w:rPr>
                <w:rFonts w:hint="eastAsia" w:ascii="Times New Roman" w:hAnsi="Times New Roman" w:eastAsia="仿宋_GB2312" w:cs="Times New Roman"/>
                <w:color w:val="000000"/>
                <w:kern w:val="0"/>
                <w:sz w:val="24"/>
                <w:szCs w:val="32"/>
                <w:lang w:val="zh-CN"/>
              </w:rPr>
              <w:t>万吨及利用废渣生产水泥熟料</w:t>
            </w:r>
            <w:r>
              <w:rPr>
                <w:rFonts w:ascii="Times New Roman" w:hAnsi="Times New Roman" w:eastAsia="仿宋_GB2312" w:cs="Times New Roman"/>
                <w:color w:val="000000"/>
                <w:kern w:val="0"/>
                <w:sz w:val="24"/>
                <w:szCs w:val="32"/>
                <w:lang w:val="zh-CN"/>
              </w:rPr>
              <w:t>100</w:t>
            </w:r>
            <w:r>
              <w:rPr>
                <w:rFonts w:hint="eastAsia" w:ascii="Times New Roman" w:hAnsi="Times New Roman" w:eastAsia="仿宋_GB2312" w:cs="Times New Roman"/>
                <w:color w:val="000000"/>
                <w:kern w:val="0"/>
                <w:sz w:val="24"/>
                <w:szCs w:val="32"/>
                <w:lang w:val="zh-CN"/>
              </w:rPr>
              <w:t>万吨。</w:t>
            </w:r>
          </w:p>
          <w:p w14:paraId="48339AF1">
            <w:pPr>
              <w:spacing w:line="360" w:lineRule="auto"/>
              <w:ind w:left="479" w:leftChars="228"/>
              <w:rPr>
                <w:rFonts w:ascii="Times New Roman" w:hAnsi="Times New Roman" w:eastAsia="仿宋_GB2312" w:cs="Times New Roman"/>
                <w:color w:val="000000"/>
                <w:kern w:val="0"/>
                <w:sz w:val="24"/>
                <w:szCs w:val="32"/>
                <w:lang w:val="zh-CN"/>
              </w:rPr>
            </w:pPr>
            <w:r>
              <w:rPr>
                <w:rFonts w:hint="eastAsia" w:ascii="Times New Roman" w:hAnsi="Times New Roman" w:eastAsia="黑体" w:cs="Times New Roman"/>
                <w:b/>
                <w:bCs/>
                <w:color w:val="000000"/>
                <w:kern w:val="0"/>
                <w:sz w:val="24"/>
                <w:szCs w:val="20"/>
              </w:rPr>
              <w:t>北煤集团千山矿业公司油页岩综合利用项目：</w:t>
            </w:r>
            <w:r>
              <w:rPr>
                <w:rFonts w:hint="eastAsia" w:ascii="Times New Roman" w:hAnsi="Times New Roman" w:eastAsia="仿宋_GB2312" w:cs="Times New Roman"/>
                <w:color w:val="000000"/>
                <w:kern w:val="0"/>
                <w:sz w:val="24"/>
                <w:szCs w:val="32"/>
                <w:lang w:val="zh-CN"/>
              </w:rPr>
              <w:t>年处理油页岩</w:t>
            </w:r>
            <w:r>
              <w:rPr>
                <w:rFonts w:ascii="Times New Roman" w:hAnsi="Times New Roman" w:eastAsia="仿宋_GB2312" w:cs="Times New Roman"/>
                <w:color w:val="000000"/>
                <w:kern w:val="0"/>
                <w:sz w:val="24"/>
                <w:szCs w:val="32"/>
                <w:lang w:val="zh-CN"/>
              </w:rPr>
              <w:t>1000</w:t>
            </w:r>
            <w:r>
              <w:rPr>
                <w:rFonts w:hint="eastAsia" w:ascii="Times New Roman" w:hAnsi="Times New Roman" w:eastAsia="仿宋_GB2312" w:cs="Times New Roman"/>
                <w:color w:val="000000"/>
                <w:kern w:val="0"/>
                <w:sz w:val="24"/>
                <w:szCs w:val="32"/>
                <w:lang w:val="zh-CN"/>
              </w:rPr>
              <w:t>万吨。</w:t>
            </w:r>
          </w:p>
          <w:p w14:paraId="2A7FA4E5">
            <w:pPr>
              <w:spacing w:line="360" w:lineRule="auto"/>
              <w:ind w:left="479" w:leftChars="228"/>
              <w:rPr>
                <w:rFonts w:ascii="Times New Roman" w:hAnsi="Times New Roman" w:eastAsia="仿宋_GB2312" w:cs="Times New Roman"/>
                <w:color w:val="000000"/>
                <w:kern w:val="0"/>
                <w:sz w:val="24"/>
                <w:szCs w:val="32"/>
                <w:lang w:val="zh-CN"/>
              </w:rPr>
            </w:pPr>
            <w:r>
              <w:rPr>
                <w:rFonts w:hint="eastAsia" w:ascii="Times New Roman" w:hAnsi="Times New Roman" w:eastAsia="黑体" w:cs="Times New Roman"/>
                <w:b/>
                <w:bCs/>
                <w:color w:val="000000"/>
                <w:kern w:val="0"/>
                <w:sz w:val="24"/>
                <w:szCs w:val="20"/>
              </w:rPr>
              <w:t>国电康家营光伏发电建设项目：</w:t>
            </w:r>
            <w:r>
              <w:rPr>
                <w:rFonts w:hint="eastAsia" w:ascii="Times New Roman" w:hAnsi="Times New Roman" w:eastAsia="仿宋_GB2312" w:cs="Times New Roman"/>
                <w:color w:val="000000"/>
                <w:kern w:val="0"/>
                <w:sz w:val="24"/>
                <w:szCs w:val="32"/>
                <w:lang w:val="zh-CN"/>
              </w:rPr>
              <w:t>建设</w:t>
            </w:r>
            <w:r>
              <w:rPr>
                <w:rFonts w:ascii="Times New Roman" w:hAnsi="Times New Roman" w:eastAsia="仿宋_GB2312" w:cs="Times New Roman"/>
                <w:color w:val="000000"/>
                <w:kern w:val="0"/>
                <w:sz w:val="24"/>
                <w:szCs w:val="32"/>
                <w:lang w:val="zh-CN"/>
              </w:rPr>
              <w:t>60MWp</w:t>
            </w:r>
            <w:r>
              <w:rPr>
                <w:rFonts w:hint="eastAsia" w:ascii="Times New Roman" w:hAnsi="Times New Roman" w:eastAsia="仿宋_GB2312" w:cs="Times New Roman"/>
                <w:color w:val="000000"/>
                <w:kern w:val="0"/>
                <w:sz w:val="24"/>
                <w:szCs w:val="32"/>
                <w:lang w:val="zh-CN"/>
              </w:rPr>
              <w:t>的光伏电站。</w:t>
            </w:r>
          </w:p>
          <w:p w14:paraId="7CA9C63B">
            <w:pPr>
              <w:spacing w:line="360" w:lineRule="auto"/>
              <w:ind w:firstLine="482" w:firstLineChars="200"/>
              <w:rPr>
                <w:rFonts w:ascii="Times New Roman" w:hAnsi="Times New Roman" w:cs="Times New Roman"/>
                <w:color w:val="000000"/>
                <w:kern w:val="0"/>
                <w:sz w:val="20"/>
                <w:szCs w:val="20"/>
              </w:rPr>
            </w:pPr>
            <w:r>
              <w:rPr>
                <w:rFonts w:hint="eastAsia" w:ascii="Times New Roman" w:hAnsi="Times New Roman" w:eastAsia="黑体" w:cs="Times New Roman"/>
                <w:b/>
                <w:bCs/>
                <w:color w:val="000000"/>
                <w:kern w:val="0"/>
                <w:sz w:val="24"/>
                <w:szCs w:val="20"/>
              </w:rPr>
              <w:t>赤峰久盛创新科技有限公司蒙中药产业园项目：</w:t>
            </w:r>
            <w:r>
              <w:rPr>
                <w:rFonts w:hint="eastAsia" w:ascii="Times New Roman" w:hAnsi="Times New Roman" w:eastAsia="仿宋_GB2312" w:cs="Times New Roman"/>
                <w:color w:val="000000"/>
                <w:kern w:val="0"/>
                <w:sz w:val="24"/>
                <w:szCs w:val="32"/>
                <w:lang w:val="zh-CN"/>
              </w:rPr>
              <w:t>建设中草药基地</w:t>
            </w:r>
            <w:r>
              <w:rPr>
                <w:rFonts w:ascii="Times New Roman" w:hAnsi="Times New Roman" w:eastAsia="仿宋_GB2312" w:cs="Times New Roman"/>
                <w:color w:val="000000"/>
                <w:kern w:val="0"/>
                <w:sz w:val="24"/>
                <w:szCs w:val="32"/>
                <w:lang w:val="zh-CN"/>
              </w:rPr>
              <w:t>1.5</w:t>
            </w:r>
            <w:r>
              <w:rPr>
                <w:rFonts w:hint="eastAsia" w:ascii="Times New Roman" w:hAnsi="Times New Roman" w:eastAsia="仿宋_GB2312" w:cs="Times New Roman"/>
                <w:color w:val="000000"/>
                <w:kern w:val="0"/>
                <w:sz w:val="24"/>
                <w:szCs w:val="32"/>
                <w:lang w:val="zh-CN"/>
              </w:rPr>
              <w:t>万亩、年产</w:t>
            </w:r>
            <w:r>
              <w:rPr>
                <w:rFonts w:ascii="Times New Roman" w:hAnsi="Times New Roman" w:eastAsia="仿宋_GB2312" w:cs="Times New Roman"/>
                <w:color w:val="000000"/>
                <w:kern w:val="0"/>
                <w:sz w:val="24"/>
                <w:szCs w:val="32"/>
                <w:lang w:val="zh-CN"/>
              </w:rPr>
              <w:t>5000</w:t>
            </w:r>
            <w:r>
              <w:rPr>
                <w:rFonts w:hint="eastAsia" w:ascii="Times New Roman" w:hAnsi="Times New Roman" w:eastAsia="仿宋_GB2312" w:cs="Times New Roman"/>
                <w:color w:val="000000"/>
                <w:kern w:val="0"/>
                <w:sz w:val="24"/>
                <w:szCs w:val="32"/>
                <w:lang w:val="zh-CN"/>
              </w:rPr>
              <w:t>吨中蒙药饮片。</w:t>
            </w:r>
          </w:p>
        </w:tc>
      </w:tr>
    </w:tbl>
    <w:p w14:paraId="52324E0F">
      <w:pPr>
        <w:pStyle w:val="3"/>
        <w:spacing w:beforeLines="50" w:afterLines="50" w:line="640" w:lineRule="exact"/>
        <w:jc w:val="center"/>
        <w:rPr>
          <w:rFonts w:ascii="Times New Roman" w:hAnsi="Times New Roman" w:eastAsia="黑体"/>
          <w:color w:val="000000"/>
        </w:rPr>
      </w:pPr>
      <w:bookmarkStart w:id="84" w:name="_Toc443390013"/>
      <w:bookmarkStart w:id="85" w:name="_Toc437819144"/>
      <w:bookmarkStart w:id="86" w:name="_Toc437823892"/>
      <w:bookmarkStart w:id="87" w:name="_Toc438543357"/>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推动服务业整合，实现融合创新发展</w:t>
      </w:r>
      <w:bookmarkEnd w:id="84"/>
      <w:bookmarkEnd w:id="85"/>
      <w:bookmarkEnd w:id="86"/>
      <w:bookmarkEnd w:id="87"/>
    </w:p>
    <w:p w14:paraId="7ECBC884">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推动服务业与新型工业化、信息化、城镇化和农牧业现代化融合发展，提升服务业发展品质，实现服务业发展提速、规模扩大、占比提高。到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年，第三产业增加值达到</w:t>
      </w:r>
      <w:r>
        <w:rPr>
          <w:rFonts w:ascii="Times New Roman" w:hAnsi="Times New Roman" w:eastAsia="仿宋_GB2312" w:cs="Times New Roman"/>
          <w:color w:val="000000"/>
          <w:sz w:val="32"/>
          <w:szCs w:val="32"/>
        </w:rPr>
        <w:t>92.1</w:t>
      </w:r>
      <w:r>
        <w:rPr>
          <w:rFonts w:hint="eastAsia" w:ascii="Times New Roman" w:hAnsi="Times New Roman" w:eastAsia="仿宋_GB2312" w:cs="Times New Roman"/>
          <w:color w:val="000000"/>
          <w:sz w:val="32"/>
          <w:szCs w:val="32"/>
        </w:rPr>
        <w:t>亿元以上，年均增长</w:t>
      </w:r>
      <w:r>
        <w:rPr>
          <w:rFonts w:ascii="Times New Roman" w:hAnsi="Times New Roman" w:eastAsia="仿宋_GB2312" w:cs="Times New Roman"/>
          <w:color w:val="000000"/>
          <w:sz w:val="32"/>
          <w:szCs w:val="32"/>
        </w:rPr>
        <w:t>11.7%</w:t>
      </w:r>
      <w:r>
        <w:rPr>
          <w:rFonts w:hint="eastAsia" w:ascii="Times New Roman" w:hAnsi="Times New Roman" w:eastAsia="仿宋_GB2312" w:cs="Times New Roman"/>
          <w:color w:val="000000"/>
          <w:sz w:val="32"/>
          <w:szCs w:val="32"/>
        </w:rPr>
        <w:t>。推动文化旅游产业成为全旗支柱产业之一。</w:t>
      </w:r>
      <w:bookmarkStart w:id="88" w:name="_Toc437823893"/>
      <w:bookmarkStart w:id="89" w:name="_Toc437819145"/>
      <w:bookmarkStart w:id="90" w:name="_Toc437973478"/>
    </w:p>
    <w:p w14:paraId="4EF449A9">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一、提升</w:t>
      </w:r>
      <w:r>
        <w:rPr>
          <w:rFonts w:ascii="Times New Roman" w:hAnsi="Times New Roman" w:eastAsia="黑体" w:cs="Times New Roman"/>
          <w:b/>
          <w:color w:val="000000"/>
          <w:sz w:val="32"/>
          <w:szCs w:val="32"/>
        </w:rPr>
        <w:t>“</w:t>
      </w:r>
      <w:r>
        <w:rPr>
          <w:rFonts w:hint="eastAsia" w:ascii="Times New Roman" w:hAnsi="Times New Roman" w:eastAsia="黑体" w:cs="Times New Roman"/>
          <w:b/>
          <w:color w:val="000000"/>
          <w:sz w:val="32"/>
          <w:szCs w:val="32"/>
        </w:rPr>
        <w:t>人文敖汉</w:t>
      </w:r>
      <w:r>
        <w:rPr>
          <w:rFonts w:ascii="Times New Roman" w:hAnsi="Times New Roman" w:eastAsia="黑体" w:cs="Times New Roman"/>
          <w:b/>
          <w:color w:val="000000"/>
          <w:sz w:val="32"/>
          <w:szCs w:val="32"/>
        </w:rPr>
        <w:t>”</w:t>
      </w:r>
      <w:r>
        <w:rPr>
          <w:rFonts w:hint="eastAsia" w:ascii="Times New Roman" w:hAnsi="Times New Roman" w:eastAsia="黑体" w:cs="Times New Roman"/>
          <w:b/>
          <w:color w:val="000000"/>
          <w:sz w:val="32"/>
          <w:szCs w:val="32"/>
        </w:rPr>
        <w:t>建设水平</w:t>
      </w:r>
    </w:p>
    <w:p w14:paraId="7331E604">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坚持政府统筹，全民参与，做实红山文化核心区定位，建设蒙东南历史文化休闲娱乐中心区（</w:t>
      </w:r>
      <w:r>
        <w:rPr>
          <w:rFonts w:ascii="Times New Roman" w:hAnsi="Times New Roman" w:eastAsia="仿宋_GB2312" w:cs="Times New Roman"/>
          <w:color w:val="000000"/>
          <w:sz w:val="32"/>
          <w:szCs w:val="32"/>
        </w:rPr>
        <w:t>HRD</w:t>
      </w:r>
      <w:r>
        <w:rPr>
          <w:rFonts w:hint="eastAsia" w:ascii="Times New Roman" w:hAnsi="Times New Roman" w:eastAsia="仿宋_GB2312" w:cs="Times New Roman"/>
          <w:color w:val="000000"/>
          <w:sz w:val="32"/>
          <w:szCs w:val="32"/>
        </w:rPr>
        <w:t>），打造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人文敖汉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升级版。把握</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人文敖汉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核心竞争力，依托中国社会科学院考古研究所敖汉史前考古研究基地、内蒙古红山文化博物院、敖汉史前文化研究会等学术支撑平台，打造中国北方以及东北亚地区史前文化研究、展示和传承中心。实施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文化名牌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战略，把世界小米大会、史前文化研究会、红山文化高峰论坛打造成具有国际影响的高端学术论坛，把中国兴隆洼文化节打造成具有全国影响的品牌节庆活动，传播好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敖汉故事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带动产业发展。坚定不移推进文物保护工程，把九处国家级重点文物保护单位全部纳入保护规划，启动兴隆沟考古遗址公园建设，推动保护基础上的合理开发利用。在抓好国有博物馆建设的同时，鼓励和支持社会力量办博物馆、纪念馆，推动博物馆事业健康发展。创新传统文化弘扬机制，强化国民教育、民间传承、史志编修、经典普及力度，传承优秀民族和民俗文化，推进历史文化研究与文化产业发展深度融合、历史文化与旅游业深度融合、历史文化与农业深度融合，加速形成产业化，推进我旗由文化大旗向文化强旗转变。</w:t>
      </w:r>
      <w:bookmarkStart w:id="91" w:name="_Toc437973479"/>
      <w:bookmarkStart w:id="92" w:name="_Toc437823894"/>
      <w:bookmarkStart w:id="93" w:name="_Toc437819146"/>
    </w:p>
    <w:p w14:paraId="7A009198">
      <w:pPr>
        <w:spacing w:line="640" w:lineRule="exact"/>
        <w:ind w:firstLine="643" w:firstLineChars="200"/>
        <w:rPr>
          <w:rFonts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二、积极发展特色文化产业</w:t>
      </w:r>
      <w:bookmarkEnd w:id="91"/>
      <w:bookmarkEnd w:id="92"/>
      <w:bookmarkEnd w:id="93"/>
    </w:p>
    <w:p w14:paraId="4EC5287F">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依托文化资源优势，合理布局，精心创意，打造以史前文化产业园为代表的文化产业集群，积极推进红山文化风情园、玉石文化产业园等重大项目建设，形成产业规模和特色优势，将红山文化风情园建设成为史前文化输出综合体。大力开发历史文化工艺及旅游纪念品、文化创意、影视制作、建筑、广告设计等创意产业，积极发展文化产业规划、投融资、市场营销、服务管理等产业，填补文化产业业态空白。做好非物质文化遗产保护和传承工作，鼓励传统民间艺术发展，打造申报一批具有敖汉特色的文化名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乡</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、名村。积极发展玉石产业，规划建设敖汉玉石文化产业园区、工艺美术产业园区，建设蒙东地区重要的玉石生产和销售基地，把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红山玉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打造成自治区及全国知名品牌。</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24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tcPr>
          <w:p w14:paraId="367F4AAD">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3                </w:t>
            </w:r>
            <w:r>
              <w:rPr>
                <w:rFonts w:hint="eastAsia" w:ascii="Times New Roman" w:hAnsi="Times New Roman" w:eastAsia="黑体" w:cs="Times New Roman"/>
                <w:b/>
                <w:color w:val="000000"/>
                <w:kern w:val="0"/>
                <w:sz w:val="28"/>
                <w:szCs w:val="32"/>
              </w:rPr>
              <w:t>文化产业重点项目</w:t>
            </w:r>
          </w:p>
        </w:tc>
      </w:tr>
      <w:tr w14:paraId="3F26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E3B6495">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红山文化风情园建设项目：</w:t>
            </w:r>
            <w:r>
              <w:rPr>
                <w:rFonts w:hint="eastAsia" w:ascii="Times New Roman" w:hAnsi="Times New Roman" w:eastAsia="仿宋_GB2312" w:cs="Times New Roman"/>
                <w:color w:val="000000"/>
                <w:kern w:val="0"/>
                <w:sz w:val="24"/>
                <w:szCs w:val="32"/>
              </w:rPr>
              <w:t>建设内蒙古史前文化博物馆、红山文化体验园等项目，建设规模</w:t>
            </w:r>
            <w:r>
              <w:rPr>
                <w:rFonts w:ascii="Times New Roman" w:hAnsi="Times New Roman" w:eastAsia="仿宋_GB2312" w:cs="Times New Roman"/>
                <w:color w:val="000000"/>
                <w:kern w:val="0"/>
                <w:sz w:val="24"/>
                <w:szCs w:val="32"/>
              </w:rPr>
              <w:t>60000</w:t>
            </w:r>
            <w:r>
              <w:rPr>
                <w:rFonts w:hint="eastAsia" w:ascii="Times New Roman" w:hAnsi="Times New Roman" w:eastAsia="仿宋_GB2312" w:cs="Times New Roman"/>
                <w:color w:val="000000"/>
                <w:kern w:val="0"/>
                <w:sz w:val="24"/>
                <w:szCs w:val="32"/>
              </w:rPr>
              <w:t>平方米。</w:t>
            </w:r>
          </w:p>
          <w:p w14:paraId="543BA787">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文化遗址保护开发项目：</w:t>
            </w:r>
            <w:r>
              <w:rPr>
                <w:rFonts w:hint="eastAsia" w:ascii="Times New Roman" w:hAnsi="Times New Roman" w:eastAsia="仿宋_GB2312" w:cs="Times New Roman"/>
                <w:color w:val="000000"/>
                <w:kern w:val="0"/>
                <w:sz w:val="24"/>
                <w:szCs w:val="32"/>
              </w:rPr>
              <w:t>对兴隆洼遗址、城子山遗址、赵宝沟遗址、大甸子遗址、兴隆沟遗址、草帽山遗址、元代宁昌路遗址及辽塔、辽代武安州遗址及辽塔等一批重点文物保护单位加强维修保护，筹建兴隆沟考古遗址公园。</w:t>
            </w:r>
          </w:p>
          <w:p w14:paraId="6982BAB0">
            <w:pPr>
              <w:spacing w:line="360" w:lineRule="auto"/>
              <w:ind w:firstLine="482" w:firstLineChars="200"/>
              <w:rPr>
                <w:rFonts w:ascii="Times New Roman" w:hAnsi="Times New Roman" w:eastAsia="仿宋" w:cs="Times New Roman"/>
                <w:bCs/>
                <w:color w:val="000000"/>
                <w:kern w:val="0"/>
                <w:sz w:val="24"/>
                <w:szCs w:val="28"/>
              </w:rPr>
            </w:pPr>
            <w:r>
              <w:rPr>
                <w:rFonts w:hint="eastAsia" w:ascii="Times New Roman" w:hAnsi="Times New Roman" w:eastAsia="黑体" w:cs="Times New Roman"/>
                <w:b/>
                <w:bCs/>
                <w:color w:val="000000"/>
                <w:kern w:val="0"/>
                <w:sz w:val="24"/>
                <w:szCs w:val="20"/>
              </w:rPr>
              <w:t>玉石文化产业园项目：</w:t>
            </w:r>
            <w:r>
              <w:rPr>
                <w:rFonts w:hint="eastAsia" w:ascii="Times New Roman" w:hAnsi="Times New Roman" w:eastAsia="仿宋_GB2312" w:cs="Times New Roman"/>
                <w:color w:val="000000"/>
                <w:kern w:val="0"/>
                <w:sz w:val="24"/>
                <w:szCs w:val="32"/>
              </w:rPr>
              <w:t>入驻玉石加工企业</w:t>
            </w:r>
            <w:r>
              <w:rPr>
                <w:rFonts w:ascii="Times New Roman" w:hAnsi="Times New Roman" w:eastAsia="仿宋_GB2312" w:cs="Times New Roman"/>
                <w:color w:val="000000"/>
                <w:kern w:val="0"/>
                <w:sz w:val="24"/>
                <w:szCs w:val="32"/>
              </w:rPr>
              <w:t>100</w:t>
            </w:r>
            <w:r>
              <w:rPr>
                <w:rFonts w:hint="eastAsia" w:ascii="Times New Roman" w:hAnsi="Times New Roman" w:eastAsia="仿宋_GB2312" w:cs="Times New Roman"/>
                <w:color w:val="000000"/>
                <w:kern w:val="0"/>
                <w:sz w:val="24"/>
                <w:szCs w:val="32"/>
              </w:rPr>
              <w:t>家以上，年加工玉石</w:t>
            </w:r>
            <w:r>
              <w:rPr>
                <w:rFonts w:ascii="Times New Roman" w:hAnsi="Times New Roman" w:eastAsia="仿宋_GB2312" w:cs="Times New Roman"/>
                <w:color w:val="000000"/>
                <w:kern w:val="0"/>
                <w:sz w:val="24"/>
                <w:szCs w:val="32"/>
              </w:rPr>
              <w:t>5000</w:t>
            </w:r>
            <w:r>
              <w:rPr>
                <w:rFonts w:hint="eastAsia" w:ascii="Times New Roman" w:hAnsi="Times New Roman" w:eastAsia="仿宋_GB2312" w:cs="Times New Roman"/>
                <w:color w:val="000000"/>
                <w:kern w:val="0"/>
                <w:sz w:val="24"/>
                <w:szCs w:val="32"/>
              </w:rPr>
              <w:t>吨，实现销售产值</w:t>
            </w:r>
            <w:r>
              <w:rPr>
                <w:rFonts w:ascii="Times New Roman" w:hAnsi="Times New Roman" w:eastAsia="仿宋_GB2312" w:cs="Times New Roman"/>
                <w:color w:val="000000"/>
                <w:kern w:val="0"/>
                <w:sz w:val="24"/>
                <w:szCs w:val="32"/>
              </w:rPr>
              <w:t>4</w:t>
            </w:r>
            <w:r>
              <w:rPr>
                <w:rFonts w:hint="eastAsia" w:ascii="Times New Roman" w:hAnsi="Times New Roman" w:eastAsia="仿宋_GB2312" w:cs="Times New Roman"/>
                <w:color w:val="000000"/>
                <w:kern w:val="0"/>
                <w:sz w:val="24"/>
                <w:szCs w:val="32"/>
              </w:rPr>
              <w:t>亿元。</w:t>
            </w:r>
          </w:p>
        </w:tc>
      </w:tr>
    </w:tbl>
    <w:p w14:paraId="2D6608A9">
      <w:pPr>
        <w:spacing w:line="640" w:lineRule="exact"/>
        <w:ind w:firstLine="630" w:firstLineChars="196"/>
        <w:rPr>
          <w:rFonts w:ascii="Times New Roman" w:hAnsi="Times New Roman" w:eastAsia="黑体" w:cs="Times New Roman"/>
          <w:b/>
          <w:color w:val="000000"/>
          <w:sz w:val="32"/>
          <w:szCs w:val="32"/>
        </w:rPr>
      </w:pPr>
      <w:bookmarkStart w:id="94" w:name="_Toc437823895"/>
      <w:bookmarkStart w:id="95" w:name="_Toc437819147"/>
      <w:bookmarkStart w:id="96" w:name="_Toc437973480"/>
      <w:r>
        <w:rPr>
          <w:rFonts w:hint="eastAsia" w:ascii="Times New Roman" w:hAnsi="Times New Roman" w:eastAsia="黑体" w:cs="Times New Roman"/>
          <w:b/>
          <w:color w:val="000000"/>
          <w:sz w:val="32"/>
          <w:szCs w:val="32"/>
        </w:rPr>
        <w:t>三、大力发展文化旅游业</w:t>
      </w:r>
      <w:bookmarkEnd w:id="94"/>
      <w:bookmarkEnd w:id="95"/>
      <w:bookmarkEnd w:id="96"/>
    </w:p>
    <w:p w14:paraId="6883DE2B">
      <w:pPr>
        <w:spacing w:line="640" w:lineRule="exact"/>
        <w:ind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推动文化旅游深度融合，发挥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龙祖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玉源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谷乡</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全球环境</w:t>
      </w:r>
      <w:r>
        <w:rPr>
          <w:rFonts w:ascii="Times New Roman" w:hAnsi="Times New Roman" w:eastAsia="仿宋_GB2312" w:cs="Times New Roman"/>
          <w:color w:val="000000"/>
          <w:sz w:val="32"/>
          <w:szCs w:val="32"/>
        </w:rPr>
        <w:t>500</w:t>
      </w:r>
      <w:r>
        <w:rPr>
          <w:rFonts w:hint="eastAsia" w:ascii="Times New Roman" w:hAnsi="Times New Roman" w:eastAsia="仿宋_GB2312" w:cs="Times New Roman"/>
          <w:color w:val="000000"/>
          <w:sz w:val="32"/>
          <w:szCs w:val="32"/>
        </w:rPr>
        <w:t>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特色品牌优势，重点打造以青泉谷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青城寺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温泉城</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红山文化风情园</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小河沿文化旅游区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城子山</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黄羊洼等景区、景点为主的精品旅游线路，积极开发一批寻根探源、史前文化再现等个性化旅游线路，建设赤峰万年历史文化旅游长廊的东南部起点。加强旅游基础设施建设，修建旅游干线公路、景区连接路和乡村旅游公路。完善休闲娱乐、住宿餐饮等配套服务功能，大幅提升旅游接待服务能力。加强旅游市场培育和营销管理，推进高</w:t>
      </w:r>
      <w:r>
        <w:rPr>
          <w:rFonts w:ascii="Times New Roman" w:hAnsi="Times New Roman" w:eastAsia="仿宋_GB2312" w:cs="Times New Roman"/>
          <w:color w:val="000000"/>
          <w:sz w:val="32"/>
          <w:szCs w:val="32"/>
        </w:rPr>
        <w:t>A</w:t>
      </w:r>
      <w:r>
        <w:rPr>
          <w:rFonts w:hint="eastAsia" w:ascii="Times New Roman" w:hAnsi="Times New Roman" w:eastAsia="仿宋_GB2312" w:cs="Times New Roman"/>
          <w:color w:val="000000"/>
          <w:sz w:val="32"/>
          <w:szCs w:val="32"/>
        </w:rPr>
        <w:t>级景区创建，提高敖汉旗旅游美誉度和吸引力。加大文化旅游人才引进和培养，积极引进大企业大集团开发我旗文化旅游产品。到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年，把敖汉旗建成具有国际影响力的人文游、具有国家影响力的生态游、具有区域影响力的乡村游的三大旅游目的地，实现文化旅游业年接待各类游客</w:t>
      </w:r>
      <w:r>
        <w:rPr>
          <w:rFonts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万人次，产值达到</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亿元以上。</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CF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vAlign w:val="center"/>
          </w:tcPr>
          <w:p w14:paraId="1FC9B3BE">
            <w:pPr>
              <w:spacing w:line="360" w:lineRule="auto"/>
              <w:rPr>
                <w:rFonts w:ascii="Times New Roman" w:hAnsi="Times New Roman" w:cs="Times New Roman"/>
                <w:color w:val="000000"/>
                <w:kern w:val="0"/>
                <w:sz w:val="24"/>
              </w:rPr>
            </w:pPr>
            <w:r>
              <w:rPr>
                <w:rFonts w:hint="eastAsia" w:ascii="Times New Roman" w:hAnsi="Times New Roman" w:eastAsia="黑体" w:cs="Times New Roman"/>
                <w:b/>
                <w:color w:val="000000"/>
                <w:kern w:val="0"/>
                <w:sz w:val="28"/>
              </w:rPr>
              <w:t>专栏</w:t>
            </w:r>
            <w:r>
              <w:rPr>
                <w:rFonts w:ascii="Times New Roman" w:hAnsi="Times New Roman" w:eastAsia="黑体" w:cs="Times New Roman"/>
                <w:b/>
                <w:color w:val="000000"/>
                <w:kern w:val="0"/>
                <w:sz w:val="28"/>
              </w:rPr>
              <w:t xml:space="preserve">4              </w:t>
            </w:r>
            <w:r>
              <w:rPr>
                <w:rFonts w:hint="eastAsia" w:ascii="Times New Roman" w:hAnsi="Times New Roman" w:eastAsia="黑体" w:cs="Times New Roman"/>
                <w:b/>
                <w:color w:val="000000"/>
                <w:kern w:val="0"/>
                <w:sz w:val="28"/>
              </w:rPr>
              <w:t>文化旅游重点项目</w:t>
            </w:r>
          </w:p>
        </w:tc>
      </w:tr>
      <w:tr w14:paraId="3D3A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22" w:type="dxa"/>
            <w:vAlign w:val="center"/>
          </w:tcPr>
          <w:p w14:paraId="540952DF">
            <w:pPr>
              <w:widowControl/>
              <w:spacing w:line="360" w:lineRule="auto"/>
              <w:ind w:firstLine="482" w:firstLineChars="200"/>
              <w:jc w:val="left"/>
              <w:rPr>
                <w:rFonts w:ascii="Times New Roman" w:hAnsi="Times New Roman" w:eastAsia="仿宋_GB2312" w:cs="Times New Roman"/>
                <w:color w:val="000000"/>
                <w:kern w:val="0"/>
                <w:sz w:val="24"/>
                <w:szCs w:val="24"/>
              </w:rPr>
            </w:pPr>
            <w:r>
              <w:rPr>
                <w:rFonts w:hint="eastAsia" w:ascii="Times New Roman" w:hAnsi="Times New Roman" w:eastAsia="黑体" w:cs="Times New Roman"/>
                <w:b/>
                <w:bCs/>
                <w:color w:val="000000"/>
                <w:kern w:val="0"/>
                <w:sz w:val="24"/>
                <w:szCs w:val="24"/>
              </w:rPr>
              <w:t>青泉谷景区建设项目：</w:t>
            </w:r>
            <w:r>
              <w:rPr>
                <w:rFonts w:hint="eastAsia" w:ascii="Times New Roman" w:hAnsi="Times New Roman" w:eastAsia="仿宋_GB2312" w:cs="Times New Roman"/>
                <w:color w:val="000000"/>
                <w:kern w:val="0"/>
                <w:sz w:val="24"/>
                <w:szCs w:val="24"/>
              </w:rPr>
              <w:t>建设农耕文化体验区、户外运动拓展区、山谷度假养生区、环湖密林休闲区、峡谷瀑布游览区等九大区域。</w:t>
            </w:r>
          </w:p>
          <w:p w14:paraId="4563114B">
            <w:pPr>
              <w:widowControl/>
              <w:spacing w:line="360" w:lineRule="auto"/>
              <w:ind w:firstLine="482" w:firstLineChars="200"/>
              <w:jc w:val="left"/>
              <w:rPr>
                <w:rFonts w:ascii="Times New Roman" w:hAnsi="Times New Roman" w:eastAsia="仿宋_GB2312" w:cs="Times New Roman"/>
                <w:color w:val="000000"/>
                <w:kern w:val="0"/>
                <w:sz w:val="24"/>
                <w:szCs w:val="24"/>
              </w:rPr>
            </w:pPr>
            <w:r>
              <w:rPr>
                <w:rFonts w:hint="eastAsia" w:ascii="Times New Roman" w:hAnsi="Times New Roman" w:eastAsia="黑体" w:cs="Times New Roman"/>
                <w:b/>
                <w:bCs/>
                <w:color w:val="000000"/>
                <w:kern w:val="0"/>
                <w:sz w:val="24"/>
                <w:szCs w:val="24"/>
              </w:rPr>
              <w:t>小河沿文化旅游区建设项目：</w:t>
            </w:r>
            <w:r>
              <w:rPr>
                <w:rFonts w:hint="eastAsia" w:ascii="Times New Roman" w:hAnsi="Times New Roman" w:eastAsia="仿宋_GB2312" w:cs="Times New Roman"/>
                <w:color w:val="000000"/>
                <w:kern w:val="0"/>
                <w:sz w:val="24"/>
                <w:szCs w:val="24"/>
              </w:rPr>
              <w:t>建设佛祖寺、小河沿文化遗址区、湿地旅游观光区、农家风情体验区、仿古商业区等。</w:t>
            </w:r>
          </w:p>
          <w:p w14:paraId="691FBF70">
            <w:pPr>
              <w:widowControl/>
              <w:spacing w:line="360" w:lineRule="auto"/>
              <w:ind w:firstLine="482" w:firstLineChars="200"/>
              <w:jc w:val="left"/>
              <w:rPr>
                <w:rFonts w:ascii="Times New Roman" w:hAnsi="Times New Roman" w:eastAsia="仿宋_GB2312" w:cs="Times New Roman"/>
                <w:color w:val="000000"/>
                <w:kern w:val="0"/>
                <w:sz w:val="24"/>
                <w:szCs w:val="24"/>
              </w:rPr>
            </w:pPr>
            <w:r>
              <w:rPr>
                <w:rFonts w:hint="eastAsia" w:ascii="Times New Roman" w:hAnsi="Times New Roman" w:eastAsia="黑体" w:cs="Times New Roman"/>
                <w:b/>
                <w:bCs/>
                <w:color w:val="000000"/>
                <w:kern w:val="0"/>
                <w:sz w:val="24"/>
                <w:szCs w:val="24"/>
              </w:rPr>
              <w:t>龙泽湖旅游景区建设项目</w:t>
            </w:r>
            <w:r>
              <w:rPr>
                <w:rFonts w:hint="eastAsia" w:ascii="Times New Roman" w:hAnsi="Times New Roman" w:eastAsia="黑体" w:cs="Times New Roman"/>
                <w:color w:val="000000"/>
                <w:kern w:val="0"/>
                <w:sz w:val="24"/>
                <w:szCs w:val="24"/>
              </w:rPr>
              <w:t>：</w:t>
            </w:r>
            <w:r>
              <w:rPr>
                <w:rFonts w:hint="eastAsia" w:ascii="Times New Roman" w:hAnsi="Times New Roman" w:eastAsia="仿宋_GB2312" w:cs="Times New Roman"/>
                <w:color w:val="000000"/>
                <w:kern w:val="0"/>
                <w:sz w:val="24"/>
                <w:szCs w:val="24"/>
              </w:rPr>
              <w:t>建设中央水景区、滨水文化主题休闲度假区、田园牧场观光区、山地康体运动区、乡村民俗风情区等。</w:t>
            </w:r>
          </w:p>
          <w:p w14:paraId="2E879DDE">
            <w:pPr>
              <w:widowControl/>
              <w:spacing w:line="360" w:lineRule="auto"/>
              <w:ind w:firstLine="482" w:firstLineChars="200"/>
              <w:jc w:val="left"/>
              <w:rPr>
                <w:rFonts w:ascii="Times New Roman" w:hAnsi="Times New Roman" w:eastAsia="黑体" w:cs="Times New Roman"/>
                <w:color w:val="000000"/>
                <w:kern w:val="0"/>
                <w:sz w:val="24"/>
              </w:rPr>
            </w:pPr>
            <w:r>
              <w:rPr>
                <w:rFonts w:hint="eastAsia" w:ascii="Times New Roman" w:hAnsi="Times New Roman" w:eastAsia="黑体" w:cs="Times New Roman"/>
                <w:b/>
                <w:bCs/>
                <w:color w:val="000000"/>
                <w:kern w:val="0"/>
                <w:sz w:val="24"/>
                <w:szCs w:val="24"/>
              </w:rPr>
              <w:t>黄羊洼文化旅游区：</w:t>
            </w:r>
            <w:r>
              <w:rPr>
                <w:rFonts w:hint="eastAsia" w:ascii="Times New Roman" w:hAnsi="Times New Roman" w:eastAsia="仿宋_GB2312" w:cs="Times New Roman"/>
                <w:color w:val="000000"/>
                <w:kern w:val="0"/>
                <w:sz w:val="24"/>
                <w:szCs w:val="24"/>
              </w:rPr>
              <w:t>敖汉生态旅游的代表性产品，建设山体公园、高科技园区、生态修复和生态景观等工程。</w:t>
            </w:r>
          </w:p>
        </w:tc>
      </w:tr>
      <w:bookmarkEnd w:id="88"/>
      <w:bookmarkEnd w:id="89"/>
      <w:bookmarkEnd w:id="90"/>
    </w:tbl>
    <w:p w14:paraId="3517D92B">
      <w:pPr>
        <w:spacing w:line="640" w:lineRule="exact"/>
        <w:ind w:firstLine="630" w:firstLineChars="196"/>
        <w:rPr>
          <w:rFonts w:ascii="Times New Roman" w:hAnsi="Times New Roman" w:eastAsia="黑体" w:cs="Times New Roman"/>
          <w:b/>
          <w:color w:val="000000"/>
          <w:sz w:val="32"/>
          <w:szCs w:val="32"/>
        </w:rPr>
      </w:pPr>
      <w:bookmarkStart w:id="97" w:name="_Toc437819148"/>
      <w:bookmarkStart w:id="98" w:name="_Toc437823896"/>
      <w:bookmarkStart w:id="99" w:name="_Toc437973481"/>
      <w:r>
        <w:rPr>
          <w:rFonts w:hint="eastAsia" w:ascii="Times New Roman" w:hAnsi="Times New Roman" w:eastAsia="黑体" w:cs="Times New Roman"/>
          <w:b/>
          <w:color w:val="000000"/>
          <w:sz w:val="32"/>
          <w:szCs w:val="32"/>
        </w:rPr>
        <w:t>四、加快发展商贸物流业</w:t>
      </w:r>
      <w:bookmarkEnd w:id="97"/>
      <w:bookmarkEnd w:id="98"/>
      <w:bookmarkEnd w:id="99"/>
    </w:p>
    <w:p w14:paraId="09FB57F1">
      <w:pPr>
        <w:spacing w:line="640" w:lineRule="exact"/>
        <w:ind w:firstLine="627" w:firstLineChars="196"/>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积极发展商贸流通业，健全多层次商贸网络。加快城市综合体等大型商贸中心建设，建成新惠镇果菜粮批发、五金机电城等大型批发市场，规划引导购物、餐饮、娱乐、批发零售等网点的集中条块布局，形成特色商业街区和专业市场，满足多层次消费需求。合理规划城乡农贸市场，加大硬件设施投入，完成乡镇所在地和年营业额</w:t>
      </w:r>
      <w:r>
        <w:rPr>
          <w:rFonts w:ascii="Times New Roman" w:hAnsi="Times New Roman" w:eastAsia="仿宋_GB2312" w:cs="Times New Roman"/>
          <w:color w:val="000000"/>
          <w:sz w:val="32"/>
          <w:szCs w:val="32"/>
        </w:rPr>
        <w:t>1000</w:t>
      </w:r>
      <w:r>
        <w:rPr>
          <w:rFonts w:hint="eastAsia" w:ascii="Times New Roman" w:hAnsi="Times New Roman" w:eastAsia="仿宋_GB2312" w:cs="Times New Roman"/>
          <w:color w:val="000000"/>
          <w:sz w:val="32"/>
          <w:szCs w:val="32"/>
        </w:rPr>
        <w:t>万以上的集贸市场升级改造，方便农牧民购销，活跃农村牧区经济。推进现代物流业加快发展。借助赤峰市保税区等载体，发挥区位优势，构建面向环渤海、京津冀、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锡赤通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区域物流中心。加强与锦州、大连、天津港等周边港口城市的合作，打造跨地区交易、仓储、结算、信息平台，拓展物流业发展空间。加大冷链仓储物流建设，延伸产业链条。做好规划布局，借助敖汉物流产业园区晋升为自治区级服务业集聚区契机，完善物流园区各项功能，吸引大型企业入驻，提升辐射带动能力，形成以敖汉物流园区为核心，下洼、四道湾子、四家子、羊场为节点的物流新格局。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年，物流业年交易额达</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亿元以上。</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8517"/>
      </w:tblGrid>
      <w:tr w14:paraId="4DE2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shd w:val="clear" w:color="auto" w:fill="95B3D7"/>
            <w:vAlign w:val="center"/>
          </w:tcPr>
          <w:p w14:paraId="5F081BBD">
            <w:pPr>
              <w:spacing w:line="360" w:lineRule="auto"/>
              <w:rPr>
                <w:rFonts w:ascii="Times New Roman" w:hAnsi="Times New Roman" w:cs="Times New Roman"/>
                <w:color w:val="000000"/>
                <w:kern w:val="0"/>
                <w:sz w:val="28"/>
                <w:szCs w:val="28"/>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5                </w:t>
            </w:r>
            <w:r>
              <w:rPr>
                <w:rFonts w:hint="eastAsia" w:ascii="Times New Roman" w:hAnsi="Times New Roman" w:eastAsia="黑体" w:cs="Times New Roman"/>
                <w:b/>
                <w:color w:val="000000"/>
                <w:kern w:val="0"/>
                <w:sz w:val="28"/>
                <w:szCs w:val="28"/>
              </w:rPr>
              <w:t>商贸物流重点项目</w:t>
            </w:r>
          </w:p>
        </w:tc>
      </w:tr>
      <w:tr w14:paraId="3BDF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jc w:val="center"/>
        </w:trPr>
        <w:tc>
          <w:tcPr>
            <w:tcW w:w="8522" w:type="dxa"/>
            <w:vAlign w:val="center"/>
          </w:tcPr>
          <w:p w14:paraId="05DEDE8E">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敖汉物流产业园区建设项目：</w:t>
            </w:r>
            <w:r>
              <w:rPr>
                <w:rFonts w:hint="eastAsia" w:ascii="Times New Roman" w:hAnsi="Times New Roman" w:eastAsia="仿宋_GB2312" w:cs="Times New Roman"/>
                <w:color w:val="000000"/>
                <w:kern w:val="0"/>
                <w:sz w:val="24"/>
                <w:szCs w:val="32"/>
              </w:rPr>
              <w:t>建设农资批发市场、机动车交易市场、机电产品交易市场、果蔬粮产品批发市场、物流配送综合服务区、生活日用品市场等功能区，总建筑面积</w:t>
            </w:r>
            <w:r>
              <w:rPr>
                <w:rFonts w:ascii="Times New Roman" w:hAnsi="Times New Roman" w:eastAsia="仿宋_GB2312" w:cs="Times New Roman"/>
                <w:color w:val="000000"/>
                <w:kern w:val="0"/>
                <w:sz w:val="24"/>
                <w:szCs w:val="32"/>
              </w:rPr>
              <w:t>155000</w:t>
            </w:r>
            <w:r>
              <w:rPr>
                <w:rFonts w:hint="eastAsia" w:ascii="Times New Roman" w:hAnsi="Times New Roman" w:eastAsia="仿宋_GB2312" w:cs="Times New Roman"/>
                <w:color w:val="000000"/>
                <w:kern w:val="0"/>
                <w:sz w:val="24"/>
                <w:szCs w:val="32"/>
              </w:rPr>
              <w:t>平方米。</w:t>
            </w:r>
          </w:p>
          <w:p w14:paraId="4663B78A">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果菜粮批发市场建设项目</w:t>
            </w:r>
            <w:r>
              <w:rPr>
                <w:rFonts w:hint="eastAsia" w:ascii="Times New Roman" w:hAnsi="Times New Roman" w:eastAsia="仿宋_GB2312" w:cs="Times New Roman"/>
                <w:color w:val="000000"/>
                <w:kern w:val="0"/>
                <w:sz w:val="24"/>
                <w:szCs w:val="32"/>
                <w:lang w:val="zh-CN"/>
              </w:rPr>
              <w:t>：建设</w:t>
            </w:r>
            <w:r>
              <w:rPr>
                <w:rFonts w:ascii="Times New Roman" w:hAnsi="Times New Roman" w:eastAsia="仿宋_GB2312" w:cs="Times New Roman"/>
                <w:color w:val="000000"/>
                <w:kern w:val="0"/>
                <w:sz w:val="24"/>
                <w:szCs w:val="32"/>
                <w:lang w:val="zh-CN"/>
              </w:rPr>
              <w:t>40000</w:t>
            </w:r>
            <w:r>
              <w:rPr>
                <w:rFonts w:hint="eastAsia" w:ascii="Times New Roman" w:hAnsi="Times New Roman" w:eastAsia="仿宋_GB2312" w:cs="Times New Roman"/>
                <w:color w:val="000000"/>
                <w:kern w:val="0"/>
                <w:sz w:val="24"/>
                <w:szCs w:val="32"/>
                <w:lang w:val="zh-CN"/>
              </w:rPr>
              <w:t>平方米果菜粮交易大厅、商铺、质量检测中心、电子信息服务中心、保鲜仓储中心、综合服务楼等设施。</w:t>
            </w:r>
          </w:p>
          <w:p w14:paraId="486AF725">
            <w:pPr>
              <w:spacing w:line="360" w:lineRule="auto"/>
              <w:ind w:firstLine="482" w:firstLineChars="200"/>
              <w:rPr>
                <w:rFonts w:ascii="Times New Roman" w:hAnsi="Times New Roman" w:cs="Times New Roman"/>
                <w:color w:val="000000"/>
                <w:kern w:val="0"/>
                <w:sz w:val="20"/>
                <w:szCs w:val="20"/>
              </w:rPr>
            </w:pPr>
            <w:r>
              <w:rPr>
                <w:rFonts w:hint="eastAsia" w:ascii="Times New Roman" w:hAnsi="Times New Roman" w:eastAsia="黑体" w:cs="Times New Roman"/>
                <w:b/>
                <w:bCs/>
                <w:color w:val="000000"/>
                <w:kern w:val="0"/>
                <w:sz w:val="24"/>
                <w:szCs w:val="20"/>
              </w:rPr>
              <w:t>五金机电城建设项目：</w:t>
            </w:r>
            <w:r>
              <w:rPr>
                <w:rFonts w:hint="eastAsia" w:ascii="Times New Roman" w:hAnsi="Times New Roman" w:eastAsia="仿宋_GB2312" w:cs="Times New Roman"/>
                <w:color w:val="000000"/>
                <w:kern w:val="0"/>
                <w:sz w:val="24"/>
                <w:szCs w:val="32"/>
                <w:lang w:val="zh-CN"/>
              </w:rPr>
              <w:t>建设五金机电交易市场及附属设施</w:t>
            </w:r>
            <w:r>
              <w:rPr>
                <w:rFonts w:ascii="Times New Roman" w:hAnsi="Times New Roman" w:eastAsia="仿宋_GB2312" w:cs="Times New Roman"/>
                <w:color w:val="000000"/>
                <w:kern w:val="0"/>
                <w:sz w:val="24"/>
                <w:szCs w:val="32"/>
                <w:lang w:val="zh-CN"/>
              </w:rPr>
              <w:t>90000</w:t>
            </w:r>
            <w:r>
              <w:rPr>
                <w:rFonts w:hint="eastAsia" w:ascii="Times New Roman" w:hAnsi="Times New Roman" w:eastAsia="仿宋_GB2312" w:cs="Times New Roman"/>
                <w:color w:val="000000"/>
                <w:kern w:val="0"/>
                <w:sz w:val="24"/>
                <w:szCs w:val="32"/>
                <w:lang w:val="zh-CN"/>
              </w:rPr>
              <w:t>平方米。</w:t>
            </w:r>
          </w:p>
        </w:tc>
      </w:tr>
    </w:tbl>
    <w:p w14:paraId="474D3C22">
      <w:pPr>
        <w:pStyle w:val="3"/>
        <w:spacing w:beforeLines="50" w:afterLines="50" w:line="640" w:lineRule="exact"/>
        <w:jc w:val="center"/>
        <w:rPr>
          <w:rFonts w:ascii="Times New Roman" w:hAnsi="Times New Roman" w:eastAsia="黑体"/>
          <w:color w:val="000000"/>
        </w:rPr>
      </w:pPr>
      <w:bookmarkStart w:id="100" w:name="_Toc437819149"/>
      <w:bookmarkStart w:id="101" w:name="_Toc437823897"/>
      <w:bookmarkStart w:id="102" w:name="_Toc438543358"/>
      <w:r>
        <w:rPr>
          <w:rFonts w:ascii="Times New Roman" w:hAnsi="Times New Roman" w:eastAsia="黑体"/>
          <w:color w:val="000000"/>
        </w:rPr>
        <w:t xml:space="preserve"> </w:t>
      </w:r>
      <w:bookmarkStart w:id="103" w:name="_Toc443390014"/>
      <w:r>
        <w:rPr>
          <w:rFonts w:hint="eastAsia" w:ascii="Times New Roman" w:hAnsi="Times New Roman" w:eastAsia="黑体"/>
          <w:color w:val="000000"/>
        </w:rPr>
        <w:t>第四节</w:t>
      </w:r>
      <w:r>
        <w:rPr>
          <w:rFonts w:ascii="Times New Roman" w:hAnsi="Times New Roman" w:eastAsia="黑体"/>
          <w:color w:val="000000"/>
        </w:rPr>
        <w:t xml:space="preserve">  </w:t>
      </w:r>
      <w:r>
        <w:rPr>
          <w:rFonts w:hint="eastAsia" w:ascii="Times New Roman" w:hAnsi="Times New Roman" w:eastAsia="黑体"/>
          <w:color w:val="000000"/>
        </w:rPr>
        <w:t>创新发展方式，推动形成发展新动能</w:t>
      </w:r>
      <w:bookmarkEnd w:id="100"/>
      <w:bookmarkEnd w:id="101"/>
      <w:bookmarkEnd w:id="102"/>
      <w:bookmarkEnd w:id="103"/>
    </w:p>
    <w:p w14:paraId="006DACA6">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优化劳动力、资本、土地、技术、管理等要素资源，强化原始创新、集成创新和引进消化吸收再创新，激发创新创业活力，推动大众创业、万众创新，释放新需求，创造新供给，推动新技术、新产业、新业态蓬勃发展。</w:t>
      </w:r>
    </w:p>
    <w:p w14:paraId="797C5C1B">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提升科技发展能力。</w:t>
      </w:r>
      <w:r>
        <w:rPr>
          <w:rFonts w:hint="eastAsia" w:ascii="Times New Roman" w:hAnsi="Times New Roman" w:eastAsia="仿宋_GB2312" w:cs="Times New Roman"/>
          <w:color w:val="000000"/>
          <w:sz w:val="32"/>
          <w:szCs w:val="32"/>
        </w:rPr>
        <w:t>加快创新驱动发展，建立和完善产学研相结合的技术创新体系，努力提高企业自主创新能力和产业核心竞争力，重视发展高新技术产业，带动产业结构优化升级。建立科技信息中心，提高科技成果转化率，强化新技术新产品的推广应用。积极参加科技博览会、项目推介会等科技活动，开展项目对接，引进先进技术。做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科普</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工作，提升群众科学认知水平。到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年，全社会科学研究与试验发展</w:t>
      </w:r>
      <w:r>
        <w:rPr>
          <w:rFonts w:ascii="Times New Roman" w:hAnsi="Times New Roman" w:eastAsia="仿宋_GB2312" w:cs="Times New Roman"/>
          <w:color w:val="000000"/>
          <w:sz w:val="32"/>
          <w:szCs w:val="32"/>
        </w:rPr>
        <w:t>R&amp;D</w:t>
      </w:r>
      <w:r>
        <w:rPr>
          <w:rFonts w:hint="eastAsia" w:ascii="Times New Roman" w:hAnsi="Times New Roman" w:eastAsia="仿宋_GB2312" w:cs="Times New Roman"/>
          <w:color w:val="000000"/>
          <w:sz w:val="32"/>
          <w:szCs w:val="32"/>
        </w:rPr>
        <w:t>经费支出占</w:t>
      </w:r>
      <w:r>
        <w:rPr>
          <w:rFonts w:ascii="Times New Roman" w:hAnsi="Times New Roman" w:eastAsia="仿宋_GB2312" w:cs="Times New Roman"/>
          <w:color w:val="000000"/>
          <w:sz w:val="32"/>
          <w:szCs w:val="32"/>
        </w:rPr>
        <w:t>GDP</w:t>
      </w:r>
      <w:r>
        <w:rPr>
          <w:rFonts w:hint="eastAsia" w:ascii="Times New Roman" w:hAnsi="Times New Roman" w:eastAsia="仿宋_GB2312" w:cs="Times New Roman"/>
          <w:color w:val="000000"/>
          <w:sz w:val="32"/>
          <w:szCs w:val="32"/>
        </w:rPr>
        <w:t>比重达到</w:t>
      </w:r>
      <w:r>
        <w:rPr>
          <w:rFonts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rPr>
        <w:t>以上，建设自治区级农牧业科技产业化基地</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个、自治区级工程技术研究中心</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个、国家级工程技术中心</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w:t>
      </w:r>
    </w:p>
    <w:p w14:paraId="238DBC8B">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推进</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智慧敖汉</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建设。</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智慧敖汉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工程，建设智慧城市。落实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宽带中国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战略，开展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村村通宽带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工程，推动城镇光纤网络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到楼入户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、农村牧区宽带</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进乡入村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打造敖汉旗走向世界的信息通道。积极争取信息惠民工程，推进社会保障、劳动就业、教育、卫生、文化等社会公共领域信息化建设，加大农村牧区信息基础设施建设和信号覆盖。整合物联网、云计算、大数据、移动互联网等技术与能源、旅游、金融、物流等行业的融合，提升信息化利用水平。推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三网融合</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，实现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的同步规划、同步建设、同步验收。大力推进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两化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深度融合，建立起以企业为主体的技术创新体系，建设一批重点领域共性技术开发平台。推进电子政务建设，大力提升政务信息化水平。增强城镇化信息安全保障能力，强化在应急管理、治安管理、智能交通、数字城管和社区服务信息系统的建设和应用。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年，电信基础网络覆盖</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的行政村，全旗规模以上工业企业</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采用信息技术。</w:t>
      </w:r>
    </w:p>
    <w:p w14:paraId="6E2A5817">
      <w:pPr>
        <w:shd w:val="clear" w:color="auto" w:fill="FFFFFF"/>
        <w:spacing w:line="640" w:lineRule="exact"/>
        <w:ind w:firstLine="640" w:firstLineChars="200"/>
        <w:rPr>
          <w:rFonts w:ascii="Times New Roman" w:hAnsi="Times New Roman" w:eastAsia="仿宋_GB2312" w:cs="Times New Roman"/>
          <w:color w:val="000000"/>
          <w:spacing w:val="4"/>
          <w:sz w:val="32"/>
          <w:szCs w:val="32"/>
        </w:rPr>
      </w:pPr>
      <w:r>
        <w:rPr>
          <w:rFonts w:hint="eastAsia" w:ascii="Times New Roman" w:hAnsi="Times New Roman" w:eastAsia="楷体_GB2312" w:cs="Times New Roman"/>
          <w:color w:val="000000"/>
          <w:sz w:val="32"/>
          <w:szCs w:val="32"/>
        </w:rPr>
        <w:t>促进大众创业万众创新。</w:t>
      </w:r>
      <w:r>
        <w:rPr>
          <w:rFonts w:hint="eastAsia" w:ascii="Times New Roman" w:hAnsi="Times New Roman" w:eastAsia="仿宋_GB2312" w:cs="Times New Roman"/>
          <w:color w:val="000000"/>
          <w:sz w:val="32"/>
          <w:szCs w:val="32"/>
        </w:rPr>
        <w:t>借助国家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双创孵化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债券发行契机，成立小微企业基金管理公司，启动小微企业创业园建设，吸引企业入驻。</w:t>
      </w:r>
      <w:r>
        <w:rPr>
          <w:rFonts w:hint="eastAsia" w:ascii="Times New Roman" w:hAnsi="Times New Roman" w:eastAsia="仿宋_GB2312" w:cs="Times New Roman"/>
          <w:color w:val="000000"/>
          <w:sz w:val="32"/>
          <w:szCs w:val="32"/>
          <w:lang w:val="zh-CN"/>
        </w:rPr>
        <w:t>加快完善小微企业创业基地基础配套设施，</w:t>
      </w:r>
      <w:r>
        <w:rPr>
          <w:rFonts w:hint="eastAsia" w:ascii="Times New Roman" w:hAnsi="Times New Roman" w:eastAsia="仿宋_GB2312" w:cs="Times New Roman"/>
          <w:color w:val="000000"/>
          <w:sz w:val="32"/>
          <w:szCs w:val="32"/>
        </w:rPr>
        <w:t>打造创业创新平台，推广新型孵化模式，鼓励发展众创、众包、众扶、众筹空间，培育创业创新生态圈。强化创业政策扶持，降低小微企业创业门槛、税收政策优惠等方面的支持力度。营造适宜小微企业发展的金融生态环境，开展政企银对接活动，创新完善贷款产品，有效解决小微企业创业融资难、融资贵问题。</w:t>
      </w:r>
      <w:r>
        <w:rPr>
          <w:rFonts w:hint="eastAsia" w:ascii="Times New Roman" w:hAnsi="Times New Roman" w:eastAsia="仿宋_GB2312" w:cs="Times New Roman"/>
          <w:color w:val="000000"/>
          <w:sz w:val="32"/>
          <w:szCs w:val="32"/>
          <w:lang w:val="zh-CN"/>
        </w:rPr>
        <w:t>建立旗域中小微企业发展基金，加快中小微企业信用担保体系建设。</w:t>
      </w:r>
      <w:r>
        <w:rPr>
          <w:rFonts w:hint="eastAsia" w:ascii="Times New Roman" w:hAnsi="Times New Roman" w:eastAsia="仿宋_GB2312" w:cs="Times New Roman"/>
          <w:color w:val="000000"/>
          <w:sz w:val="32"/>
          <w:szCs w:val="32"/>
        </w:rPr>
        <w:t>围绕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专、精、特、新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方向，引导小微企业优化生产要素配置，促进小微企业集聚发展，培育中小微企业集群。</w:t>
      </w:r>
      <w:r>
        <w:rPr>
          <w:rFonts w:hint="eastAsia" w:ascii="Times New Roman" w:hAnsi="Times New Roman" w:eastAsia="仿宋_GB2312" w:cs="Times New Roman"/>
          <w:color w:val="000000"/>
          <w:spacing w:val="4"/>
          <w:sz w:val="32"/>
          <w:szCs w:val="32"/>
        </w:rPr>
        <w:t>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pacing w:val="4"/>
          <w:sz w:val="32"/>
          <w:szCs w:val="32"/>
        </w:rPr>
        <w:t>年，中小微企业数量达到</w:t>
      </w:r>
      <w:r>
        <w:rPr>
          <w:rFonts w:ascii="Times New Roman" w:hAnsi="Times New Roman" w:eastAsia="仿宋_GB2312" w:cs="Times New Roman"/>
          <w:color w:val="000000"/>
          <w:sz w:val="32"/>
          <w:szCs w:val="32"/>
        </w:rPr>
        <w:t>2000</w:t>
      </w:r>
      <w:r>
        <w:rPr>
          <w:rFonts w:hint="eastAsia" w:ascii="Times New Roman" w:hAnsi="Times New Roman" w:eastAsia="仿宋_GB2312" w:cs="Times New Roman"/>
          <w:color w:val="000000"/>
          <w:spacing w:val="4"/>
          <w:sz w:val="32"/>
          <w:szCs w:val="32"/>
        </w:rPr>
        <w:t>户以上，实现就业</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pacing w:val="4"/>
          <w:sz w:val="32"/>
          <w:szCs w:val="32"/>
        </w:rPr>
        <w:t>万人以上，建设</w:t>
      </w:r>
      <w:r>
        <w:rPr>
          <w:rFonts w:ascii="Times New Roman" w:hAnsi="Times New Roman" w:eastAsia="仿宋_GB2312" w:cs="Times New Roman"/>
          <w:color w:val="000000"/>
          <w:sz w:val="32"/>
          <w:szCs w:val="32"/>
        </w:rPr>
        <w:t>3-5</w:t>
      </w:r>
      <w:r>
        <w:rPr>
          <w:rFonts w:hint="eastAsia" w:ascii="Times New Roman" w:hAnsi="Times New Roman" w:eastAsia="仿宋_GB2312" w:cs="Times New Roman"/>
          <w:color w:val="000000"/>
          <w:spacing w:val="4"/>
          <w:sz w:val="32"/>
          <w:szCs w:val="32"/>
        </w:rPr>
        <w:t>个自治区级以上中小微企业服务平台。</w:t>
      </w:r>
    </w:p>
    <w:p w14:paraId="0A630C78">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大力发展</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互联网</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经济。</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互联网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行动计划，依托特色优势产业，积极推进互联网与我旗一、二、三产业的融合发展，在产业组织、商业模式、供应链等多个方面加大创新。以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互联网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为核心，推广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智慧农牧业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电商模式</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产业链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模式，发展精准农牧业。依托小微企业创业园，积极吸引电商企业入驻园区，打造商务集聚平台，提供政策服务包，配套物流、金融、包装等服务，做大电商企业规模，把创业园打造成特色突出的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淘宝园</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推进农村电子商务的综合示范，探索建设大宗绿色农畜产品电子交易市场。积极发展淘宝镇、淘宝村，支持村头树、大谷仓、禾为贵等电商企业规模化、特色化发展。加强与阿里巴巴、京东商城、我买网等电商平台战略合作，搭建电子商务企业交流培训平台，积极推介敖汉旗特色产品。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年，率先在全市建成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互联网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农业开放合作试验区，全旗</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智慧农牧业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发展水平走在自治区前列；电子商户达到</w:t>
      </w:r>
      <w:r>
        <w:rPr>
          <w:rFonts w:ascii="Times New Roman" w:hAnsi="Times New Roman" w:eastAsia="仿宋_GB2312" w:cs="Times New Roman"/>
          <w:color w:val="000000"/>
          <w:sz w:val="32"/>
          <w:szCs w:val="32"/>
        </w:rPr>
        <w:t>1000</w:t>
      </w:r>
      <w:r>
        <w:rPr>
          <w:rFonts w:hint="eastAsia" w:ascii="Times New Roman" w:hAnsi="Times New Roman" w:eastAsia="仿宋_GB2312" w:cs="Times New Roman"/>
          <w:color w:val="000000"/>
          <w:sz w:val="32"/>
          <w:szCs w:val="32"/>
        </w:rPr>
        <w:t>家，培育电子商务示范企业</w:t>
      </w:r>
      <w:r>
        <w:rPr>
          <w:rFonts w:ascii="Times New Roman" w:hAnsi="Times New Roman" w:eastAsia="仿宋_GB2312" w:cs="Times New Roman"/>
          <w:color w:val="000000"/>
          <w:sz w:val="32"/>
          <w:szCs w:val="32"/>
        </w:rPr>
        <w:t>5-10</w:t>
      </w:r>
      <w:r>
        <w:rPr>
          <w:rFonts w:hint="eastAsia" w:ascii="Times New Roman" w:hAnsi="Times New Roman" w:eastAsia="仿宋_GB2312" w:cs="Times New Roman"/>
          <w:color w:val="000000"/>
          <w:sz w:val="32"/>
          <w:szCs w:val="32"/>
        </w:rPr>
        <w:t>家，电子商务产业销售产值达到</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亿元以上，形成电商产业集群，</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互联网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经济</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成为全旗产业转型的助推器和动力转换的新引擎。</w:t>
      </w:r>
    </w:p>
    <w:p w14:paraId="14B8D45C">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实施</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种子工程</w:t>
      </w:r>
      <w:r>
        <w:rPr>
          <w:rFonts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rPr>
        <w:t>战略。</w:t>
      </w:r>
      <w:bookmarkStart w:id="104" w:name="_Toc437823898"/>
      <w:bookmarkStart w:id="105" w:name="_Toc437819150"/>
      <w:r>
        <w:rPr>
          <w:rFonts w:hint="eastAsia" w:ascii="Times New Roman" w:hAnsi="Times New Roman" w:eastAsia="仿宋_GB2312" w:cs="Times New Roman"/>
          <w:color w:val="000000"/>
          <w:sz w:val="32"/>
          <w:szCs w:val="32"/>
        </w:rPr>
        <w:t>大力实施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种子工程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战略，强化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种子工程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组织领导，制定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敖汉谷子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敖泊肉羊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种子工程发展规划，着力构建起以企业为主体的商业化育种体系，确保</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种子工程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有效实施。加大政策扶持和财政投入力度，鼓励企业与相关科研院所采取产学研合作等方式，联合开展技术攻关，加快</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敖汉谷子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敖泊肉羊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品种培育步伐。依托呼格吉乐合作社，通过澳洲杜泊种羊和小尾寒羊杂交繁育，培育出肉质好、繁殖率高、适应性强、产肉率高的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敖泊肉羊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新品种，促进我旗肉羊产业发展。力争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期间，结合自主选育、提纯复壮等方式，着力培育出</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个口感好、产量高的谷子新品种，研发出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敖汉谷子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敖泊肉羊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原创新品种，经过试验、示范并进一步推广，实现产业化。</w:t>
      </w:r>
      <w:bookmarkStart w:id="106" w:name="_Toc438543359"/>
    </w:p>
    <w:p w14:paraId="5E88E90C">
      <w:pPr>
        <w:pStyle w:val="3"/>
        <w:spacing w:beforeLines="50" w:afterLines="50" w:line="640" w:lineRule="exact"/>
        <w:jc w:val="center"/>
        <w:rPr>
          <w:rFonts w:ascii="Times New Roman" w:hAnsi="Times New Roman" w:eastAsia="黑体"/>
          <w:color w:val="000000"/>
        </w:rPr>
      </w:pPr>
      <w:bookmarkStart w:id="107" w:name="_Toc443390015"/>
      <w:r>
        <w:rPr>
          <w:rFonts w:hint="eastAsia" w:ascii="Times New Roman" w:hAnsi="Times New Roman" w:eastAsia="黑体"/>
          <w:color w:val="000000"/>
        </w:rPr>
        <w:t>第五节</w:t>
      </w:r>
      <w:r>
        <w:rPr>
          <w:rFonts w:ascii="Times New Roman" w:hAnsi="Times New Roman" w:eastAsia="黑体"/>
          <w:color w:val="000000"/>
        </w:rPr>
        <w:t xml:space="preserve">  </w:t>
      </w:r>
      <w:r>
        <w:rPr>
          <w:rFonts w:hint="eastAsia" w:ascii="Times New Roman" w:hAnsi="Times New Roman" w:eastAsia="黑体"/>
          <w:color w:val="000000"/>
        </w:rPr>
        <w:t>释放改革新需求，提高金融创新能力</w:t>
      </w:r>
      <w:bookmarkEnd w:id="104"/>
      <w:bookmarkEnd w:id="105"/>
      <w:bookmarkEnd w:id="106"/>
      <w:bookmarkEnd w:id="107"/>
    </w:p>
    <w:p w14:paraId="79F17091">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推动金融体制改革，加快银行、证券、基金、信托、保险等各类金融机构发展，构建多层次的现代金融体系。积极引进交通银行、内蒙古银行等各类商业银行来我旗建立分支机构和网点，组建敖汉旗农村商业银行，新增各类营业网点，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年实现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贷款不出乡，存取款不出村</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bCs/>
          <w:color w:val="000000"/>
          <w:sz w:val="32"/>
          <w:szCs w:val="32"/>
        </w:rPr>
        <w:t>支持民间资金参与地方金融机构改革，鼓励民间资金发起设立或参股村镇银行、农村资金互助社等新型金融机构。</w:t>
      </w:r>
      <w:r>
        <w:rPr>
          <w:rFonts w:hint="eastAsia" w:ascii="Times New Roman" w:hAnsi="Times New Roman" w:eastAsia="仿宋_GB2312" w:cs="Times New Roman"/>
          <w:color w:val="000000"/>
          <w:sz w:val="32"/>
          <w:szCs w:val="32"/>
        </w:rPr>
        <w:t>创新金融产品，推出金额适度、利率合理、期限与生产经营、消费内容相匹配的信贷产品，不断满足</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和小微企业的贷款需求。加大对实体经济信贷支持力度，增加信贷投放规模，金融部门存贷比达到</w:t>
      </w:r>
      <w:r>
        <w:rPr>
          <w:rFonts w:ascii="Times New Roman" w:hAnsi="Times New Roman" w:eastAsia="仿宋_GB2312" w:cs="Times New Roman"/>
          <w:color w:val="000000"/>
          <w:sz w:val="32"/>
          <w:szCs w:val="32"/>
        </w:rPr>
        <w:t>65%</w:t>
      </w:r>
      <w:r>
        <w:rPr>
          <w:rFonts w:hint="eastAsia" w:ascii="Times New Roman" w:hAnsi="Times New Roman" w:eastAsia="仿宋_GB2312" w:cs="Times New Roman"/>
          <w:color w:val="000000"/>
          <w:sz w:val="32"/>
          <w:szCs w:val="32"/>
        </w:rPr>
        <w:t>以上。搭建融资平台，激活民间资本，探索设立</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家私募股权基金管理公司，募资用于旗内主导产业发展。设立城乡建设开发基金、有色金属开发基金及绿色农牧产业开发基金。启动企业债券发行工作，支持企业融资服务和创业创新。做好优质企业上市服务，加强金沟农业等拟上市企业的孵化推动工作，支持有条件的企业到境内外主板上市或新三板、区域性股权市场挂牌。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年，我旗上市公司达到</w:t>
      </w:r>
      <w:r>
        <w:rPr>
          <w:rFonts w:ascii="Times New Roman" w:hAnsi="Times New Roman" w:eastAsia="仿宋_GB2312" w:cs="Times New Roman"/>
          <w:color w:val="000000"/>
          <w:sz w:val="32"/>
          <w:szCs w:val="32"/>
        </w:rPr>
        <w:t>3-5</w:t>
      </w:r>
      <w:r>
        <w:rPr>
          <w:rFonts w:hint="eastAsia" w:ascii="Times New Roman" w:hAnsi="Times New Roman" w:eastAsia="仿宋_GB2312" w:cs="Times New Roman"/>
          <w:color w:val="000000"/>
          <w:sz w:val="32"/>
          <w:szCs w:val="32"/>
        </w:rPr>
        <w:t>家。</w:t>
      </w:r>
    </w:p>
    <w:p w14:paraId="148ED4C4">
      <w:pPr>
        <w:pStyle w:val="3"/>
        <w:spacing w:beforeLines="50" w:afterLines="50" w:line="640" w:lineRule="exact"/>
        <w:jc w:val="center"/>
        <w:rPr>
          <w:rFonts w:ascii="Times New Roman" w:hAnsi="Times New Roman" w:eastAsia="黑体"/>
          <w:color w:val="000000"/>
        </w:rPr>
      </w:pPr>
      <w:bookmarkStart w:id="108" w:name="_Toc437823899"/>
      <w:bookmarkStart w:id="109" w:name="_Toc438543360"/>
      <w:bookmarkStart w:id="110" w:name="_Toc437819151"/>
      <w:bookmarkStart w:id="111" w:name="_Toc443390016"/>
      <w:r>
        <w:rPr>
          <w:rFonts w:hint="eastAsia" w:ascii="Times New Roman" w:hAnsi="Times New Roman" w:eastAsia="黑体"/>
          <w:color w:val="000000"/>
        </w:rPr>
        <w:t>第六节</w:t>
      </w:r>
      <w:r>
        <w:rPr>
          <w:rFonts w:ascii="Times New Roman" w:hAnsi="Times New Roman" w:eastAsia="黑体"/>
          <w:color w:val="000000"/>
        </w:rPr>
        <w:t xml:space="preserve">  </w:t>
      </w:r>
      <w:r>
        <w:rPr>
          <w:rFonts w:hint="eastAsia" w:ascii="Times New Roman" w:hAnsi="Times New Roman" w:eastAsia="黑体"/>
          <w:color w:val="000000"/>
        </w:rPr>
        <w:t>深化体制改革，激发创新动力</w:t>
      </w:r>
      <w:bookmarkEnd w:id="108"/>
      <w:bookmarkEnd w:id="109"/>
      <w:bookmarkEnd w:id="110"/>
      <w:bookmarkEnd w:id="111"/>
    </w:p>
    <w:p w14:paraId="5185F519">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立足旗情，攻坚克难，坚持向改革要红利、向创新要动力、向制度要活力，加快破除制约瓶颈，确保重要领域和关键环节改革取得突破。</w:t>
      </w:r>
    </w:p>
    <w:p w14:paraId="682B4EE4">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深化经济体制改革。</w:t>
      </w:r>
      <w:r>
        <w:rPr>
          <w:rFonts w:hint="eastAsia" w:ascii="Times New Roman" w:hAnsi="Times New Roman" w:eastAsia="仿宋_GB2312" w:cs="Times New Roman"/>
          <w:color w:val="000000"/>
          <w:sz w:val="32"/>
          <w:szCs w:val="32"/>
        </w:rPr>
        <w:t>全面深化投融资和财税体制改革，加大供给侧结构性改革力度，淘汰落后产能，清理僵尸企业，有效化解房地产库存，增强发展后劲。优化企业发展环境，降低税费负担，降低企业成本。大力支持非公有制经济发展，完善企业健康发展的政策和制度。进一步深化农村牧区各项改革，完善农村土地承包经营权流转机制，健全公开、规范的土地流转市场，完成农村牧区集体土地确权颁证，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年全旗土地流转率达到</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以上。开展城乡建设用地增减挂钩，完成农村集体建设用地和宅基地确权发证，做好全旗不动产登记和全国第三次土地调查工作，建立耕地保有量和基本农田保护指标有偿调剂制度和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以补定占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的耕地占补平衡倒逼机制。稳步推进基本草原划定、农业水价综合改革试点、小型水利产权改革试点等工作。</w:t>
      </w:r>
    </w:p>
    <w:p w14:paraId="0A07EE0F">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深化行政体制改革。</w:t>
      </w:r>
      <w:r>
        <w:rPr>
          <w:rFonts w:hint="eastAsia" w:ascii="Times New Roman" w:hAnsi="Times New Roman" w:eastAsia="仿宋_GB2312" w:cs="Times New Roman"/>
          <w:color w:val="000000"/>
          <w:sz w:val="32"/>
          <w:szCs w:val="32"/>
        </w:rPr>
        <w:t>加快政府职能转变，推进政府决策的科学化、民主化、规范化，建立决策责任制和过错追究制，提高公众参与度和决策透明度。推行政府权力清单、职责清单、负面清单制度，进一步理顺政府与市场的关系。实行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阳光审批</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积极推广电子政务和网上办事。深化行政审批制度改革，进一步公开政府各部门行政审批事项清单，精简行政审批事项，优化行政审批程序，对保留下来的事项要做到并联审批、流程再造、联审联办、公开透明。鼓励社会力量参与提供公共服务，逐步将行业管理、社会生活服务管理等职能转移给具备条件的企业和社会组织，加快形成提供公共服务的新机制。稳步推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撤旗设市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工作。</w:t>
      </w:r>
    </w:p>
    <w:p w14:paraId="5709B5BB">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深化生态文明体制改革。</w:t>
      </w:r>
      <w:r>
        <w:rPr>
          <w:rFonts w:hint="eastAsia" w:ascii="Times New Roman" w:hAnsi="Times New Roman" w:eastAsia="仿宋_GB2312" w:cs="Times New Roman"/>
          <w:color w:val="000000"/>
          <w:sz w:val="32"/>
          <w:szCs w:val="32"/>
        </w:rPr>
        <w:t>实行领导干部离任生态环境审计制度，建立生态环境绩效考核评价、生态环境损害赔偿和责任终身追究制。实行最严格的草原生态保护制度，编制自然资源资产负债表。建立体现自然价值和代际补偿的资源有偿使用和生态补偿制度，逐步构建起产权清晰、多元参与、激励约束并重、系统完整的生态文明制度体系。发挥生态公共资产和公共服务潜能，用好生态政策，争创生态红利，扩大生态补偿、碳汇、限制开发区、天然林保护等的价值，力争获得更多生态补偿和财政转移支付。深化集体林权制度改革，加快国有林场改革，加快林业产业化步伐。</w:t>
      </w:r>
    </w:p>
    <w:p w14:paraId="0E03E432">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深化社会体制改革。</w:t>
      </w:r>
      <w:r>
        <w:rPr>
          <w:rFonts w:hint="eastAsia" w:ascii="Times New Roman" w:hAnsi="Times New Roman" w:eastAsia="仿宋_GB2312" w:cs="Times New Roman"/>
          <w:color w:val="000000"/>
          <w:sz w:val="32"/>
          <w:szCs w:val="32"/>
        </w:rPr>
        <w:t>加快体制机制创新，深入推进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三规合一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。深化户籍制度等关键领域改革，推进农业转移人口市民化、新型城镇化和城乡一体化。深化收入分配、医药卫生、教育等社会领域改革，构建多元开放的公共服务格局。</w:t>
      </w:r>
    </w:p>
    <w:p w14:paraId="7DD0B9CB">
      <w:pPr>
        <w:pStyle w:val="2"/>
        <w:spacing w:beforeLines="100" w:afterLines="100" w:line="640" w:lineRule="exact"/>
        <w:jc w:val="center"/>
        <w:rPr>
          <w:rFonts w:eastAsia="方正小标宋简体"/>
          <w:color w:val="000000"/>
          <w:sz w:val="36"/>
          <w:szCs w:val="36"/>
        </w:rPr>
      </w:pPr>
      <w:bookmarkStart w:id="112" w:name="_Toc437819153"/>
      <w:bookmarkStart w:id="113" w:name="_Toc443390017"/>
      <w:bookmarkStart w:id="114" w:name="_Toc438543362"/>
      <w:bookmarkStart w:id="115" w:name="_Toc437823901"/>
      <w:r>
        <w:rPr>
          <w:rFonts w:hint="eastAsia" w:eastAsia="方正小标宋简体"/>
          <w:color w:val="000000"/>
          <w:sz w:val="36"/>
          <w:szCs w:val="36"/>
        </w:rPr>
        <w:t>第四章</w:t>
      </w:r>
      <w:r>
        <w:rPr>
          <w:rFonts w:eastAsia="方正小标宋简体"/>
          <w:color w:val="000000"/>
          <w:sz w:val="36"/>
          <w:szCs w:val="36"/>
        </w:rPr>
        <w:t xml:space="preserve">  </w:t>
      </w:r>
      <w:r>
        <w:rPr>
          <w:rFonts w:hint="eastAsia" w:eastAsia="方正小标宋简体"/>
          <w:color w:val="000000"/>
          <w:sz w:val="36"/>
          <w:szCs w:val="36"/>
        </w:rPr>
        <w:t>坚持协调发展，构建均衡发展新格局</w:t>
      </w:r>
      <w:bookmarkEnd w:id="112"/>
      <w:bookmarkEnd w:id="113"/>
      <w:bookmarkEnd w:id="114"/>
      <w:bookmarkEnd w:id="115"/>
    </w:p>
    <w:p w14:paraId="12103A41">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以内涵发展、质量提高为方向，处理好速度与质量、城镇与农村、突出比较优势与补齐发展短板、重点突破与分类指导等重大关系，促进各个领域发展的整体性。</w:t>
      </w:r>
    </w:p>
    <w:p w14:paraId="0EA2ABD3">
      <w:pPr>
        <w:pStyle w:val="3"/>
        <w:spacing w:beforeLines="50" w:afterLines="50" w:line="640" w:lineRule="exact"/>
        <w:jc w:val="center"/>
        <w:rPr>
          <w:rFonts w:ascii="Times New Roman" w:hAnsi="Times New Roman" w:eastAsia="黑体"/>
          <w:color w:val="000000"/>
        </w:rPr>
      </w:pPr>
      <w:bookmarkStart w:id="116" w:name="_Toc437819154"/>
      <w:bookmarkStart w:id="117" w:name="_Toc437823902"/>
      <w:bookmarkStart w:id="118" w:name="_Toc438543363"/>
      <w:bookmarkStart w:id="119" w:name="_Toc443390018"/>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推进新型城镇化和城乡一体化发展</w:t>
      </w:r>
      <w:bookmarkEnd w:id="116"/>
      <w:bookmarkEnd w:id="117"/>
      <w:bookmarkEnd w:id="118"/>
      <w:bookmarkEnd w:id="119"/>
    </w:p>
    <w:p w14:paraId="1B383C0B">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完善城乡发展规划。</w:t>
      </w:r>
      <w:r>
        <w:rPr>
          <w:rFonts w:hint="eastAsia" w:ascii="Times New Roman" w:hAnsi="Times New Roman" w:eastAsia="仿宋_GB2312" w:cs="Times New Roman"/>
          <w:color w:val="000000"/>
          <w:sz w:val="32"/>
          <w:szCs w:val="32"/>
        </w:rPr>
        <w:t>坚持规划先行，按照城市反哺农村、城乡一体发展、要素均衡配置、服务平等共享原则，探索</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多规合一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理念，改进和创新规划编制方法，提高规划的科学性、前瞻性和权威性，完成全旗城市总体规划修编和各行政村村庄规划编制，科学指导规范城乡建设发展，确保规划严格执行。按照</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一心、两带、四区、六点</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空间布局，统筹生产、生活、生态三大布局，突出新惠镇在全旗城镇体系中的核心地位，以生态宜居为目标，全力打造旗域经济快速发展平台，带动旗域人口、产业和要素向新惠镇和重点发展城镇集聚。加大对农村和接纳农业转移人口较多的城镇的投入力度，推动城镇公共服务向农村延伸，让城乡人民共享城镇化发展成果。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年，基本形成各具特色、功能互补、有机联系的城镇群体，把新惠镇建成中小城市。</w:t>
      </w:r>
    </w:p>
    <w:p w14:paraId="734B1F9A">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打造特色产业小城镇。</w:t>
      </w:r>
      <w:r>
        <w:rPr>
          <w:rFonts w:hint="eastAsia" w:ascii="Times New Roman" w:hAnsi="Times New Roman" w:eastAsia="仿宋_GB2312" w:cs="Times New Roman"/>
          <w:color w:val="000000"/>
          <w:sz w:val="32"/>
          <w:szCs w:val="32"/>
        </w:rPr>
        <w:t>按照规模适度、功能完备、特色鲜明、生态良好的原则，坚持宜居则居、宜工则工、宜农则农、宜商则商、宜游则游，强化城镇产业支撑，布局发展要素，增强城镇发展后劲，着力打造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一乡（镇）一品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，努力实现农牧业现代化与工业化、城镇化同步推进，协调发展。依托金厂沟梁金矿独立工矿区改造搬迁工程，加强新惠镇中心城市核心功能，打造商贸流通型、生态宜居型城镇，到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年集聚人口</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万人；依托四家子镇、金厂沟梁镇、贝子府镇矿产资源优势，打造工矿型城镇，集聚人口</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万人以上；依托长胜镇、下洼镇、四道湾子镇等乡镇农牧业优势，打造农副产品加工型城镇，集聚人口</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万人以上；依托羊场航空产业园和土地优势，重点发展农畜产品加工和旅游度假，建设生态宜居航空小镇，集聚人口</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万人以上。发挥好小城镇在促进城乡一体化中的支撑和辐射功能，增强城镇经济对农村牧区的带动作用，积极引导农村劳动力从土地中解放出来，逐步向二、三产业和城镇转移，促进农牧民转移进城就业和就近就地就业，实现城乡协调发展。</w:t>
      </w:r>
    </w:p>
    <w:p w14:paraId="24FE5F75">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加强城镇基础设施建设。</w:t>
      </w:r>
      <w:r>
        <w:rPr>
          <w:rFonts w:hint="eastAsia" w:ascii="Times New Roman" w:hAnsi="Times New Roman" w:eastAsia="仿宋_GB2312" w:cs="Times New Roman"/>
          <w:color w:val="000000"/>
          <w:sz w:val="32"/>
          <w:szCs w:val="32"/>
        </w:rPr>
        <w:t>提高智能化城市建设水平，建设迎宾大道等</w:t>
      </w:r>
      <w:r>
        <w:rPr>
          <w:rFonts w:ascii="Times New Roman" w:hAnsi="Times New Roman" w:eastAsia="仿宋_GB2312" w:cs="Times New Roman"/>
          <w:color w:val="000000"/>
          <w:sz w:val="32"/>
          <w:szCs w:val="32"/>
        </w:rPr>
        <w:t>34</w:t>
      </w:r>
      <w:r>
        <w:rPr>
          <w:rFonts w:hint="eastAsia" w:ascii="Times New Roman" w:hAnsi="Times New Roman" w:eastAsia="仿宋_GB2312" w:cs="Times New Roman"/>
          <w:color w:val="000000"/>
          <w:sz w:val="32"/>
          <w:szCs w:val="32"/>
        </w:rPr>
        <w:t>条重点街路工程。完成第三水源整体升级改造，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引哈济惠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工程实现城乡联合供水。加大城乡劣质管网改造步伐，加快用水行业信息化建设，确保安全用水。新建城区污水处理厂二期工程，建设排水管网</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公里，实现工业污水和生活污水达标排放。建设城区管道供气系统，铺设管网</w:t>
      </w:r>
      <w:r>
        <w:rPr>
          <w:rFonts w:ascii="Times New Roman" w:hAnsi="Times New Roman" w:eastAsia="仿宋_GB2312" w:cs="Times New Roman"/>
          <w:color w:val="000000"/>
          <w:sz w:val="32"/>
          <w:szCs w:val="32"/>
        </w:rPr>
        <w:t>70</w:t>
      </w:r>
      <w:r>
        <w:rPr>
          <w:rFonts w:hint="eastAsia" w:ascii="Times New Roman" w:hAnsi="Times New Roman" w:eastAsia="仿宋_GB2312" w:cs="Times New Roman"/>
          <w:color w:val="000000"/>
          <w:sz w:val="32"/>
          <w:szCs w:val="32"/>
        </w:rPr>
        <w:t>公里，新惠镇供气普及率达到</w:t>
      </w:r>
      <w:r>
        <w:rPr>
          <w:rFonts w:ascii="Times New Roman" w:hAnsi="Times New Roman" w:eastAsia="仿宋_GB2312" w:cs="Times New Roman"/>
          <w:color w:val="000000"/>
          <w:sz w:val="32"/>
          <w:szCs w:val="32"/>
        </w:rPr>
        <w:t>95%</w:t>
      </w:r>
      <w:r>
        <w:rPr>
          <w:rFonts w:hint="eastAsia" w:ascii="Times New Roman" w:hAnsi="Times New Roman" w:eastAsia="仿宋_GB2312" w:cs="Times New Roman"/>
          <w:color w:val="000000"/>
          <w:sz w:val="32"/>
          <w:szCs w:val="32"/>
        </w:rPr>
        <w:t>，其它小城镇供气普及率达到</w:t>
      </w:r>
      <w:r>
        <w:rPr>
          <w:rFonts w:ascii="Times New Roman" w:hAnsi="Times New Roman" w:eastAsia="仿宋_GB2312" w:cs="Times New Roman"/>
          <w:color w:val="000000"/>
          <w:sz w:val="32"/>
          <w:szCs w:val="32"/>
        </w:rPr>
        <w:t>65%</w:t>
      </w:r>
      <w:r>
        <w:rPr>
          <w:rFonts w:hint="eastAsia" w:ascii="Times New Roman" w:hAnsi="Times New Roman" w:eastAsia="仿宋_GB2312" w:cs="Times New Roman"/>
          <w:color w:val="000000"/>
          <w:sz w:val="32"/>
          <w:szCs w:val="32"/>
        </w:rPr>
        <w:t>。完成城区供热旧管网改造工程，新惠城区集中供热普及率达到</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。全面提升城市建设水平，坚持城市建设地上与地下并重，启动地下管廊建设工程，建设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海绵城市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，规划建设地下管廊</w:t>
      </w:r>
      <w:r>
        <w:rPr>
          <w:rFonts w:ascii="Times New Roman" w:hAnsi="Times New Roman" w:eastAsia="仿宋_GB2312" w:cs="Times New Roman"/>
          <w:color w:val="000000"/>
          <w:sz w:val="32"/>
          <w:szCs w:val="32"/>
        </w:rPr>
        <w:t>3-5</w:t>
      </w:r>
      <w:r>
        <w:rPr>
          <w:rFonts w:hint="eastAsia" w:ascii="Times New Roman" w:hAnsi="Times New Roman" w:eastAsia="仿宋_GB2312" w:cs="Times New Roman"/>
          <w:color w:val="000000"/>
          <w:sz w:val="32"/>
          <w:szCs w:val="32"/>
        </w:rPr>
        <w:t>公里。实施银河公园、新州生态园林治理工程，加快孟克河沿岸综合开发和城区周边园林绿化建设，改善人居环境。加大各乡镇所在地供水、道路、热力等基础设施建设，推动城乡一体发展。深入开展城乡基础设施投融资改革试点工作，大力推行</w:t>
      </w:r>
      <w:r>
        <w:rPr>
          <w:rFonts w:ascii="Times New Roman" w:hAnsi="Times New Roman" w:eastAsia="仿宋_GB2312" w:cs="Times New Roman"/>
          <w:color w:val="000000"/>
          <w:sz w:val="32"/>
          <w:szCs w:val="32"/>
        </w:rPr>
        <w:t>PPP</w:t>
      </w:r>
      <w:r>
        <w:rPr>
          <w:rFonts w:hint="eastAsia" w:ascii="Times New Roman" w:hAnsi="Times New Roman" w:eastAsia="仿宋_GB2312" w:cs="Times New Roman"/>
          <w:color w:val="000000"/>
          <w:sz w:val="32"/>
          <w:szCs w:val="32"/>
        </w:rPr>
        <w:t>模式，全面推进城乡建设的市场化进程。</w:t>
      </w:r>
    </w:p>
    <w:tbl>
      <w:tblPr>
        <w:tblStyle w:val="18"/>
        <w:tblpPr w:leftFromText="180" w:rightFromText="180" w:vertAnchor="text" w:horzAnchor="margin" w:tblpY="2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1D9E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97" w:type="dxa"/>
            <w:shd w:val="clear" w:color="auto" w:fill="95B3D7"/>
          </w:tcPr>
          <w:p w14:paraId="1044FDDB">
            <w:pPr>
              <w:spacing w:line="360" w:lineRule="exact"/>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6              </w:t>
            </w:r>
            <w:r>
              <w:rPr>
                <w:rFonts w:hint="eastAsia" w:ascii="Times New Roman" w:hAnsi="Times New Roman" w:eastAsia="黑体" w:cs="Times New Roman"/>
                <w:b/>
                <w:color w:val="000000"/>
                <w:kern w:val="0"/>
                <w:sz w:val="28"/>
                <w:szCs w:val="32"/>
              </w:rPr>
              <w:t>城市建设重点项目</w:t>
            </w:r>
          </w:p>
        </w:tc>
      </w:tr>
      <w:tr w14:paraId="02FE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8897" w:type="dxa"/>
          </w:tcPr>
          <w:p w14:paraId="787EE254">
            <w:pPr>
              <w:spacing w:line="360" w:lineRule="exact"/>
              <w:ind w:firstLine="472" w:firstLineChars="196"/>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海岳新城建设项目：</w:t>
            </w:r>
            <w:r>
              <w:rPr>
                <w:rFonts w:hint="eastAsia" w:ascii="Times New Roman" w:hAnsi="Times New Roman" w:eastAsia="仿宋_GB2312" w:cs="Times New Roman"/>
                <w:color w:val="000000"/>
                <w:kern w:val="0"/>
                <w:sz w:val="24"/>
                <w:szCs w:val="32"/>
              </w:rPr>
              <w:t>占地</w:t>
            </w:r>
            <w:r>
              <w:rPr>
                <w:rFonts w:ascii="Times New Roman" w:hAnsi="Times New Roman" w:eastAsia="仿宋_GB2312" w:cs="Times New Roman"/>
                <w:color w:val="000000"/>
                <w:kern w:val="0"/>
                <w:sz w:val="24"/>
                <w:szCs w:val="32"/>
              </w:rPr>
              <w:t>3100</w:t>
            </w:r>
            <w:r>
              <w:rPr>
                <w:rFonts w:hint="eastAsia" w:ascii="Times New Roman" w:hAnsi="Times New Roman" w:eastAsia="仿宋_GB2312" w:cs="Times New Roman"/>
                <w:color w:val="000000"/>
                <w:kern w:val="0"/>
                <w:sz w:val="24"/>
                <w:szCs w:val="32"/>
              </w:rPr>
              <w:t>亩，建设住宅小区、一期规划总建筑面积</w:t>
            </w:r>
            <w:r>
              <w:rPr>
                <w:rFonts w:ascii="Times New Roman" w:hAnsi="Times New Roman" w:eastAsia="仿宋_GB2312" w:cs="Times New Roman"/>
                <w:color w:val="000000"/>
                <w:kern w:val="0"/>
                <w:sz w:val="24"/>
                <w:szCs w:val="32"/>
              </w:rPr>
              <w:t>26</w:t>
            </w:r>
            <w:r>
              <w:rPr>
                <w:rFonts w:hint="eastAsia" w:ascii="Times New Roman" w:hAnsi="Times New Roman" w:eastAsia="仿宋_GB2312" w:cs="Times New Roman"/>
                <w:color w:val="000000"/>
                <w:kern w:val="0"/>
                <w:sz w:val="24"/>
                <w:szCs w:val="32"/>
              </w:rPr>
              <w:t>万平方米，酒店、学校、幼儿园、公园和市政基础设施。</w:t>
            </w:r>
          </w:p>
          <w:p w14:paraId="2E500AC9">
            <w:pPr>
              <w:spacing w:line="360" w:lineRule="exact"/>
              <w:ind w:firstLine="472" w:firstLineChars="196"/>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新惠城区供水管网工程：</w:t>
            </w:r>
            <w:r>
              <w:rPr>
                <w:rFonts w:hint="eastAsia" w:ascii="Times New Roman" w:hAnsi="Times New Roman" w:eastAsia="仿宋_GB2312" w:cs="Times New Roman"/>
                <w:color w:val="000000"/>
                <w:kern w:val="0"/>
                <w:sz w:val="24"/>
                <w:szCs w:val="32"/>
              </w:rPr>
              <w:t>建设配水管网管</w:t>
            </w:r>
            <w:r>
              <w:rPr>
                <w:rFonts w:ascii="Times New Roman" w:hAnsi="Times New Roman" w:eastAsia="仿宋_GB2312" w:cs="Times New Roman"/>
                <w:color w:val="000000"/>
                <w:kern w:val="0"/>
                <w:sz w:val="24"/>
                <w:szCs w:val="32"/>
              </w:rPr>
              <w:t>23</w:t>
            </w:r>
            <w:r>
              <w:rPr>
                <w:rFonts w:hint="eastAsia" w:ascii="Times New Roman" w:hAnsi="Times New Roman" w:eastAsia="仿宋_GB2312" w:cs="Times New Roman"/>
                <w:color w:val="000000"/>
                <w:kern w:val="0"/>
                <w:sz w:val="24"/>
                <w:szCs w:val="32"/>
              </w:rPr>
              <w:t>公里。</w:t>
            </w:r>
          </w:p>
          <w:p w14:paraId="4B9AFAC9">
            <w:pPr>
              <w:spacing w:line="360" w:lineRule="exact"/>
              <w:ind w:firstLine="472" w:firstLineChars="196"/>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新惠城区供热改扩建工程：</w:t>
            </w:r>
            <w:r>
              <w:rPr>
                <w:rFonts w:hint="eastAsia" w:ascii="Times New Roman" w:hAnsi="Times New Roman" w:eastAsia="仿宋_GB2312" w:cs="Times New Roman"/>
                <w:color w:val="000000"/>
                <w:kern w:val="0"/>
                <w:sz w:val="24"/>
                <w:szCs w:val="32"/>
              </w:rPr>
              <w:t>新建供热管网，旧管网改造</w:t>
            </w:r>
            <w:r>
              <w:rPr>
                <w:rFonts w:ascii="Times New Roman" w:hAnsi="Times New Roman" w:eastAsia="仿宋_GB2312" w:cs="Times New Roman"/>
                <w:color w:val="000000"/>
                <w:kern w:val="0"/>
                <w:sz w:val="24"/>
                <w:szCs w:val="32"/>
              </w:rPr>
              <w:t>57</w:t>
            </w:r>
            <w:r>
              <w:rPr>
                <w:rFonts w:hint="eastAsia" w:ascii="Times New Roman" w:hAnsi="Times New Roman" w:eastAsia="仿宋_GB2312" w:cs="Times New Roman"/>
                <w:color w:val="000000"/>
                <w:kern w:val="0"/>
                <w:sz w:val="24"/>
                <w:szCs w:val="32"/>
              </w:rPr>
              <w:t>公里，供暖能力达到</w:t>
            </w:r>
            <w:r>
              <w:rPr>
                <w:rFonts w:ascii="Times New Roman" w:hAnsi="Times New Roman" w:eastAsia="仿宋_GB2312" w:cs="Times New Roman"/>
                <w:color w:val="000000"/>
                <w:kern w:val="0"/>
                <w:sz w:val="24"/>
                <w:szCs w:val="32"/>
              </w:rPr>
              <w:t>450</w:t>
            </w:r>
            <w:r>
              <w:rPr>
                <w:rFonts w:hint="eastAsia" w:ascii="Times New Roman" w:hAnsi="Times New Roman" w:eastAsia="仿宋_GB2312" w:cs="Times New Roman"/>
                <w:color w:val="000000"/>
                <w:kern w:val="0"/>
                <w:sz w:val="24"/>
                <w:szCs w:val="32"/>
              </w:rPr>
              <w:t>万平方米。</w:t>
            </w:r>
          </w:p>
          <w:p w14:paraId="3CECA1D8">
            <w:pPr>
              <w:spacing w:line="360" w:lineRule="exact"/>
              <w:ind w:firstLine="472" w:firstLineChars="196"/>
              <w:rPr>
                <w:rFonts w:ascii="Times New Roman" w:hAnsi="Times New Roman" w:eastAsia="仿宋" w:cs="Times New Roman"/>
                <w:bCs/>
                <w:color w:val="000000"/>
                <w:kern w:val="0"/>
                <w:sz w:val="24"/>
                <w:szCs w:val="28"/>
              </w:rPr>
            </w:pPr>
            <w:r>
              <w:rPr>
                <w:rFonts w:hint="eastAsia" w:ascii="Times New Roman" w:hAnsi="Times New Roman" w:eastAsia="黑体" w:cs="Times New Roman"/>
                <w:b/>
                <w:color w:val="000000"/>
                <w:kern w:val="0"/>
                <w:sz w:val="24"/>
                <w:szCs w:val="28"/>
              </w:rPr>
              <w:t>新建城区道路建设工程：</w:t>
            </w:r>
            <w:r>
              <w:rPr>
                <w:rFonts w:hint="eastAsia" w:ascii="Times New Roman" w:hAnsi="Times New Roman" w:eastAsia="仿宋_GB2312" w:cs="Times New Roman"/>
                <w:color w:val="000000"/>
                <w:kern w:val="0"/>
                <w:sz w:val="24"/>
                <w:szCs w:val="32"/>
              </w:rPr>
              <w:t>新建改建城区道路</w:t>
            </w:r>
            <w:r>
              <w:rPr>
                <w:rFonts w:ascii="Times New Roman" w:hAnsi="Times New Roman" w:eastAsia="仿宋_GB2312" w:cs="Times New Roman"/>
                <w:color w:val="000000"/>
                <w:kern w:val="0"/>
                <w:sz w:val="24"/>
                <w:szCs w:val="32"/>
              </w:rPr>
              <w:t>35</w:t>
            </w:r>
            <w:r>
              <w:rPr>
                <w:rFonts w:hint="eastAsia" w:ascii="Times New Roman" w:hAnsi="Times New Roman" w:eastAsia="仿宋_GB2312" w:cs="Times New Roman"/>
                <w:color w:val="000000"/>
                <w:kern w:val="0"/>
                <w:sz w:val="24"/>
                <w:szCs w:val="32"/>
              </w:rPr>
              <w:t>公里，两座桥梁及相应附属设施。</w:t>
            </w:r>
          </w:p>
        </w:tc>
      </w:tr>
    </w:tbl>
    <w:p w14:paraId="4BCCAD29">
      <w:pPr>
        <w:shd w:val="clear" w:color="auto" w:fill="FFFFFF"/>
        <w:spacing w:line="640" w:lineRule="exact"/>
        <w:ind w:firstLine="632"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pacing w:val="-2"/>
          <w:sz w:val="32"/>
          <w:szCs w:val="32"/>
        </w:rPr>
        <w:t>稳步推进房地产和安居工程。</w:t>
      </w:r>
      <w:r>
        <w:rPr>
          <w:rFonts w:hint="eastAsia" w:ascii="Times New Roman" w:hAnsi="Times New Roman" w:eastAsia="仿宋_GB2312" w:cs="Times New Roman"/>
          <w:color w:val="000000"/>
          <w:sz w:val="32"/>
          <w:szCs w:val="32"/>
        </w:rPr>
        <w:t>均衡发展普通商品住房和保障性住房，构建多层次的住房供应和保障体系。推进棚户区及农村牧区危房改造，完成石羊石虎山南片、喇嘛蒿、新惠第三小学、团结路南北区域棚户区改造</w:t>
      </w:r>
      <w:r>
        <w:rPr>
          <w:rFonts w:ascii="Times New Roman" w:hAnsi="Times New Roman" w:eastAsia="仿宋_GB2312" w:cs="Times New Roman"/>
          <w:color w:val="000000"/>
          <w:sz w:val="32"/>
          <w:szCs w:val="32"/>
        </w:rPr>
        <w:t>600</w:t>
      </w:r>
      <w:r>
        <w:rPr>
          <w:rFonts w:hint="eastAsia" w:ascii="Times New Roman" w:hAnsi="Times New Roman" w:eastAsia="仿宋_GB2312" w:cs="Times New Roman"/>
          <w:color w:val="000000"/>
          <w:sz w:val="32"/>
          <w:szCs w:val="32"/>
        </w:rPr>
        <w:t>户以上。积极开发新惠城区及各乡镇房地产开发市场，房地产开发</w:t>
      </w:r>
      <w:r>
        <w:rPr>
          <w:rFonts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万平方米，建设公租房</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套以上，解决好低收入人群的住房问题。大力提升建筑业管理水平和发展质量，规范建筑市场，到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年，完成建筑业总产值</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亿元，实现利税</w:t>
      </w:r>
      <w:r>
        <w:rPr>
          <w:rFonts w:ascii="Times New Roman" w:hAnsi="Times New Roman" w:eastAsia="仿宋_GB2312" w:cs="Times New Roman"/>
          <w:color w:val="000000"/>
          <w:sz w:val="32"/>
          <w:szCs w:val="32"/>
        </w:rPr>
        <w:t>6000</w:t>
      </w:r>
      <w:r>
        <w:rPr>
          <w:rFonts w:hint="eastAsia" w:ascii="Times New Roman" w:hAnsi="Times New Roman" w:eastAsia="仿宋_GB2312" w:cs="Times New Roman"/>
          <w:color w:val="000000"/>
          <w:sz w:val="32"/>
          <w:szCs w:val="32"/>
        </w:rPr>
        <w:t>万元，从业人员达到</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万人，带动相关产业就业人员</w:t>
      </w:r>
      <w:r>
        <w:rPr>
          <w:rFonts w:ascii="Times New Roman" w:hAnsi="Times New Roman" w:eastAsia="仿宋_GB2312" w:cs="Times New Roman"/>
          <w:color w:val="000000"/>
          <w:sz w:val="32"/>
          <w:szCs w:val="32"/>
        </w:rPr>
        <w:t>4.2</w:t>
      </w:r>
      <w:r>
        <w:rPr>
          <w:rFonts w:hint="eastAsia" w:ascii="Times New Roman" w:hAnsi="Times New Roman" w:eastAsia="仿宋_GB2312" w:cs="Times New Roman"/>
          <w:color w:val="000000"/>
          <w:sz w:val="32"/>
          <w:szCs w:val="32"/>
        </w:rPr>
        <w:t>万人。规范物业管理行为，建立质价相符的物业服务收费机制，推进物业管理社会化、市场化、专业化，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期间，物业服务企业达</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家，物业服务人员达</w:t>
      </w:r>
      <w:r>
        <w:rPr>
          <w:rFonts w:ascii="Times New Roman" w:hAnsi="Times New Roman" w:eastAsia="仿宋_GB2312" w:cs="Times New Roman"/>
          <w:color w:val="000000"/>
          <w:sz w:val="32"/>
          <w:szCs w:val="32"/>
        </w:rPr>
        <w:t>600</w:t>
      </w:r>
      <w:r>
        <w:rPr>
          <w:rFonts w:hint="eastAsia" w:ascii="Times New Roman" w:hAnsi="Times New Roman" w:eastAsia="仿宋_GB2312" w:cs="Times New Roman"/>
          <w:color w:val="000000"/>
          <w:sz w:val="32"/>
          <w:szCs w:val="32"/>
        </w:rPr>
        <w:t>人。</w:t>
      </w:r>
    </w:p>
    <w:p w14:paraId="10BA5FEF">
      <w:pPr>
        <w:pStyle w:val="3"/>
        <w:spacing w:beforeLines="50" w:afterLines="50" w:line="640" w:lineRule="exact"/>
        <w:jc w:val="center"/>
        <w:rPr>
          <w:rFonts w:ascii="Times New Roman" w:hAnsi="Times New Roman" w:eastAsia="黑体"/>
          <w:color w:val="000000"/>
        </w:rPr>
      </w:pPr>
      <w:bookmarkStart w:id="120" w:name="_Toc438543364"/>
      <w:bookmarkStart w:id="121" w:name="_Toc443390019"/>
      <w:r>
        <w:rPr>
          <w:rFonts w:hint="eastAsia" w:ascii="Times New Roman" w:hAnsi="Times New Roman" w:eastAsia="黑体"/>
          <w:color w:val="000000"/>
        </w:rPr>
        <w:t>第二节</w:t>
      </w:r>
      <w:bookmarkStart w:id="122" w:name="_Toc437819155"/>
      <w:bookmarkStart w:id="123" w:name="_Toc437823903"/>
      <w:r>
        <w:rPr>
          <w:rFonts w:ascii="Times New Roman" w:hAnsi="Times New Roman" w:eastAsia="黑体"/>
          <w:color w:val="000000"/>
        </w:rPr>
        <w:t xml:space="preserve">  </w:t>
      </w:r>
      <w:r>
        <w:rPr>
          <w:rFonts w:hint="eastAsia" w:ascii="Times New Roman" w:hAnsi="Times New Roman" w:eastAsia="黑体"/>
          <w:color w:val="000000"/>
        </w:rPr>
        <w:t>加快新农村新牧区建设</w:t>
      </w:r>
      <w:bookmarkEnd w:id="120"/>
      <w:bookmarkEnd w:id="121"/>
      <w:bookmarkEnd w:id="122"/>
      <w:bookmarkEnd w:id="123"/>
    </w:p>
    <w:p w14:paraId="425FFE27">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突出重点、因地制宜、因势利导、彰显特色</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原则，注意保护乡村特色、民族风情，承载起历史，留得住乡愁，建设现代化新农村新牧区。深入实施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十个全覆盖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工程，按照</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收缩转移、集中发展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要求，合理确定承接转移的中心镇、中心村，推动富民产业、生产要素、基础设施和公共服务向中心镇、中心村覆盖，重点建设中心村和重点村，完成全部自然村的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十个全覆盖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工程任务。开展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美丽乡村试点县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建设，启动农村生活垃圾专项治理和厕所改革，改善农村人居环境。进一步加强基础设施建设，完成北部五乡镇饮水工程，解决我旗北部乡镇饮水安全问题；实施危土房改造</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万户以上；村村通电及农网改造</w:t>
      </w:r>
      <w:r>
        <w:rPr>
          <w:rFonts w:ascii="Times New Roman" w:hAnsi="Times New Roman" w:eastAsia="仿宋_GB2312" w:cs="Times New Roman"/>
          <w:color w:val="000000"/>
          <w:sz w:val="32"/>
          <w:szCs w:val="32"/>
        </w:rPr>
        <w:t>1200</w:t>
      </w:r>
      <w:r>
        <w:rPr>
          <w:rFonts w:hint="eastAsia" w:ascii="Times New Roman" w:hAnsi="Times New Roman" w:eastAsia="仿宋_GB2312" w:cs="Times New Roman"/>
          <w:color w:val="000000"/>
          <w:sz w:val="32"/>
          <w:szCs w:val="32"/>
        </w:rPr>
        <w:t>公里；村村都有标准化文化室、卫生室、便民超市；农村牧区常住人口养老、医疗、低保等社会保障实现全覆盖。</w:t>
      </w:r>
    </w:p>
    <w:p w14:paraId="76E6DA59">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加大农牧民技能培训、农村牧区实用人才培养等工程的投入和实施力度，将农民工纳入终身职业培训和创业政策扶持范围，培育新型职业农牧民。开展农牧民诚信体系建设活动，加强宣传教育，着力营造重诚信、守承诺、讲信用的良好环境，搭建征信、授信、用信一体化诚信平台，形成完善的信用制度体系、利益导向体系和监督管理体系，努力建设生产发展、生活宽裕、乡风文明、村容整洁、管理民主的新农村新牧区。</w:t>
      </w:r>
      <w:bookmarkStart w:id="124" w:name="_Toc437819152"/>
      <w:bookmarkStart w:id="125" w:name="_Toc437823900"/>
      <w:bookmarkStart w:id="126" w:name="_Toc438543361"/>
      <w:bookmarkStart w:id="127" w:name="_Toc437823904"/>
      <w:bookmarkStart w:id="128" w:name="_Toc438543365"/>
      <w:bookmarkStart w:id="129" w:name="_Toc437819156"/>
    </w:p>
    <w:tbl>
      <w:tblPr>
        <w:tblStyle w:val="18"/>
        <w:tblpPr w:leftFromText="180" w:rightFromText="180" w:vertAnchor="text" w:horzAnchor="margin" w:tblpXSpec="center" w:tblpY="15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71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95B3D7"/>
          </w:tcPr>
          <w:p w14:paraId="05C1EC1A">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7             </w:t>
            </w:r>
            <w:r>
              <w:rPr>
                <w:rFonts w:hint="eastAsia" w:ascii="Times New Roman" w:hAnsi="Times New Roman" w:eastAsia="黑体" w:cs="Times New Roman"/>
                <w:b/>
                <w:color w:val="000000"/>
                <w:kern w:val="0"/>
                <w:sz w:val="28"/>
                <w:szCs w:val="32"/>
              </w:rPr>
              <w:t>新农村新牧区重点项目</w:t>
            </w:r>
          </w:p>
        </w:tc>
      </w:tr>
      <w:tr w14:paraId="5739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480843">
            <w:pPr>
              <w:spacing w:line="360" w:lineRule="auto"/>
              <w:ind w:firstLine="482" w:firstLineChars="200"/>
              <w:rPr>
                <w:rFonts w:ascii="Times New Roman" w:hAnsi="Times New Roman" w:eastAsia="仿宋" w:cs="Times New Roman"/>
                <w:bCs/>
                <w:color w:val="000000"/>
                <w:kern w:val="0"/>
                <w:sz w:val="24"/>
                <w:szCs w:val="28"/>
              </w:rPr>
            </w:pPr>
            <w:r>
              <w:rPr>
                <w:rFonts w:hint="eastAsia" w:ascii="Times New Roman" w:hAnsi="Times New Roman" w:eastAsia="黑体" w:cs="Times New Roman"/>
                <w:b/>
                <w:color w:val="000000"/>
                <w:kern w:val="0"/>
                <w:sz w:val="24"/>
                <w:szCs w:val="20"/>
              </w:rPr>
              <w:t>危房改造：</w:t>
            </w:r>
            <w:r>
              <w:rPr>
                <w:rFonts w:hint="eastAsia" w:ascii="Times New Roman" w:hAnsi="Times New Roman" w:eastAsia="仿宋_GB2312" w:cs="Times New Roman"/>
                <w:color w:val="000000"/>
                <w:kern w:val="0"/>
                <w:sz w:val="24"/>
                <w:szCs w:val="32"/>
              </w:rPr>
              <w:t>实施危改</w:t>
            </w:r>
            <w:r>
              <w:rPr>
                <w:rFonts w:ascii="Times New Roman" w:hAnsi="Times New Roman" w:eastAsia="仿宋_GB2312" w:cs="Times New Roman"/>
                <w:color w:val="000000"/>
                <w:kern w:val="0"/>
                <w:sz w:val="24"/>
                <w:szCs w:val="32"/>
              </w:rPr>
              <w:t>7400</w:t>
            </w:r>
            <w:r>
              <w:rPr>
                <w:rFonts w:hint="eastAsia" w:ascii="Times New Roman" w:hAnsi="Times New Roman" w:eastAsia="仿宋_GB2312" w:cs="Times New Roman"/>
                <w:color w:val="000000"/>
                <w:kern w:val="0"/>
                <w:sz w:val="24"/>
                <w:szCs w:val="32"/>
              </w:rPr>
              <w:t>户。</w:t>
            </w:r>
          </w:p>
          <w:p w14:paraId="37C939AE">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0"/>
              </w:rPr>
              <w:t>硬化街巷：</w:t>
            </w:r>
            <w:r>
              <w:rPr>
                <w:rFonts w:hint="eastAsia" w:ascii="Times New Roman" w:hAnsi="Times New Roman" w:eastAsia="仿宋_GB2312" w:cs="Times New Roman"/>
                <w:color w:val="000000"/>
                <w:kern w:val="0"/>
                <w:sz w:val="24"/>
                <w:szCs w:val="32"/>
              </w:rPr>
              <w:t>铺设水泥路面</w:t>
            </w:r>
            <w:r>
              <w:rPr>
                <w:rFonts w:ascii="Times New Roman" w:hAnsi="Times New Roman" w:eastAsia="仿宋_GB2312" w:cs="Times New Roman"/>
                <w:color w:val="000000"/>
                <w:kern w:val="0"/>
                <w:sz w:val="24"/>
                <w:szCs w:val="32"/>
              </w:rPr>
              <w:t>5000</w:t>
            </w:r>
            <w:r>
              <w:rPr>
                <w:rFonts w:hint="eastAsia" w:ascii="Times New Roman" w:hAnsi="Times New Roman" w:eastAsia="仿宋_GB2312" w:cs="Times New Roman"/>
                <w:color w:val="000000"/>
                <w:kern w:val="0"/>
                <w:sz w:val="24"/>
                <w:szCs w:val="32"/>
              </w:rPr>
              <w:t>公里。</w:t>
            </w:r>
          </w:p>
          <w:p w14:paraId="7718494C">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0"/>
              </w:rPr>
              <w:t>院墙改造：</w:t>
            </w:r>
            <w:r>
              <w:rPr>
                <w:rFonts w:hint="eastAsia" w:ascii="Times New Roman" w:hAnsi="Times New Roman" w:eastAsia="仿宋_GB2312" w:cs="Times New Roman"/>
                <w:color w:val="000000"/>
                <w:kern w:val="0"/>
                <w:sz w:val="24"/>
                <w:szCs w:val="32"/>
              </w:rPr>
              <w:t>实施</w:t>
            </w:r>
            <w:r>
              <w:rPr>
                <w:rFonts w:ascii="Times New Roman" w:hAnsi="Times New Roman" w:eastAsia="仿宋_GB2312" w:cs="Times New Roman"/>
                <w:color w:val="000000"/>
                <w:kern w:val="0"/>
                <w:sz w:val="24"/>
                <w:szCs w:val="32"/>
              </w:rPr>
              <w:t>500</w:t>
            </w:r>
            <w:r>
              <w:rPr>
                <w:rFonts w:hint="eastAsia" w:ascii="Times New Roman" w:hAnsi="Times New Roman" w:eastAsia="仿宋_GB2312" w:cs="Times New Roman"/>
                <w:color w:val="000000"/>
                <w:kern w:val="0"/>
                <w:sz w:val="24"/>
                <w:szCs w:val="32"/>
              </w:rPr>
              <w:t>万延长米。</w:t>
            </w:r>
          </w:p>
          <w:p w14:paraId="3348FAA4">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0"/>
              </w:rPr>
              <w:t>扶贫搬迁：</w:t>
            </w:r>
            <w:r>
              <w:rPr>
                <w:rFonts w:hint="eastAsia" w:ascii="Times New Roman" w:hAnsi="Times New Roman" w:eastAsia="仿宋_GB2312" w:cs="Times New Roman"/>
                <w:color w:val="000000"/>
                <w:kern w:val="0"/>
                <w:sz w:val="24"/>
                <w:szCs w:val="32"/>
              </w:rPr>
              <w:t>易地扶贫搬迁</w:t>
            </w:r>
            <w:r>
              <w:rPr>
                <w:rFonts w:ascii="Times New Roman" w:hAnsi="Times New Roman" w:eastAsia="仿宋_GB2312" w:cs="Times New Roman"/>
                <w:color w:val="000000"/>
                <w:kern w:val="0"/>
                <w:sz w:val="24"/>
                <w:szCs w:val="32"/>
              </w:rPr>
              <w:t>1</w:t>
            </w:r>
            <w:r>
              <w:rPr>
                <w:rFonts w:hint="eastAsia" w:ascii="Times New Roman" w:hAnsi="Times New Roman" w:eastAsia="仿宋_GB2312" w:cs="Times New Roman"/>
                <w:color w:val="000000"/>
                <w:kern w:val="0"/>
                <w:sz w:val="24"/>
                <w:szCs w:val="32"/>
              </w:rPr>
              <w:t>万户。</w:t>
            </w:r>
          </w:p>
          <w:p w14:paraId="7A09E6B5">
            <w:pPr>
              <w:spacing w:line="360" w:lineRule="auto"/>
              <w:ind w:firstLine="472" w:firstLineChars="196"/>
              <w:rPr>
                <w:rFonts w:ascii="Times New Roman" w:hAnsi="Times New Roman" w:eastAsia="仿宋" w:cs="Times New Roman"/>
                <w:bCs/>
                <w:color w:val="000000"/>
                <w:kern w:val="0"/>
                <w:sz w:val="24"/>
                <w:szCs w:val="28"/>
              </w:rPr>
            </w:pPr>
            <w:r>
              <w:rPr>
                <w:rFonts w:hint="eastAsia" w:ascii="Times New Roman" w:hAnsi="Times New Roman" w:eastAsia="黑体" w:cs="Times New Roman"/>
                <w:b/>
                <w:color w:val="000000"/>
                <w:kern w:val="0"/>
                <w:sz w:val="24"/>
                <w:szCs w:val="20"/>
              </w:rPr>
              <w:t>饮水安全工程：</w:t>
            </w:r>
            <w:r>
              <w:rPr>
                <w:rFonts w:hint="eastAsia" w:ascii="Times New Roman" w:hAnsi="Times New Roman" w:eastAsia="仿宋_GB2312" w:cs="Times New Roman"/>
                <w:color w:val="000000"/>
                <w:kern w:val="0"/>
                <w:sz w:val="24"/>
                <w:szCs w:val="32"/>
              </w:rPr>
              <w:t>实施</w:t>
            </w:r>
            <w:r>
              <w:rPr>
                <w:rFonts w:ascii="Times New Roman" w:hAnsi="Times New Roman" w:eastAsia="仿宋_GB2312" w:cs="Times New Roman"/>
                <w:color w:val="000000"/>
                <w:kern w:val="0"/>
                <w:sz w:val="24"/>
                <w:szCs w:val="32"/>
              </w:rPr>
              <w:t>300</w:t>
            </w:r>
            <w:r>
              <w:rPr>
                <w:rFonts w:hint="eastAsia" w:ascii="Times New Roman" w:hAnsi="Times New Roman" w:eastAsia="仿宋_GB2312" w:cs="Times New Roman"/>
                <w:color w:val="000000"/>
                <w:kern w:val="0"/>
                <w:sz w:val="24"/>
                <w:szCs w:val="32"/>
              </w:rPr>
              <w:t>处，受益人口</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万人。</w:t>
            </w:r>
          </w:p>
        </w:tc>
      </w:tr>
    </w:tbl>
    <w:p w14:paraId="48AA8F39">
      <w:pPr>
        <w:pStyle w:val="3"/>
        <w:spacing w:beforeLines="50" w:afterLines="50" w:line="640" w:lineRule="exact"/>
        <w:jc w:val="center"/>
        <w:rPr>
          <w:rFonts w:ascii="Times New Roman" w:hAnsi="Times New Roman" w:eastAsia="黑体"/>
          <w:color w:val="000000"/>
        </w:rPr>
      </w:pPr>
      <w:bookmarkStart w:id="130" w:name="_Toc443390020"/>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推动现代基础设施建设</w:t>
      </w:r>
      <w:bookmarkEnd w:id="124"/>
      <w:bookmarkEnd w:id="125"/>
      <w:bookmarkEnd w:id="126"/>
      <w:bookmarkEnd w:id="130"/>
    </w:p>
    <w:p w14:paraId="27EF2E16">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坚持统筹城乡、适度超前、增量建设与存量改造并重，建设安全、高效、完善的现代化基础设施体系，大幅提高基础设施承载能力和运行效率，提高发展支撑和保障水平。</w:t>
      </w:r>
    </w:p>
    <w:p w14:paraId="69049E9F">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加快水利建设。</w:t>
      </w:r>
      <w:r>
        <w:rPr>
          <w:rFonts w:hint="eastAsia" w:ascii="Times New Roman" w:hAnsi="Times New Roman" w:eastAsia="仿宋_GB2312" w:cs="Times New Roman"/>
          <w:color w:val="000000"/>
          <w:sz w:val="32"/>
          <w:szCs w:val="32"/>
        </w:rPr>
        <w:t>实行最严格的水资源管理制度，设定总量控制红线，提高用水效率。抓住国家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节水增粮行动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粮食增产工程、山湾子灌区及山咀灌区续建配套与节水改造工程契机，全面提升农田节水建设水平；实施饮水安全巩固提升工程，力争启动辽西北调水工程，缓解我旗南部乡镇缺水问题；继续实施坡耕地综合治理、京津风沙源治理二期工程，推进水土保持工作；实施老哈河东山湾大桥以下段、大北海至蚌河入口段等病险水闸除险加固工程，做好防洪工作。启动金厂沟梁金矿独立工矿区疏干水综合利用工程。深化水利改革，建立稳定的水利投入体制，拓宽水利建设资金来源，形成国家、社会及其他金融参与的水利投入保障机制。进一步完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一事一议</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筹资酬劳制度，解决好小型水利工程建设和保护。到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年，高效节水面积达到</w:t>
      </w:r>
      <w:r>
        <w:rPr>
          <w:rFonts w:ascii="Times New Roman" w:hAnsi="Times New Roman" w:eastAsia="仿宋_GB2312" w:cs="Times New Roman"/>
          <w:color w:val="000000"/>
          <w:sz w:val="32"/>
          <w:szCs w:val="32"/>
        </w:rPr>
        <w:t>120</w:t>
      </w:r>
      <w:r>
        <w:rPr>
          <w:rFonts w:hint="eastAsia" w:ascii="Times New Roman" w:hAnsi="Times New Roman" w:eastAsia="仿宋_GB2312" w:cs="Times New Roman"/>
          <w:color w:val="000000"/>
          <w:sz w:val="32"/>
          <w:szCs w:val="32"/>
        </w:rPr>
        <w:t>万亩，新增水土保持治理面积</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万亩，解决</w:t>
      </w:r>
      <w:r>
        <w:rPr>
          <w:rFonts w:ascii="Times New Roman" w:hAnsi="Times New Roman" w:eastAsia="仿宋_GB2312" w:cs="Times New Roman"/>
          <w:color w:val="000000"/>
          <w:sz w:val="32"/>
          <w:szCs w:val="32"/>
        </w:rPr>
        <w:t>28</w:t>
      </w:r>
      <w:r>
        <w:rPr>
          <w:rFonts w:hint="eastAsia" w:ascii="Times New Roman" w:hAnsi="Times New Roman" w:eastAsia="仿宋_GB2312" w:cs="Times New Roman"/>
          <w:color w:val="000000"/>
          <w:sz w:val="32"/>
          <w:szCs w:val="32"/>
        </w:rPr>
        <w:t>万人饮水安全。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9E9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tcPr>
          <w:p w14:paraId="3180AFD3">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8                 </w:t>
            </w:r>
            <w:r>
              <w:rPr>
                <w:rFonts w:hint="eastAsia" w:ascii="Times New Roman" w:hAnsi="Times New Roman" w:eastAsia="黑体" w:cs="Times New Roman"/>
                <w:b/>
                <w:color w:val="000000"/>
                <w:kern w:val="0"/>
                <w:sz w:val="28"/>
                <w:szCs w:val="28"/>
              </w:rPr>
              <w:t>水利建设重点项目</w:t>
            </w:r>
          </w:p>
        </w:tc>
      </w:tr>
      <w:tr w14:paraId="0730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F5DB7EF">
            <w:pPr>
              <w:spacing w:line="440" w:lineRule="exact"/>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0"/>
              </w:rPr>
              <w:t>辽西北调水敖汉段工程：</w:t>
            </w:r>
            <w:r>
              <w:rPr>
                <w:rFonts w:hint="eastAsia" w:ascii="Times New Roman" w:hAnsi="Times New Roman" w:eastAsia="仿宋_GB2312" w:cs="Times New Roman"/>
                <w:color w:val="000000"/>
                <w:kern w:val="0"/>
                <w:sz w:val="24"/>
                <w:szCs w:val="32"/>
              </w:rPr>
              <w:t>新建泵站及水厂</w:t>
            </w:r>
            <w:r>
              <w:rPr>
                <w:rFonts w:ascii="Times New Roman" w:hAnsi="Times New Roman" w:eastAsia="仿宋_GB2312" w:cs="Times New Roman"/>
                <w:color w:val="000000"/>
                <w:kern w:val="0"/>
                <w:sz w:val="24"/>
                <w:szCs w:val="32"/>
              </w:rPr>
              <w:t>7</w:t>
            </w:r>
            <w:r>
              <w:rPr>
                <w:rFonts w:hint="eastAsia" w:ascii="Times New Roman" w:hAnsi="Times New Roman" w:eastAsia="仿宋_GB2312" w:cs="Times New Roman"/>
                <w:color w:val="000000"/>
                <w:kern w:val="0"/>
                <w:sz w:val="24"/>
                <w:szCs w:val="32"/>
              </w:rPr>
              <w:t>座，铺设主管路</w:t>
            </w:r>
            <w:r>
              <w:rPr>
                <w:rFonts w:ascii="Times New Roman" w:hAnsi="Times New Roman" w:eastAsia="仿宋_GB2312" w:cs="Times New Roman"/>
                <w:color w:val="000000"/>
                <w:kern w:val="0"/>
                <w:sz w:val="24"/>
                <w:szCs w:val="32"/>
              </w:rPr>
              <w:t>520</w:t>
            </w:r>
            <w:r>
              <w:rPr>
                <w:rFonts w:hint="eastAsia" w:ascii="Times New Roman" w:hAnsi="Times New Roman" w:eastAsia="仿宋_GB2312" w:cs="Times New Roman"/>
                <w:color w:val="000000"/>
                <w:kern w:val="0"/>
                <w:sz w:val="24"/>
                <w:szCs w:val="32"/>
              </w:rPr>
              <w:t>公里，从辽宁省北票市调水至敖汉旗。</w:t>
            </w:r>
          </w:p>
          <w:p w14:paraId="3C54E64A">
            <w:pPr>
              <w:spacing w:line="440" w:lineRule="exact"/>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0"/>
              </w:rPr>
              <w:t>河道治理工程：</w:t>
            </w:r>
            <w:r>
              <w:rPr>
                <w:rFonts w:hint="eastAsia" w:ascii="Times New Roman" w:hAnsi="Times New Roman" w:eastAsia="仿宋_GB2312" w:cs="Times New Roman"/>
                <w:color w:val="000000"/>
                <w:kern w:val="0"/>
                <w:sz w:val="24"/>
                <w:szCs w:val="32"/>
              </w:rPr>
              <w:t>叫来河段防洪工程、新惠镇城区防洪工程、大北海至蚌河入口段防洪工程、东山湾大桥以下段防洪工程，共治理河道</w:t>
            </w:r>
            <w:r>
              <w:rPr>
                <w:rFonts w:ascii="Times New Roman" w:hAnsi="Times New Roman" w:eastAsia="仿宋_GB2312" w:cs="Times New Roman"/>
                <w:color w:val="000000"/>
                <w:kern w:val="0"/>
                <w:sz w:val="24"/>
                <w:szCs w:val="32"/>
              </w:rPr>
              <w:t>90</w:t>
            </w:r>
            <w:r>
              <w:rPr>
                <w:rFonts w:hint="eastAsia" w:ascii="Times New Roman" w:hAnsi="Times New Roman" w:eastAsia="仿宋_GB2312" w:cs="Times New Roman"/>
                <w:color w:val="000000"/>
                <w:kern w:val="0"/>
                <w:sz w:val="24"/>
                <w:szCs w:val="32"/>
              </w:rPr>
              <w:t>公里。</w:t>
            </w:r>
          </w:p>
          <w:p w14:paraId="3624B278">
            <w:pPr>
              <w:spacing w:line="360" w:lineRule="auto"/>
              <w:ind w:firstLine="472" w:firstLineChars="196"/>
              <w:rPr>
                <w:rFonts w:ascii="Times New Roman" w:hAnsi="Times New Roman" w:eastAsia="仿宋" w:cs="Times New Roman"/>
                <w:bCs/>
                <w:color w:val="000000"/>
                <w:kern w:val="0"/>
                <w:sz w:val="24"/>
                <w:szCs w:val="28"/>
              </w:rPr>
            </w:pPr>
            <w:r>
              <w:rPr>
                <w:rFonts w:hint="eastAsia" w:ascii="Times New Roman" w:hAnsi="Times New Roman" w:eastAsia="黑体" w:cs="Times New Roman"/>
                <w:b/>
                <w:color w:val="000000"/>
                <w:kern w:val="0"/>
                <w:sz w:val="24"/>
                <w:szCs w:val="20"/>
              </w:rPr>
              <w:t>山湾子灌区续建配套与节水改造工程：</w:t>
            </w:r>
            <w:r>
              <w:rPr>
                <w:rFonts w:hint="eastAsia" w:ascii="Times New Roman" w:hAnsi="Times New Roman" w:eastAsia="仿宋_GB2312" w:cs="Times New Roman"/>
                <w:color w:val="000000"/>
                <w:kern w:val="0"/>
                <w:sz w:val="24"/>
                <w:szCs w:val="32"/>
              </w:rPr>
              <w:t>渠道衬砌</w:t>
            </w:r>
            <w:r>
              <w:rPr>
                <w:rFonts w:ascii="Times New Roman" w:hAnsi="Times New Roman" w:eastAsia="仿宋_GB2312" w:cs="Times New Roman"/>
                <w:color w:val="000000"/>
                <w:kern w:val="0"/>
                <w:sz w:val="24"/>
                <w:szCs w:val="32"/>
              </w:rPr>
              <w:t>55</w:t>
            </w:r>
            <w:r>
              <w:rPr>
                <w:rFonts w:hint="eastAsia" w:ascii="Times New Roman" w:hAnsi="Times New Roman" w:eastAsia="仿宋_GB2312" w:cs="Times New Roman"/>
                <w:color w:val="000000"/>
                <w:kern w:val="0"/>
                <w:sz w:val="24"/>
                <w:szCs w:val="32"/>
              </w:rPr>
              <w:t>公里，渠道整理</w:t>
            </w:r>
            <w:r>
              <w:rPr>
                <w:rFonts w:ascii="Times New Roman" w:hAnsi="Times New Roman" w:eastAsia="仿宋_GB2312" w:cs="Times New Roman"/>
                <w:color w:val="000000"/>
                <w:kern w:val="0"/>
                <w:sz w:val="24"/>
                <w:szCs w:val="32"/>
              </w:rPr>
              <w:t>28</w:t>
            </w:r>
            <w:r>
              <w:rPr>
                <w:rFonts w:hint="eastAsia" w:ascii="Times New Roman" w:hAnsi="Times New Roman" w:eastAsia="仿宋_GB2312" w:cs="Times New Roman"/>
                <w:color w:val="000000"/>
                <w:kern w:val="0"/>
                <w:sz w:val="24"/>
                <w:szCs w:val="32"/>
              </w:rPr>
              <w:t>公里，改建建筑物</w:t>
            </w:r>
            <w:r>
              <w:rPr>
                <w:rFonts w:ascii="Times New Roman" w:hAnsi="Times New Roman" w:eastAsia="仿宋_GB2312" w:cs="Times New Roman"/>
                <w:color w:val="000000"/>
                <w:kern w:val="0"/>
                <w:sz w:val="24"/>
                <w:szCs w:val="32"/>
              </w:rPr>
              <w:t>197</w:t>
            </w:r>
            <w:r>
              <w:rPr>
                <w:rFonts w:hint="eastAsia" w:ascii="Times New Roman" w:hAnsi="Times New Roman" w:eastAsia="仿宋_GB2312" w:cs="Times New Roman"/>
                <w:color w:val="000000"/>
                <w:kern w:val="0"/>
                <w:sz w:val="24"/>
                <w:szCs w:val="32"/>
              </w:rPr>
              <w:t>处，规划灌溉面积</w:t>
            </w:r>
            <w:r>
              <w:rPr>
                <w:rFonts w:ascii="Times New Roman" w:hAnsi="Times New Roman" w:eastAsia="仿宋_GB2312" w:cs="Times New Roman"/>
                <w:color w:val="000000"/>
                <w:kern w:val="0"/>
                <w:sz w:val="24"/>
                <w:szCs w:val="32"/>
              </w:rPr>
              <w:t>30</w:t>
            </w:r>
            <w:r>
              <w:rPr>
                <w:rFonts w:hint="eastAsia" w:ascii="Times New Roman" w:hAnsi="Times New Roman" w:eastAsia="仿宋_GB2312" w:cs="Times New Roman"/>
                <w:color w:val="000000"/>
                <w:kern w:val="0"/>
                <w:sz w:val="24"/>
                <w:szCs w:val="32"/>
              </w:rPr>
              <w:t>万亩。</w:t>
            </w:r>
          </w:p>
        </w:tc>
      </w:tr>
    </w:tbl>
    <w:p w14:paraId="3E15522D">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优化交通布局。</w:t>
      </w:r>
      <w:r>
        <w:rPr>
          <w:rFonts w:hint="eastAsia" w:ascii="Times New Roman" w:hAnsi="Times New Roman" w:eastAsia="仿宋_GB2312" w:cs="Times New Roman"/>
          <w:color w:val="000000"/>
          <w:sz w:val="32"/>
          <w:szCs w:val="32"/>
        </w:rPr>
        <w:t>以嘎查村街巷硬化为基础，以通村公路建设为中心，以省道</w:t>
      </w:r>
      <w:r>
        <w:rPr>
          <w:rFonts w:ascii="Times New Roman" w:hAnsi="Times New Roman" w:eastAsia="仿宋_GB2312" w:cs="Times New Roman"/>
          <w:color w:val="000000"/>
          <w:sz w:val="32"/>
          <w:szCs w:val="32"/>
        </w:rPr>
        <w:t>210</w:t>
      </w:r>
      <w:r>
        <w:rPr>
          <w:rFonts w:hint="eastAsia" w:ascii="Times New Roman" w:hAnsi="Times New Roman" w:eastAsia="仿宋_GB2312" w:cs="Times New Roman"/>
          <w:color w:val="000000"/>
          <w:sz w:val="32"/>
          <w:szCs w:val="32"/>
        </w:rPr>
        <w:t>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南北大动脉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建设及国道</w:t>
      </w:r>
      <w:r>
        <w:rPr>
          <w:rFonts w:ascii="Times New Roman" w:hAnsi="Times New Roman" w:eastAsia="仿宋_GB2312" w:cs="Times New Roman"/>
          <w:color w:val="000000"/>
          <w:sz w:val="32"/>
          <w:szCs w:val="32"/>
        </w:rPr>
        <w:t>305</w:t>
      </w:r>
      <w:r>
        <w:rPr>
          <w:rFonts w:hint="eastAsia" w:ascii="Times New Roman" w:hAnsi="Times New Roman" w:eastAsia="仿宋_GB2312" w:cs="Times New Roman"/>
          <w:color w:val="000000"/>
          <w:sz w:val="32"/>
          <w:szCs w:val="32"/>
        </w:rPr>
        <w:t>线北段二级公路及县道改造升级为重点，大力实施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畅、快</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工程。完成省道</w:t>
      </w:r>
      <w:r>
        <w:rPr>
          <w:rFonts w:ascii="Times New Roman" w:hAnsi="Times New Roman" w:eastAsia="仿宋_GB2312" w:cs="Times New Roman"/>
          <w:color w:val="000000"/>
          <w:sz w:val="32"/>
          <w:szCs w:val="32"/>
        </w:rPr>
        <w:t>210</w:t>
      </w:r>
      <w:r>
        <w:rPr>
          <w:rFonts w:hint="eastAsia" w:ascii="Times New Roman" w:hAnsi="Times New Roman" w:eastAsia="仿宋_GB2312" w:cs="Times New Roman"/>
          <w:color w:val="000000"/>
          <w:sz w:val="32"/>
          <w:szCs w:val="32"/>
        </w:rPr>
        <w:t>线新惠至老虎山段一级公路、高日罕至羊场段二级公路建设，启动国道</w:t>
      </w:r>
      <w:r>
        <w:rPr>
          <w:rFonts w:ascii="Times New Roman" w:hAnsi="Times New Roman" w:eastAsia="仿宋_GB2312" w:cs="Times New Roman"/>
          <w:color w:val="000000"/>
          <w:sz w:val="32"/>
          <w:szCs w:val="32"/>
        </w:rPr>
        <w:t>305</w:t>
      </w:r>
      <w:r>
        <w:rPr>
          <w:rFonts w:hint="eastAsia" w:ascii="Times New Roman" w:hAnsi="Times New Roman" w:eastAsia="仿宋_GB2312" w:cs="Times New Roman"/>
          <w:color w:val="000000"/>
          <w:sz w:val="32"/>
          <w:szCs w:val="32"/>
        </w:rPr>
        <w:t>线玛尼罕至玉田皋段二级公路建设，旗内全部行政村通沥青水泥路。争取县道新惠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四德堂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小河沿、长胜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新窝铺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下洼</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嘎岔、老虎山</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金厂沟梁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贝子府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兴隆洼</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土城子（奈曼旗）及前白音海（古鲁板蒿）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敖润苏莫苏木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长胜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木头营子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牛古吐</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金厂沟梁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龙潭</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北票市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县级公路开工建设。积极争取国道</w:t>
      </w:r>
      <w:r>
        <w:rPr>
          <w:rFonts w:ascii="Times New Roman" w:hAnsi="Times New Roman" w:eastAsia="仿宋_GB2312" w:cs="Times New Roman"/>
          <w:color w:val="000000"/>
          <w:sz w:val="32"/>
          <w:szCs w:val="32"/>
        </w:rPr>
        <w:t>305</w:t>
      </w:r>
      <w:r>
        <w:rPr>
          <w:rFonts w:hint="eastAsia" w:ascii="Times New Roman" w:hAnsi="Times New Roman" w:eastAsia="仿宋_GB2312" w:cs="Times New Roman"/>
          <w:color w:val="000000"/>
          <w:sz w:val="32"/>
          <w:szCs w:val="32"/>
        </w:rPr>
        <w:t>线敖汉旗至北票段、</w:t>
      </w:r>
      <w:r>
        <w:rPr>
          <w:rFonts w:ascii="Times New Roman" w:hAnsi="Times New Roman" w:eastAsia="仿宋_GB2312" w:cs="Times New Roman"/>
          <w:color w:val="000000"/>
          <w:sz w:val="32"/>
          <w:szCs w:val="32"/>
        </w:rPr>
        <w:t>111</w:t>
      </w:r>
      <w:r>
        <w:rPr>
          <w:rFonts w:hint="eastAsia" w:ascii="Times New Roman" w:hAnsi="Times New Roman" w:eastAsia="仿宋_GB2312" w:cs="Times New Roman"/>
          <w:color w:val="000000"/>
          <w:sz w:val="32"/>
          <w:szCs w:val="32"/>
        </w:rPr>
        <w:t>线敖汉旗至奈曼段升级为一级公路，力争敖汉至平庄高铁站一级公路开工建设。注重对区域商贸物流等线路的规划建设，以通用机场建设为突破，构建便捷、高效、安全的交通运输网络。</w:t>
      </w:r>
    </w:p>
    <w:tbl>
      <w:tblPr>
        <w:tblStyle w:val="1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0334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60" w:type="dxa"/>
            <w:shd w:val="clear" w:color="auto" w:fill="95B3D7"/>
          </w:tcPr>
          <w:p w14:paraId="4FA273DC">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9                </w:t>
            </w:r>
            <w:r>
              <w:rPr>
                <w:rFonts w:hint="eastAsia" w:ascii="Times New Roman" w:hAnsi="Times New Roman" w:eastAsia="黑体" w:cs="Times New Roman"/>
                <w:b/>
                <w:color w:val="000000"/>
                <w:kern w:val="0"/>
                <w:sz w:val="28"/>
                <w:szCs w:val="28"/>
              </w:rPr>
              <w:t>交通建设重点项目</w:t>
            </w:r>
          </w:p>
        </w:tc>
      </w:tr>
      <w:tr w14:paraId="1F1A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8560" w:type="dxa"/>
          </w:tcPr>
          <w:p w14:paraId="736D8417">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通用航空机场建设项目：</w:t>
            </w:r>
            <w:r>
              <w:rPr>
                <w:rFonts w:hint="eastAsia" w:ascii="Times New Roman" w:hAnsi="Times New Roman" w:eastAsia="仿宋_GB2312" w:cs="Times New Roman"/>
                <w:color w:val="000000"/>
                <w:kern w:val="0"/>
                <w:sz w:val="24"/>
                <w:szCs w:val="32"/>
              </w:rPr>
              <w:t>建设机场跑道、航站楼、停机坪、航管中心及其附属设施等。</w:t>
            </w:r>
          </w:p>
          <w:p w14:paraId="6B48EA1D">
            <w:pPr>
              <w:spacing w:line="360" w:lineRule="auto"/>
              <w:ind w:firstLine="482" w:firstLineChars="200"/>
              <w:rPr>
                <w:rFonts w:ascii="Times New Roman" w:hAnsi="Times New Roman" w:eastAsia="仿宋" w:cs="Times New Roman"/>
                <w:color w:val="000000"/>
                <w:kern w:val="0"/>
                <w:sz w:val="24"/>
                <w:szCs w:val="20"/>
              </w:rPr>
            </w:pPr>
            <w:r>
              <w:rPr>
                <w:rFonts w:hint="eastAsia" w:ascii="Times New Roman" w:hAnsi="Times New Roman" w:eastAsia="黑体" w:cs="Times New Roman"/>
                <w:b/>
                <w:bCs/>
                <w:color w:val="000000"/>
                <w:kern w:val="0"/>
                <w:sz w:val="24"/>
                <w:szCs w:val="20"/>
              </w:rPr>
              <w:t>省道</w:t>
            </w:r>
            <w:r>
              <w:rPr>
                <w:rFonts w:ascii="Times New Roman" w:hAnsi="Times New Roman" w:eastAsia="黑体" w:cs="Times New Roman"/>
                <w:b/>
                <w:bCs/>
                <w:color w:val="000000"/>
                <w:kern w:val="0"/>
                <w:sz w:val="24"/>
                <w:szCs w:val="20"/>
              </w:rPr>
              <w:t>210</w:t>
            </w:r>
            <w:r>
              <w:rPr>
                <w:rFonts w:hint="eastAsia" w:ascii="Times New Roman" w:hAnsi="Times New Roman" w:eastAsia="黑体" w:cs="Times New Roman"/>
                <w:b/>
                <w:bCs/>
                <w:color w:val="000000"/>
                <w:kern w:val="0"/>
                <w:sz w:val="24"/>
                <w:szCs w:val="20"/>
              </w:rPr>
              <w:t>线新惠至老虎山段公路工程：</w:t>
            </w:r>
            <w:r>
              <w:rPr>
                <w:rFonts w:hint="eastAsia" w:ascii="Times New Roman" w:hAnsi="Times New Roman" w:eastAsia="仿宋_GB2312" w:cs="Times New Roman"/>
                <w:color w:val="000000"/>
                <w:kern w:val="0"/>
                <w:sz w:val="24"/>
                <w:szCs w:val="32"/>
              </w:rPr>
              <w:t>一级路</w:t>
            </w:r>
            <w:r>
              <w:rPr>
                <w:rFonts w:ascii="Times New Roman" w:hAnsi="Times New Roman" w:eastAsia="仿宋_GB2312" w:cs="Times New Roman"/>
                <w:color w:val="000000"/>
                <w:kern w:val="0"/>
                <w:sz w:val="24"/>
                <w:szCs w:val="32"/>
              </w:rPr>
              <w:t>60.5</w:t>
            </w:r>
            <w:r>
              <w:rPr>
                <w:rFonts w:hint="eastAsia" w:ascii="Times New Roman" w:hAnsi="Times New Roman" w:eastAsia="仿宋_GB2312" w:cs="Times New Roman"/>
                <w:color w:val="000000"/>
                <w:kern w:val="0"/>
                <w:sz w:val="24"/>
                <w:szCs w:val="32"/>
              </w:rPr>
              <w:t>公里、二级路</w:t>
            </w:r>
            <w:r>
              <w:rPr>
                <w:rFonts w:ascii="Times New Roman" w:hAnsi="Times New Roman" w:eastAsia="仿宋_GB2312" w:cs="Times New Roman"/>
                <w:color w:val="000000"/>
                <w:kern w:val="0"/>
                <w:sz w:val="24"/>
                <w:szCs w:val="32"/>
              </w:rPr>
              <w:t>8</w:t>
            </w:r>
            <w:r>
              <w:rPr>
                <w:rFonts w:hint="eastAsia" w:ascii="Times New Roman" w:hAnsi="Times New Roman" w:eastAsia="仿宋_GB2312" w:cs="Times New Roman"/>
                <w:color w:val="000000"/>
                <w:kern w:val="0"/>
                <w:sz w:val="24"/>
                <w:szCs w:val="32"/>
              </w:rPr>
              <w:t>公里。</w:t>
            </w:r>
          </w:p>
          <w:p w14:paraId="00FE8827">
            <w:pPr>
              <w:spacing w:line="360" w:lineRule="auto"/>
              <w:ind w:firstLine="482" w:firstLineChars="200"/>
              <w:rPr>
                <w:rFonts w:ascii="Times New Roman" w:hAnsi="Times New Roman" w:eastAsia="仿宋" w:cs="Times New Roman"/>
                <w:color w:val="000000"/>
                <w:kern w:val="0"/>
                <w:sz w:val="24"/>
                <w:szCs w:val="20"/>
              </w:rPr>
            </w:pPr>
            <w:r>
              <w:rPr>
                <w:rFonts w:hint="eastAsia" w:ascii="Times New Roman" w:hAnsi="Times New Roman" w:eastAsia="黑体" w:cs="Times New Roman"/>
                <w:b/>
                <w:bCs/>
                <w:color w:val="000000"/>
                <w:kern w:val="0"/>
                <w:sz w:val="24"/>
                <w:szCs w:val="20"/>
              </w:rPr>
              <w:t>省道</w:t>
            </w:r>
            <w:r>
              <w:rPr>
                <w:rFonts w:ascii="Times New Roman" w:hAnsi="Times New Roman" w:eastAsia="黑体" w:cs="Times New Roman"/>
                <w:b/>
                <w:bCs/>
                <w:color w:val="000000"/>
                <w:kern w:val="0"/>
                <w:sz w:val="24"/>
                <w:szCs w:val="20"/>
              </w:rPr>
              <w:t>210</w:t>
            </w:r>
            <w:r>
              <w:rPr>
                <w:rFonts w:hint="eastAsia" w:ascii="Times New Roman" w:hAnsi="Times New Roman" w:eastAsia="黑体" w:cs="Times New Roman"/>
                <w:b/>
                <w:bCs/>
                <w:color w:val="000000"/>
                <w:kern w:val="0"/>
                <w:sz w:val="24"/>
                <w:szCs w:val="20"/>
              </w:rPr>
              <w:t>高日罕</w:t>
            </w:r>
            <w:r>
              <w:rPr>
                <w:rFonts w:ascii="Times New Roman" w:hAnsi="Times New Roman" w:eastAsia="黑体" w:cs="Times New Roman"/>
                <w:b/>
                <w:bCs/>
                <w:color w:val="000000"/>
                <w:kern w:val="0"/>
                <w:sz w:val="24"/>
                <w:szCs w:val="20"/>
              </w:rPr>
              <w:t>-</w:t>
            </w:r>
            <w:r>
              <w:rPr>
                <w:rFonts w:hint="eastAsia" w:ascii="Times New Roman" w:hAnsi="Times New Roman" w:eastAsia="黑体" w:cs="Times New Roman"/>
                <w:b/>
                <w:bCs/>
                <w:color w:val="000000"/>
                <w:kern w:val="0"/>
                <w:sz w:val="24"/>
                <w:szCs w:val="20"/>
              </w:rPr>
              <w:t>羊场段公路工程：</w:t>
            </w:r>
            <w:r>
              <w:rPr>
                <w:rFonts w:hint="eastAsia" w:ascii="Times New Roman" w:hAnsi="Times New Roman" w:eastAsia="仿宋_GB2312" w:cs="Times New Roman"/>
                <w:color w:val="000000"/>
                <w:kern w:val="0"/>
                <w:sz w:val="24"/>
                <w:szCs w:val="32"/>
              </w:rPr>
              <w:t>二级公路</w:t>
            </w:r>
            <w:r>
              <w:rPr>
                <w:rFonts w:ascii="Times New Roman" w:hAnsi="Times New Roman" w:eastAsia="仿宋_GB2312" w:cs="Times New Roman"/>
                <w:color w:val="000000"/>
                <w:kern w:val="0"/>
                <w:sz w:val="24"/>
                <w:szCs w:val="32"/>
              </w:rPr>
              <w:t>43.7</w:t>
            </w:r>
            <w:r>
              <w:rPr>
                <w:rFonts w:hint="eastAsia" w:ascii="Times New Roman" w:hAnsi="Times New Roman" w:eastAsia="仿宋_GB2312" w:cs="Times New Roman"/>
                <w:color w:val="000000"/>
                <w:kern w:val="0"/>
                <w:sz w:val="24"/>
                <w:szCs w:val="32"/>
              </w:rPr>
              <w:t>公里。</w:t>
            </w:r>
          </w:p>
          <w:p w14:paraId="1A9E7E3F">
            <w:pPr>
              <w:spacing w:line="360" w:lineRule="auto"/>
              <w:ind w:firstLine="472" w:firstLineChars="196"/>
              <w:rPr>
                <w:rFonts w:ascii="Times New Roman" w:hAnsi="Times New Roman" w:eastAsia="仿宋" w:cs="Times New Roman"/>
                <w:bCs/>
                <w:color w:val="000000"/>
                <w:kern w:val="0"/>
                <w:sz w:val="24"/>
                <w:szCs w:val="28"/>
              </w:rPr>
            </w:pPr>
            <w:r>
              <w:rPr>
                <w:rFonts w:ascii="Times New Roman" w:hAnsi="Times New Roman" w:eastAsia="黑体" w:cs="Times New Roman"/>
                <w:b/>
                <w:bCs/>
                <w:color w:val="000000"/>
                <w:kern w:val="0"/>
                <w:sz w:val="24"/>
                <w:szCs w:val="20"/>
              </w:rPr>
              <w:t>305</w:t>
            </w:r>
            <w:r>
              <w:rPr>
                <w:rFonts w:hint="eastAsia" w:ascii="Times New Roman" w:hAnsi="Times New Roman" w:eastAsia="黑体" w:cs="Times New Roman"/>
                <w:b/>
                <w:bCs/>
                <w:color w:val="000000"/>
                <w:kern w:val="0"/>
                <w:sz w:val="24"/>
                <w:szCs w:val="20"/>
              </w:rPr>
              <w:t>国道玛尼罕至玉田皋段改造工程：</w:t>
            </w:r>
            <w:r>
              <w:rPr>
                <w:rFonts w:hint="eastAsia" w:ascii="Times New Roman" w:hAnsi="Times New Roman" w:eastAsia="仿宋_GB2312" w:cs="Times New Roman"/>
                <w:color w:val="000000"/>
                <w:kern w:val="0"/>
                <w:sz w:val="24"/>
                <w:szCs w:val="32"/>
              </w:rPr>
              <w:t>二级公路</w:t>
            </w:r>
            <w:r>
              <w:rPr>
                <w:rFonts w:ascii="Times New Roman" w:hAnsi="Times New Roman" w:eastAsia="仿宋_GB2312" w:cs="Times New Roman"/>
                <w:color w:val="000000"/>
                <w:kern w:val="0"/>
                <w:sz w:val="24"/>
                <w:szCs w:val="32"/>
              </w:rPr>
              <w:t>51.3</w:t>
            </w:r>
            <w:r>
              <w:rPr>
                <w:rFonts w:hint="eastAsia" w:ascii="Times New Roman" w:hAnsi="Times New Roman" w:eastAsia="仿宋_GB2312" w:cs="Times New Roman"/>
                <w:color w:val="000000"/>
                <w:kern w:val="0"/>
                <w:sz w:val="24"/>
                <w:szCs w:val="32"/>
              </w:rPr>
              <w:t>公里。</w:t>
            </w:r>
          </w:p>
        </w:tc>
      </w:tr>
    </w:tbl>
    <w:p w14:paraId="7EAF3FF8">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提升电力保障。</w:t>
      </w:r>
      <w:r>
        <w:rPr>
          <w:rFonts w:hint="eastAsia" w:ascii="Times New Roman" w:hAnsi="Times New Roman" w:eastAsia="仿宋_GB2312" w:cs="Times New Roman"/>
          <w:color w:val="000000"/>
          <w:sz w:val="32"/>
          <w:szCs w:val="32"/>
        </w:rPr>
        <w:t>大力完善电网结构，提高供电能力和供电质量，为工农业生产和城乡居民生活用电提供保障。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期间，建设完成康家营子</w:t>
      </w:r>
      <w:r>
        <w:rPr>
          <w:rFonts w:ascii="Times New Roman" w:hAnsi="Times New Roman" w:eastAsia="仿宋_GB2312" w:cs="Times New Roman"/>
          <w:color w:val="000000"/>
          <w:sz w:val="32"/>
          <w:szCs w:val="32"/>
        </w:rPr>
        <w:t>220KV</w:t>
      </w:r>
      <w:r>
        <w:rPr>
          <w:rFonts w:hint="eastAsia" w:ascii="Times New Roman" w:hAnsi="Times New Roman" w:eastAsia="仿宋_GB2312" w:cs="Times New Roman"/>
          <w:color w:val="000000"/>
          <w:sz w:val="32"/>
          <w:szCs w:val="32"/>
        </w:rPr>
        <w:t>变电站工程，争取敖吉</w:t>
      </w:r>
      <w:r>
        <w:rPr>
          <w:rFonts w:ascii="Times New Roman" w:hAnsi="Times New Roman" w:eastAsia="仿宋_GB2312" w:cs="Times New Roman"/>
          <w:color w:val="000000"/>
          <w:sz w:val="32"/>
          <w:szCs w:val="32"/>
        </w:rPr>
        <w:t>500KV</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220KV</w:t>
      </w:r>
      <w:r>
        <w:rPr>
          <w:rFonts w:hint="eastAsia" w:ascii="Times New Roman" w:hAnsi="Times New Roman" w:eastAsia="仿宋_GB2312" w:cs="Times New Roman"/>
          <w:color w:val="000000"/>
          <w:sz w:val="32"/>
          <w:szCs w:val="32"/>
        </w:rPr>
        <w:t>变电站项目批复开工；新建风水山和元宝洼</w:t>
      </w:r>
      <w:r>
        <w:rPr>
          <w:rFonts w:ascii="Times New Roman" w:hAnsi="Times New Roman" w:eastAsia="仿宋_GB2312" w:cs="Times New Roman"/>
          <w:color w:val="000000"/>
          <w:sz w:val="32"/>
          <w:szCs w:val="32"/>
        </w:rPr>
        <w:t>66KV</w:t>
      </w:r>
      <w:r>
        <w:rPr>
          <w:rFonts w:hint="eastAsia" w:ascii="Times New Roman" w:hAnsi="Times New Roman" w:eastAsia="仿宋_GB2312" w:cs="Times New Roman"/>
          <w:color w:val="000000"/>
          <w:sz w:val="32"/>
          <w:szCs w:val="32"/>
        </w:rPr>
        <w:t>变电站，配套施工</w:t>
      </w:r>
      <w:r>
        <w:rPr>
          <w:rFonts w:ascii="Times New Roman" w:hAnsi="Times New Roman" w:eastAsia="仿宋_GB2312" w:cs="Times New Roman"/>
          <w:color w:val="000000"/>
          <w:sz w:val="32"/>
          <w:szCs w:val="32"/>
        </w:rPr>
        <w:t>66KV</w:t>
      </w:r>
      <w:r>
        <w:rPr>
          <w:rFonts w:hint="eastAsia" w:ascii="Times New Roman" w:hAnsi="Times New Roman" w:eastAsia="仿宋_GB2312" w:cs="Times New Roman"/>
          <w:color w:val="000000"/>
          <w:sz w:val="32"/>
          <w:szCs w:val="32"/>
        </w:rPr>
        <w:t>工程架空线路</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公里；完成农村电网改造，新建、改造</w:t>
      </w:r>
      <w:r>
        <w:rPr>
          <w:rFonts w:ascii="Times New Roman" w:hAnsi="Times New Roman" w:eastAsia="仿宋_GB2312" w:cs="Times New Roman"/>
          <w:color w:val="000000"/>
          <w:sz w:val="32"/>
          <w:szCs w:val="32"/>
        </w:rPr>
        <w:t>10KV</w:t>
      </w:r>
      <w:r>
        <w:rPr>
          <w:rFonts w:hint="eastAsia" w:ascii="Times New Roman" w:hAnsi="Times New Roman" w:eastAsia="仿宋_GB2312" w:cs="Times New Roman"/>
          <w:color w:val="000000"/>
          <w:sz w:val="32"/>
          <w:szCs w:val="32"/>
        </w:rPr>
        <w:t>农电线路</w:t>
      </w:r>
      <w:r>
        <w:rPr>
          <w:rFonts w:ascii="Times New Roman" w:hAnsi="Times New Roman" w:eastAsia="仿宋_GB2312" w:cs="Times New Roman"/>
          <w:color w:val="000000"/>
          <w:sz w:val="32"/>
          <w:szCs w:val="32"/>
        </w:rPr>
        <w:t>1000</w:t>
      </w:r>
      <w:r>
        <w:rPr>
          <w:rFonts w:hint="eastAsia" w:ascii="Times New Roman" w:hAnsi="Times New Roman" w:eastAsia="仿宋_GB2312" w:cs="Times New Roman"/>
          <w:color w:val="000000"/>
          <w:sz w:val="32"/>
          <w:szCs w:val="32"/>
        </w:rPr>
        <w:t>公里，改造、升级低压变台</w:t>
      </w:r>
      <w:r>
        <w:rPr>
          <w:rFonts w:ascii="Times New Roman" w:hAnsi="Times New Roman" w:eastAsia="仿宋_GB2312" w:cs="Times New Roman"/>
          <w:color w:val="000000"/>
          <w:sz w:val="32"/>
          <w:szCs w:val="32"/>
        </w:rPr>
        <w:t>700</w:t>
      </w:r>
      <w:r>
        <w:rPr>
          <w:rFonts w:hint="eastAsia" w:ascii="Times New Roman" w:hAnsi="Times New Roman" w:eastAsia="仿宋_GB2312" w:cs="Times New Roman"/>
          <w:color w:val="000000"/>
          <w:sz w:val="32"/>
          <w:szCs w:val="32"/>
        </w:rPr>
        <w:t>座。到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期末，全电网可供电能力达到</w:t>
      </w:r>
      <w:r>
        <w:rPr>
          <w:rFonts w:ascii="Times New Roman" w:hAnsi="Times New Roman" w:eastAsia="仿宋_GB2312" w:cs="Times New Roman"/>
          <w:color w:val="000000"/>
          <w:sz w:val="32"/>
          <w:szCs w:val="32"/>
        </w:rPr>
        <w:t>57</w:t>
      </w:r>
      <w:r>
        <w:rPr>
          <w:rFonts w:hint="eastAsia" w:ascii="Times New Roman" w:hAnsi="Times New Roman" w:eastAsia="仿宋_GB2312" w:cs="Times New Roman"/>
          <w:color w:val="000000"/>
          <w:sz w:val="32"/>
          <w:szCs w:val="32"/>
        </w:rPr>
        <w:t>万千瓦，形成</w:t>
      </w:r>
      <w:r>
        <w:rPr>
          <w:rFonts w:ascii="Times New Roman" w:hAnsi="Times New Roman" w:eastAsia="仿宋_GB2312" w:cs="Times New Roman"/>
          <w:color w:val="000000"/>
          <w:sz w:val="32"/>
          <w:szCs w:val="32"/>
        </w:rPr>
        <w:t>220KV</w:t>
      </w:r>
      <w:r>
        <w:rPr>
          <w:rFonts w:hint="eastAsia" w:ascii="Times New Roman" w:hAnsi="Times New Roman" w:eastAsia="仿宋_GB2312" w:cs="Times New Roman"/>
          <w:color w:val="000000"/>
          <w:sz w:val="32"/>
          <w:szCs w:val="32"/>
        </w:rPr>
        <w:t>变电站布局合理、</w:t>
      </w:r>
      <w:r>
        <w:rPr>
          <w:rFonts w:ascii="Times New Roman" w:hAnsi="Times New Roman" w:eastAsia="仿宋_GB2312" w:cs="Times New Roman"/>
          <w:color w:val="000000"/>
          <w:sz w:val="32"/>
          <w:szCs w:val="32"/>
        </w:rPr>
        <w:t>66KV</w:t>
      </w:r>
      <w:r>
        <w:rPr>
          <w:rFonts w:hint="eastAsia" w:ascii="Times New Roman" w:hAnsi="Times New Roman" w:eastAsia="仿宋_GB2312" w:cs="Times New Roman"/>
          <w:color w:val="000000"/>
          <w:sz w:val="32"/>
          <w:szCs w:val="32"/>
        </w:rPr>
        <w:t>主电网</w:t>
      </w:r>
      <w:r>
        <w:rPr>
          <w:rFonts w:ascii="Times New Roman" w:hAnsi="Times New Roman" w:eastAsia="仿宋_GB2312" w:cs="Times New Roman"/>
          <w:color w:val="000000"/>
          <w:sz w:val="32"/>
          <w:szCs w:val="32"/>
        </w:rPr>
        <w:t>10KV</w:t>
      </w:r>
      <w:r>
        <w:rPr>
          <w:rFonts w:hint="eastAsia" w:ascii="Times New Roman" w:hAnsi="Times New Roman" w:eastAsia="仿宋_GB2312" w:cs="Times New Roman"/>
          <w:color w:val="000000"/>
          <w:sz w:val="32"/>
          <w:szCs w:val="32"/>
        </w:rPr>
        <w:t>线路互联延伸、低压线路供进千家万户的网络体系。</w:t>
      </w:r>
    </w:p>
    <w:p w14:paraId="6293F58F">
      <w:pPr>
        <w:pStyle w:val="3"/>
        <w:spacing w:beforeLines="50" w:afterLines="50" w:line="640" w:lineRule="exact"/>
        <w:jc w:val="center"/>
        <w:rPr>
          <w:rFonts w:ascii="Times New Roman" w:hAnsi="Times New Roman" w:eastAsia="黑体"/>
          <w:color w:val="000000"/>
        </w:rPr>
      </w:pPr>
      <w:bookmarkStart w:id="131" w:name="_Toc443390021"/>
      <w:r>
        <w:rPr>
          <w:rFonts w:hint="eastAsia" w:ascii="Times New Roman" w:hAnsi="Times New Roman" w:eastAsia="黑体"/>
          <w:color w:val="000000"/>
        </w:rPr>
        <w:t>第四节</w:t>
      </w:r>
      <w:r>
        <w:rPr>
          <w:rFonts w:ascii="Times New Roman" w:hAnsi="Times New Roman" w:eastAsia="黑体"/>
          <w:color w:val="000000"/>
        </w:rPr>
        <w:t xml:space="preserve">  </w:t>
      </w:r>
      <w:r>
        <w:rPr>
          <w:rFonts w:hint="eastAsia" w:ascii="Times New Roman" w:hAnsi="Times New Roman" w:eastAsia="黑体"/>
          <w:color w:val="000000"/>
        </w:rPr>
        <w:t>统筹精神文明与物质文明建设</w:t>
      </w:r>
      <w:bookmarkEnd w:id="127"/>
      <w:bookmarkEnd w:id="128"/>
      <w:bookmarkEnd w:id="129"/>
      <w:bookmarkEnd w:id="131"/>
    </w:p>
    <w:p w14:paraId="04D46973">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坚持物质文明和精神文明两手抓两手硬、精神文明与法治教育有机结合，加强社会主义精神文明建设，践行社会主义核心价值观和中国梦的宣传教育，培育弘扬</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敖汉精神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，开展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敖汉榜样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活动。强化未成年人思想道德建设，构建学校、家庭、社会三级教育网络；推进城乡学校少年宫建设，发挥心理健康辅导站作用；实施社会文化环境专项治理，营造未成年人良好的成长环境；加强诚信制度化建设，建立覆盖全社会的信用体系。开展群众性精神文明创建活动，深化文明行业、文明村镇、文明家庭等领域创建工作，提高公民文明素质和社会文明程度。</w:t>
      </w:r>
    </w:p>
    <w:p w14:paraId="3282E9F7">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完善公共文化服务体系建设，建立健全旗乡村三级公共文化服务体系，夯实文化民生基础。积极开展送文化下乡和进社区活动，加强各类演出团体建设，抓好惠民演出。倡导全民阅读，建设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书香敖汉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，培养一批根植本地的文化创作队伍，创作一批优秀文艺作品，保持文化多样性和创造活力。</w:t>
      </w:r>
      <w:r>
        <w:rPr>
          <w:rFonts w:hint="eastAsia" w:ascii="Times New Roman" w:hAnsi="Times New Roman" w:eastAsia="仿宋_GB2312" w:cs="Times New Roman"/>
          <w:color w:val="FF00FF"/>
          <w:sz w:val="32"/>
          <w:szCs w:val="32"/>
        </w:rPr>
        <w:t>推广普通话，加快普及。</w:t>
      </w:r>
      <w:r>
        <w:rPr>
          <w:rFonts w:hint="eastAsia" w:ascii="Times New Roman" w:hAnsi="Times New Roman" w:eastAsia="仿宋_GB2312" w:cs="Times New Roman"/>
          <w:color w:val="000000"/>
          <w:sz w:val="32"/>
          <w:szCs w:val="32"/>
        </w:rPr>
        <w:t>推进文化信息资源共享工程、草原书屋工程，加强乡镇文化站、村级文化室和文化广场建设，继续实施广播电视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户户通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村村响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工程和农村牧区有线电视网络数字化改造工程，实现广播电视全覆盖。完善档案资源体系、利用体系、安全体系，建设数字档案馆，提高档案事业管理水平。加强文体基础设施建设，广泛开展群众性文体活动，不断满足广大人民群众文化娱乐休闲健身需求。积极发展体育产业，建设体育强旗。</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期间，争取每个自然村都有一处全民健身活动场所，完成体育休闲公园建设，人均体育场地面积达到</w:t>
      </w:r>
      <w:r>
        <w:rPr>
          <w:rFonts w:ascii="Times New Roman" w:hAnsi="Times New Roman" w:eastAsia="仿宋_GB2312" w:cs="Times New Roman"/>
          <w:color w:val="000000"/>
          <w:sz w:val="32"/>
          <w:szCs w:val="32"/>
        </w:rPr>
        <w:t>1.6</w:t>
      </w:r>
      <w:r>
        <w:rPr>
          <w:rFonts w:hint="eastAsia" w:ascii="Times New Roman" w:hAnsi="Times New Roman" w:eastAsia="仿宋_GB2312" w:cs="Times New Roman"/>
          <w:color w:val="000000"/>
          <w:sz w:val="32"/>
          <w:szCs w:val="32"/>
        </w:rPr>
        <w:t>平方米。</w:t>
      </w:r>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37F3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540" w:type="dxa"/>
            <w:shd w:val="clear" w:color="auto" w:fill="95B3D7"/>
          </w:tcPr>
          <w:p w14:paraId="0447DE7F">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10             </w:t>
            </w:r>
            <w:r>
              <w:rPr>
                <w:rFonts w:hint="eastAsia" w:ascii="Times New Roman" w:hAnsi="Times New Roman" w:eastAsia="黑体" w:cs="Times New Roman"/>
                <w:b/>
                <w:color w:val="000000"/>
                <w:kern w:val="0"/>
                <w:sz w:val="28"/>
                <w:szCs w:val="32"/>
              </w:rPr>
              <w:t>文化体育重点项目</w:t>
            </w:r>
          </w:p>
        </w:tc>
      </w:tr>
      <w:tr w14:paraId="767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8540" w:type="dxa"/>
          </w:tcPr>
          <w:p w14:paraId="37ABC052">
            <w:pPr>
              <w:spacing w:line="276"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新华文化广场建设项目：</w:t>
            </w:r>
            <w:r>
              <w:rPr>
                <w:rFonts w:hint="eastAsia" w:ascii="Times New Roman" w:hAnsi="Times New Roman" w:eastAsia="仿宋_GB2312" w:cs="Times New Roman"/>
                <w:color w:val="000000"/>
                <w:kern w:val="0"/>
                <w:sz w:val="24"/>
                <w:szCs w:val="32"/>
              </w:rPr>
              <w:t>建设集文化、娱乐、休闲、购物等功能于一体的城市综合体</w:t>
            </w:r>
            <w:r>
              <w:rPr>
                <w:rFonts w:ascii="Times New Roman" w:hAnsi="Times New Roman" w:eastAsia="仿宋_GB2312" w:cs="Times New Roman"/>
                <w:color w:val="000000"/>
                <w:kern w:val="0"/>
                <w:sz w:val="24"/>
                <w:szCs w:val="32"/>
              </w:rPr>
              <w:t>5</w:t>
            </w:r>
            <w:r>
              <w:rPr>
                <w:rFonts w:hint="eastAsia" w:ascii="Times New Roman" w:hAnsi="Times New Roman" w:eastAsia="仿宋_GB2312" w:cs="Times New Roman"/>
                <w:color w:val="000000"/>
                <w:kern w:val="0"/>
                <w:sz w:val="24"/>
                <w:szCs w:val="32"/>
              </w:rPr>
              <w:t>万平方米。</w:t>
            </w:r>
          </w:p>
          <w:p w14:paraId="59EF99C0">
            <w:pPr>
              <w:spacing w:line="276"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体育场馆建设项目：</w:t>
            </w:r>
            <w:r>
              <w:rPr>
                <w:rFonts w:hint="eastAsia" w:ascii="Times New Roman" w:hAnsi="Times New Roman" w:eastAsia="仿宋_GB2312" w:cs="Times New Roman"/>
                <w:color w:val="000000"/>
                <w:kern w:val="0"/>
                <w:sz w:val="24"/>
                <w:szCs w:val="32"/>
              </w:rPr>
              <w:t>建设综合体育场馆</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万平方米。</w:t>
            </w:r>
          </w:p>
          <w:p w14:paraId="3A0F666E">
            <w:pPr>
              <w:spacing w:line="360" w:lineRule="auto"/>
              <w:ind w:firstLine="472" w:firstLineChars="196"/>
              <w:rPr>
                <w:rFonts w:ascii="Times New Roman" w:hAnsi="Times New Roman" w:eastAsia="仿宋" w:cs="Times New Roman"/>
                <w:bCs/>
                <w:color w:val="000000"/>
                <w:kern w:val="0"/>
                <w:sz w:val="24"/>
                <w:szCs w:val="28"/>
              </w:rPr>
            </w:pPr>
            <w:r>
              <w:rPr>
                <w:rFonts w:hint="eastAsia" w:ascii="Times New Roman" w:hAnsi="Times New Roman" w:eastAsia="黑体" w:cs="Times New Roman"/>
                <w:b/>
                <w:color w:val="000000"/>
                <w:kern w:val="0"/>
                <w:sz w:val="24"/>
                <w:szCs w:val="32"/>
              </w:rPr>
              <w:t>农村牧区基层公共服务平台建设项目</w:t>
            </w:r>
            <w:r>
              <w:rPr>
                <w:rFonts w:hint="eastAsia" w:ascii="Times New Roman" w:hAnsi="Times New Roman" w:eastAsia="仿宋_GB2312" w:cs="Times New Roman"/>
                <w:color w:val="000000"/>
                <w:kern w:val="0"/>
                <w:sz w:val="24"/>
                <w:szCs w:val="32"/>
              </w:rPr>
              <w:t>：建设行政村、国有农林牧场基层公共服务平台</w:t>
            </w:r>
            <w:r>
              <w:rPr>
                <w:rFonts w:ascii="Times New Roman" w:hAnsi="Times New Roman" w:eastAsia="仿宋_GB2312" w:cs="Times New Roman"/>
                <w:color w:val="000000"/>
                <w:kern w:val="0"/>
                <w:sz w:val="24"/>
                <w:szCs w:val="32"/>
              </w:rPr>
              <w:t>5</w:t>
            </w:r>
            <w:r>
              <w:rPr>
                <w:rFonts w:hint="eastAsia" w:ascii="Times New Roman" w:hAnsi="Times New Roman" w:eastAsia="仿宋_GB2312" w:cs="Times New Roman"/>
                <w:color w:val="000000"/>
                <w:kern w:val="0"/>
                <w:sz w:val="24"/>
                <w:szCs w:val="32"/>
              </w:rPr>
              <w:t>万平方米。</w:t>
            </w:r>
          </w:p>
        </w:tc>
      </w:tr>
    </w:tbl>
    <w:p w14:paraId="06E2552F">
      <w:pPr>
        <w:pStyle w:val="3"/>
        <w:spacing w:beforeLines="50" w:afterLines="50" w:line="640" w:lineRule="exact"/>
        <w:jc w:val="center"/>
        <w:rPr>
          <w:rFonts w:ascii="Times New Roman" w:hAnsi="Times New Roman" w:eastAsia="黑体"/>
          <w:color w:val="000000"/>
        </w:rPr>
      </w:pPr>
      <w:bookmarkStart w:id="132" w:name="_Toc438543366"/>
      <w:bookmarkStart w:id="133" w:name="_Toc443390022"/>
      <w:bookmarkStart w:id="134" w:name="_Toc437823905"/>
      <w:bookmarkStart w:id="135" w:name="_Toc437819157"/>
      <w:r>
        <w:rPr>
          <w:rFonts w:hint="eastAsia" w:ascii="Times New Roman" w:hAnsi="Times New Roman" w:eastAsia="黑体"/>
          <w:color w:val="000000"/>
        </w:rPr>
        <w:t>第五节</w:t>
      </w:r>
      <w:r>
        <w:rPr>
          <w:rFonts w:ascii="Times New Roman" w:hAnsi="Times New Roman" w:eastAsia="黑体"/>
          <w:color w:val="000000"/>
        </w:rPr>
        <w:t xml:space="preserve">  </w:t>
      </w:r>
      <w:r>
        <w:rPr>
          <w:rFonts w:hint="eastAsia" w:ascii="Times New Roman" w:hAnsi="Times New Roman" w:eastAsia="黑体"/>
          <w:color w:val="000000"/>
        </w:rPr>
        <w:t>巩固和加强民族团结</w:t>
      </w:r>
      <w:bookmarkEnd w:id="132"/>
      <w:bookmarkEnd w:id="133"/>
      <w:bookmarkEnd w:id="134"/>
      <w:bookmarkEnd w:id="135"/>
    </w:p>
    <w:p w14:paraId="44399F32">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始终高举民族团结旗帜，坚持和发扬各民族心连心、手拉手的好传统，精心做好民族工作。创新群众工作体制机制和工作方法，注重发挥工会、共青团、妇联等群团组织的作用，凝聚最广泛的建设发展力量。巩固和发展最广泛的爱国统一战线，坚持和完善中国共产党领导的多党合作和政治协商制度，充分发挥民主党派、工商联和无党派人士的积极作用，全面落实党的知识分子和民族宗教政策，促进政党关系、民族关系、宗教关系、阶层关系和谐。完善促进民族地区发展政策，支持民族聚居地区发展特色优势产业，增强自我发展能力。统筹区域因素和民族因素，完善差别化支持政策，在基础设施、扶贫开发、生态建设、基本公共服务均等化等方面给予倾斜。加大对人口较少民族扶持力度，推进兴边富民行动，着力改善边境地区牧民群众生产生活条件。深入开展民族团结进步宣传教育，教育引导各族人民牢固树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三个离不开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思想，增强对伟大祖国、中华民族、中华文化、中国共产党、中国特色社会主义的认同。深入持久开展民族团结进步创建活动。加强民族工作人才队伍、法律法规建设，依法妥善处理涉及民族因素的问题，保障民族团结。继续做好支持敖润苏莫苏木经济社会发展工作。</w:t>
      </w:r>
    </w:p>
    <w:p w14:paraId="29DBFAD5">
      <w:pPr>
        <w:pStyle w:val="2"/>
        <w:spacing w:beforeLines="100" w:afterLines="100" w:line="640" w:lineRule="exact"/>
        <w:jc w:val="center"/>
        <w:rPr>
          <w:rFonts w:eastAsia="方正小标宋简体"/>
          <w:color w:val="000000"/>
          <w:sz w:val="36"/>
          <w:szCs w:val="36"/>
        </w:rPr>
      </w:pPr>
      <w:bookmarkStart w:id="136" w:name="_Toc437819158"/>
      <w:bookmarkStart w:id="137" w:name="_Toc443390023"/>
      <w:bookmarkStart w:id="138" w:name="_Toc438543367"/>
      <w:bookmarkStart w:id="139" w:name="_Toc437823906"/>
      <w:r>
        <w:rPr>
          <w:rFonts w:hint="eastAsia" w:eastAsia="方正小标宋简体"/>
          <w:color w:val="000000"/>
          <w:sz w:val="36"/>
          <w:szCs w:val="36"/>
        </w:rPr>
        <w:t>第五章</w:t>
      </w:r>
      <w:r>
        <w:rPr>
          <w:rFonts w:eastAsia="方正小标宋简体"/>
          <w:color w:val="000000"/>
          <w:sz w:val="36"/>
          <w:szCs w:val="36"/>
        </w:rPr>
        <w:t xml:space="preserve">   </w:t>
      </w:r>
      <w:r>
        <w:rPr>
          <w:rFonts w:hint="eastAsia" w:eastAsia="方正小标宋简体"/>
          <w:color w:val="000000"/>
          <w:sz w:val="36"/>
          <w:szCs w:val="36"/>
        </w:rPr>
        <w:t>坚持绿色发展，建设美丽敖汉</w:t>
      </w:r>
      <w:bookmarkEnd w:id="136"/>
      <w:bookmarkEnd w:id="137"/>
      <w:bookmarkEnd w:id="138"/>
      <w:bookmarkEnd w:id="139"/>
    </w:p>
    <w:p w14:paraId="65E41890">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坚持绿色富旗、绿色惠民理念，创造更多优质生态产品，推动形成绿色发展方式和生活方式。坚持依法治理环境，认真落实新《环保法》，进一步夯实经济社会可持续发展基础。</w:t>
      </w:r>
    </w:p>
    <w:p w14:paraId="4C3CFBDD">
      <w:pPr>
        <w:pStyle w:val="3"/>
        <w:spacing w:beforeLines="50" w:afterLines="50" w:line="640" w:lineRule="exact"/>
        <w:jc w:val="center"/>
        <w:rPr>
          <w:rFonts w:ascii="Times New Roman" w:hAnsi="Times New Roman" w:eastAsia="黑体"/>
          <w:color w:val="000000"/>
        </w:rPr>
      </w:pPr>
      <w:bookmarkStart w:id="140" w:name="_Toc437819159"/>
      <w:bookmarkStart w:id="141" w:name="_Toc443390024"/>
      <w:bookmarkStart w:id="142" w:name="_Toc438543368"/>
      <w:bookmarkStart w:id="143" w:name="_Toc437823907"/>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加快生态建设步伐</w:t>
      </w:r>
      <w:bookmarkEnd w:id="140"/>
      <w:bookmarkEnd w:id="141"/>
      <w:bookmarkEnd w:id="142"/>
      <w:bookmarkEnd w:id="143"/>
    </w:p>
    <w:p w14:paraId="228D9698">
      <w:pPr>
        <w:shd w:val="clear" w:color="auto" w:fill="FFFFFF"/>
        <w:spacing w:line="61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筑牢生态安全屏障。</w:t>
      </w:r>
      <w:r>
        <w:rPr>
          <w:rFonts w:hint="eastAsia" w:ascii="Times New Roman" w:hAnsi="Times New Roman" w:eastAsia="仿宋_GB2312" w:cs="Times New Roman"/>
          <w:color w:val="000000"/>
          <w:sz w:val="32"/>
          <w:szCs w:val="32"/>
        </w:rPr>
        <w:t>优化林业布局，南部浅山区以水土保持治理为主，重点营造乔灌草相结合的水源涵养林，发展水果类经济林，推广新品红苹果、寒红梨等新品种；中部丘陵区营造以乔木为主的农田防护型用材林，完善农田牧场防护林建设体系，推广干果类经济林；北部以治沙为重点，加大防沙治沙力度，建设灌木饲料林和灌草结合的防风固沙林，重点推广文冠果经济林，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期末，全旗文冠果种植面积达到</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万亩。实行严格的森林资源管理，坚决遏制破坏森林行为，加强森林防火和病虫害防治，保护生态成果。稳步推进退化林分改造，实施樟子松基地建设工程</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万亩，逐步建立起以樟子松为主的农田牧场防护林体系。到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年，有林面积稳定在</w:t>
      </w:r>
      <w:r>
        <w:rPr>
          <w:rFonts w:ascii="Times New Roman" w:hAnsi="Times New Roman" w:eastAsia="仿宋_GB2312" w:cs="Times New Roman"/>
          <w:color w:val="000000"/>
          <w:sz w:val="32"/>
          <w:szCs w:val="32"/>
        </w:rPr>
        <w:t>580</w:t>
      </w:r>
      <w:r>
        <w:rPr>
          <w:rFonts w:hint="eastAsia" w:ascii="Times New Roman" w:hAnsi="Times New Roman" w:eastAsia="仿宋_GB2312" w:cs="Times New Roman"/>
          <w:color w:val="000000"/>
          <w:sz w:val="32"/>
          <w:szCs w:val="32"/>
        </w:rPr>
        <w:t>万亩以上。依托京津风沙源治理二期工程和新一轮退耕还林还草工程，扶持黄羊洼等草业公司，鼓励种养殖大户，吸纳民间资本，大力培育以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敖汉苜蓿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为主的人工饲草基地和牧草种子基地建设，巩固我旗</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敖汉苜蓿</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草业建设名片。到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年，人工牧草产量达到</w:t>
      </w:r>
      <w:r>
        <w:rPr>
          <w:rFonts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万吨，草产品加工量达到</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万吨，青贮饲料产量达到</w:t>
      </w:r>
      <w:r>
        <w:rPr>
          <w:rFonts w:ascii="Times New Roman" w:hAnsi="Times New Roman" w:eastAsia="仿宋_GB2312" w:cs="Times New Roman"/>
          <w:color w:val="000000"/>
          <w:sz w:val="32"/>
          <w:szCs w:val="32"/>
        </w:rPr>
        <w:t>180</w:t>
      </w:r>
      <w:r>
        <w:rPr>
          <w:rFonts w:hint="eastAsia" w:ascii="Times New Roman" w:hAnsi="Times New Roman" w:eastAsia="仿宋_GB2312" w:cs="Times New Roman"/>
          <w:color w:val="000000"/>
          <w:sz w:val="32"/>
          <w:szCs w:val="32"/>
        </w:rPr>
        <w:t>万吨。按照突出重点、加大投入、打造精品、强力推进的要求，做好重点区域绿化。到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年，通道绿化率达到</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以上，建成绿色城镇</w:t>
      </w:r>
      <w:r>
        <w:rPr>
          <w:rFonts w:ascii="Times New Roman" w:hAnsi="Times New Roman" w:eastAsia="仿宋_GB2312" w:cs="Times New Roman"/>
          <w:color w:val="000000"/>
          <w:sz w:val="32"/>
          <w:szCs w:val="32"/>
        </w:rPr>
        <w:t>16</w:t>
      </w:r>
      <w:r>
        <w:rPr>
          <w:rFonts w:hint="eastAsia" w:ascii="Times New Roman" w:hAnsi="Times New Roman" w:eastAsia="仿宋_GB2312" w:cs="Times New Roman"/>
          <w:color w:val="000000"/>
          <w:sz w:val="32"/>
          <w:szCs w:val="32"/>
        </w:rPr>
        <w:t>个，建成绿化示范村</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个，实现村屯、道路、园区、厂矿绿化全覆盖。</w:t>
      </w:r>
    </w:p>
    <w:p w14:paraId="1EF259B4">
      <w:pPr>
        <w:shd w:val="clear" w:color="auto" w:fill="FFFFFF"/>
        <w:spacing w:line="61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大力推进林业产业化。</w:t>
      </w:r>
      <w:r>
        <w:rPr>
          <w:rFonts w:hint="eastAsia" w:ascii="Times New Roman" w:hAnsi="Times New Roman" w:eastAsia="仿宋_GB2312" w:cs="Times New Roman"/>
          <w:color w:val="000000"/>
          <w:sz w:val="32"/>
          <w:szCs w:val="32"/>
        </w:rPr>
        <w:t>全力打造经济林产业、林果加工业、林下经济、林木种苗产业、生态旅游产业五大林业主导产业，加快山杏林改造和沙棘发展步伐，不断提高经济效益。加快林木种苗基地建设，以我旗国有林场、个体林业种苗企业为载体，坚持常规树种与特色树种相结合、灌木与乔木相结合、生态树种与经济树种相结合的原则，建设林木种苗供应基地，提高苗木的经济效益。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年，经济林面积</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万亩，林业产值达到</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亿元，建成林木种苗交易市场</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个，培育林木种苗生产龙头企业</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个以上，发展</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个林木苗圃，建设林木种苗基地</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万亩，把我旗建设成为全市最大种苗基地。</w:t>
      </w:r>
    </w:p>
    <w:tbl>
      <w:tblPr>
        <w:tblStyle w:val="1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B95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20" w:type="dxa"/>
            <w:shd w:val="clear" w:color="auto" w:fill="95B3D7"/>
            <w:vAlign w:val="center"/>
          </w:tcPr>
          <w:p w14:paraId="1D1F1907">
            <w:pPr>
              <w:spacing w:line="360" w:lineRule="auto"/>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11              </w:t>
            </w:r>
            <w:r>
              <w:rPr>
                <w:rFonts w:hint="eastAsia" w:ascii="Times New Roman" w:hAnsi="Times New Roman" w:eastAsia="黑体" w:cs="Times New Roman"/>
                <w:b/>
                <w:color w:val="000000"/>
                <w:kern w:val="0"/>
                <w:sz w:val="28"/>
                <w:szCs w:val="28"/>
              </w:rPr>
              <w:t>生态建设重点项目</w:t>
            </w:r>
          </w:p>
        </w:tc>
      </w:tr>
      <w:tr w14:paraId="0CE2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8520" w:type="dxa"/>
            <w:vAlign w:val="center"/>
          </w:tcPr>
          <w:p w14:paraId="2E9D1D53">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退化林分改造工程：</w:t>
            </w:r>
            <w:r>
              <w:rPr>
                <w:rFonts w:hint="eastAsia" w:ascii="Times New Roman" w:hAnsi="Times New Roman" w:eastAsia="仿宋_GB2312" w:cs="Times New Roman"/>
                <w:color w:val="000000"/>
                <w:kern w:val="0"/>
                <w:sz w:val="24"/>
                <w:szCs w:val="32"/>
              </w:rPr>
              <w:t>退化林分改造</w:t>
            </w:r>
            <w:r>
              <w:rPr>
                <w:rFonts w:ascii="Times New Roman" w:hAnsi="Times New Roman" w:eastAsia="仿宋_GB2312" w:cs="Times New Roman"/>
                <w:color w:val="000000"/>
                <w:kern w:val="0"/>
                <w:sz w:val="24"/>
                <w:szCs w:val="32"/>
              </w:rPr>
              <w:t>52</w:t>
            </w:r>
            <w:r>
              <w:rPr>
                <w:rFonts w:hint="eastAsia" w:ascii="Times New Roman" w:hAnsi="Times New Roman" w:eastAsia="仿宋_GB2312" w:cs="Times New Roman"/>
                <w:color w:val="000000"/>
                <w:kern w:val="0"/>
                <w:sz w:val="24"/>
                <w:szCs w:val="32"/>
              </w:rPr>
              <w:t>万亩。</w:t>
            </w:r>
          </w:p>
          <w:p w14:paraId="4AAF5581">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重点区域绿化治理工程：</w:t>
            </w:r>
            <w:r>
              <w:rPr>
                <w:rFonts w:hint="eastAsia" w:ascii="Times New Roman" w:hAnsi="Times New Roman" w:eastAsia="仿宋_GB2312" w:cs="Times New Roman"/>
                <w:color w:val="000000"/>
                <w:kern w:val="0"/>
                <w:sz w:val="24"/>
                <w:szCs w:val="32"/>
              </w:rPr>
              <w:t>公路绿化总里程</w:t>
            </w:r>
            <w:r>
              <w:rPr>
                <w:rFonts w:ascii="Times New Roman" w:hAnsi="Times New Roman" w:eastAsia="仿宋_GB2312" w:cs="Times New Roman"/>
                <w:color w:val="000000"/>
                <w:kern w:val="0"/>
                <w:sz w:val="24"/>
                <w:szCs w:val="32"/>
              </w:rPr>
              <w:t>400</w:t>
            </w:r>
            <w:r>
              <w:rPr>
                <w:rFonts w:hint="eastAsia" w:ascii="Times New Roman" w:hAnsi="Times New Roman" w:eastAsia="仿宋_GB2312" w:cs="Times New Roman"/>
                <w:color w:val="000000"/>
                <w:kern w:val="0"/>
                <w:sz w:val="24"/>
                <w:szCs w:val="32"/>
              </w:rPr>
              <w:t>公里，绿化面积</w:t>
            </w:r>
            <w:r>
              <w:rPr>
                <w:rFonts w:ascii="Times New Roman" w:hAnsi="Times New Roman" w:eastAsia="仿宋_GB2312" w:cs="Times New Roman"/>
                <w:color w:val="000000"/>
                <w:kern w:val="0"/>
                <w:sz w:val="24"/>
                <w:szCs w:val="32"/>
              </w:rPr>
              <w:t>12200</w:t>
            </w:r>
            <w:r>
              <w:rPr>
                <w:rFonts w:hint="eastAsia" w:ascii="Times New Roman" w:hAnsi="Times New Roman" w:eastAsia="仿宋_GB2312" w:cs="Times New Roman"/>
                <w:color w:val="000000"/>
                <w:kern w:val="0"/>
                <w:sz w:val="24"/>
                <w:szCs w:val="32"/>
              </w:rPr>
              <w:t>亩，城镇周边绿化</w:t>
            </w:r>
            <w:r>
              <w:rPr>
                <w:rFonts w:ascii="Times New Roman" w:hAnsi="Times New Roman" w:eastAsia="仿宋_GB2312" w:cs="Times New Roman"/>
                <w:color w:val="000000"/>
                <w:kern w:val="0"/>
                <w:sz w:val="24"/>
                <w:szCs w:val="32"/>
              </w:rPr>
              <w:t>5400</w:t>
            </w:r>
            <w:r>
              <w:rPr>
                <w:rFonts w:hint="eastAsia" w:ascii="Times New Roman" w:hAnsi="Times New Roman" w:eastAsia="仿宋_GB2312" w:cs="Times New Roman"/>
                <w:color w:val="000000"/>
                <w:kern w:val="0"/>
                <w:sz w:val="24"/>
                <w:szCs w:val="32"/>
              </w:rPr>
              <w:t>亩，厂矿园区绿化面积</w:t>
            </w:r>
            <w:r>
              <w:rPr>
                <w:rFonts w:ascii="Times New Roman" w:hAnsi="Times New Roman" w:eastAsia="仿宋_GB2312" w:cs="Times New Roman"/>
                <w:color w:val="000000"/>
                <w:kern w:val="0"/>
                <w:sz w:val="24"/>
                <w:szCs w:val="32"/>
              </w:rPr>
              <w:t>11300</w:t>
            </w:r>
            <w:r>
              <w:rPr>
                <w:rFonts w:hint="eastAsia" w:ascii="Times New Roman" w:hAnsi="Times New Roman" w:eastAsia="仿宋_GB2312" w:cs="Times New Roman"/>
                <w:color w:val="000000"/>
                <w:kern w:val="0"/>
                <w:sz w:val="24"/>
                <w:szCs w:val="32"/>
              </w:rPr>
              <w:t>亩，村庄绿化</w:t>
            </w:r>
            <w:r>
              <w:rPr>
                <w:rFonts w:ascii="Times New Roman" w:hAnsi="Times New Roman" w:eastAsia="仿宋_GB2312" w:cs="Times New Roman"/>
                <w:color w:val="000000"/>
                <w:kern w:val="0"/>
                <w:sz w:val="24"/>
                <w:szCs w:val="32"/>
              </w:rPr>
              <w:t>11100</w:t>
            </w:r>
            <w:r>
              <w:rPr>
                <w:rFonts w:hint="eastAsia" w:ascii="Times New Roman" w:hAnsi="Times New Roman" w:eastAsia="仿宋_GB2312" w:cs="Times New Roman"/>
                <w:color w:val="000000"/>
                <w:kern w:val="0"/>
                <w:sz w:val="24"/>
                <w:szCs w:val="32"/>
              </w:rPr>
              <w:t>亩。</w:t>
            </w:r>
          </w:p>
          <w:p w14:paraId="34046953">
            <w:pPr>
              <w:spacing w:line="360" w:lineRule="auto"/>
              <w:ind w:firstLine="482" w:firstLineChars="200"/>
              <w:rPr>
                <w:rFonts w:ascii="Times New Roman" w:hAnsi="Times New Roman" w:eastAsia="仿宋" w:cs="Times New Roman"/>
                <w:color w:val="000000"/>
                <w:kern w:val="0"/>
                <w:sz w:val="24"/>
                <w:szCs w:val="20"/>
              </w:rPr>
            </w:pPr>
            <w:r>
              <w:rPr>
                <w:rFonts w:hint="eastAsia" w:ascii="Times New Roman" w:hAnsi="Times New Roman" w:eastAsia="黑体" w:cs="Times New Roman"/>
                <w:b/>
                <w:color w:val="000000"/>
                <w:kern w:val="0"/>
                <w:sz w:val="24"/>
                <w:szCs w:val="28"/>
              </w:rPr>
              <w:t>苜蓿基地建设项目：</w:t>
            </w:r>
            <w:r>
              <w:rPr>
                <w:rFonts w:hint="eastAsia" w:ascii="Times New Roman" w:hAnsi="Times New Roman" w:eastAsia="仿宋_GB2312" w:cs="Times New Roman"/>
                <w:color w:val="000000"/>
                <w:kern w:val="0"/>
                <w:sz w:val="24"/>
                <w:szCs w:val="32"/>
              </w:rPr>
              <w:t>建设</w:t>
            </w:r>
            <w:r>
              <w:rPr>
                <w:rFonts w:ascii="Times New Roman" w:hAnsi="Times New Roman" w:eastAsia="仿宋_GB2312" w:cs="Times New Roman"/>
                <w:color w:val="000000"/>
                <w:kern w:val="0"/>
                <w:sz w:val="24"/>
                <w:szCs w:val="32"/>
              </w:rPr>
              <w:t>10</w:t>
            </w:r>
            <w:r>
              <w:rPr>
                <w:rFonts w:hint="eastAsia" w:ascii="Times New Roman" w:hAnsi="Times New Roman" w:eastAsia="仿宋_GB2312" w:cs="Times New Roman"/>
                <w:color w:val="000000"/>
                <w:kern w:val="0"/>
                <w:sz w:val="24"/>
                <w:szCs w:val="32"/>
              </w:rPr>
              <w:t>万亩草种苜蓿基地、</w:t>
            </w:r>
            <w:r>
              <w:rPr>
                <w:rFonts w:ascii="Times New Roman" w:hAnsi="Times New Roman" w:eastAsia="仿宋_GB2312" w:cs="Times New Roman"/>
                <w:color w:val="000000"/>
                <w:kern w:val="0"/>
                <w:sz w:val="24"/>
                <w:szCs w:val="32"/>
              </w:rPr>
              <w:t>40</w:t>
            </w:r>
            <w:r>
              <w:rPr>
                <w:rFonts w:hint="eastAsia" w:ascii="Times New Roman" w:hAnsi="Times New Roman" w:eastAsia="仿宋_GB2312" w:cs="Times New Roman"/>
                <w:color w:val="000000"/>
                <w:kern w:val="0"/>
                <w:sz w:val="24"/>
                <w:szCs w:val="32"/>
              </w:rPr>
              <w:t>万亩旱作苜蓿基地。</w:t>
            </w:r>
          </w:p>
        </w:tc>
      </w:tr>
    </w:tbl>
    <w:p w14:paraId="17EF4575">
      <w:pPr>
        <w:pStyle w:val="3"/>
        <w:spacing w:beforeLines="50" w:afterLines="50" w:line="640" w:lineRule="exact"/>
        <w:jc w:val="center"/>
        <w:rPr>
          <w:rFonts w:ascii="Times New Roman" w:hAnsi="Times New Roman" w:eastAsia="黑体"/>
          <w:color w:val="000000"/>
        </w:rPr>
      </w:pPr>
      <w:bookmarkStart w:id="144" w:name="_Toc438543369"/>
      <w:bookmarkStart w:id="145" w:name="_Toc437819160"/>
      <w:bookmarkStart w:id="146" w:name="_Toc437823908"/>
      <w:bookmarkStart w:id="147" w:name="_Toc443390025"/>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强化环境保护与治理</w:t>
      </w:r>
      <w:bookmarkEnd w:id="144"/>
      <w:bookmarkEnd w:id="145"/>
      <w:bookmarkEnd w:id="146"/>
      <w:bookmarkEnd w:id="147"/>
    </w:p>
    <w:p w14:paraId="15B5ED19">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改善环境质量为主线，实行最严格的环境保护制度，加大宣传，提高公民、市场主体的环保意识，形成政府、企业、公众共治的环境治理体系。深化审批制度改革，严格排污许可和项目审批制度。加大环境监管和整治力度，重点整治工业、餐饮、取暖超标排放和野外焚烧秸秆等行为。不断推进水、大气和土壤三大重点领域环境质量改善，优化总量控制实施，实行全过程治污减排，改善环境安全总体态势。加大农村面源污染防治，注重对化肥农药、农膜、畜禽养殖场粪便、农村生活垃圾污水等污染源的治理力度。建设镇、村垃圾处理堆放点，实现垃圾无害化处理。落实主体功能区规划，加强地质灾害预防与治理，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谁破坏，谁治理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原则，明确实施责任主体，大力推进矿山植被恢复，坚决打击无证非法采矿，破坏生态环境等违法行为，实现矿产资源合理开发与生态环境的有效保护。加强对大黑山自然保护区、小河沿自然保护区的生态保护与治理，实现人与自然和谐共生。</w:t>
      </w:r>
    </w:p>
    <w:p w14:paraId="2564CA69">
      <w:pPr>
        <w:pStyle w:val="3"/>
        <w:spacing w:beforeLines="50" w:afterLines="50" w:line="640" w:lineRule="exact"/>
        <w:jc w:val="center"/>
        <w:rPr>
          <w:rFonts w:ascii="Times New Roman" w:hAnsi="Times New Roman" w:eastAsia="黑体"/>
          <w:color w:val="000000"/>
        </w:rPr>
      </w:pPr>
      <w:bookmarkStart w:id="148" w:name="_Toc443390026"/>
      <w:bookmarkStart w:id="149" w:name="_Toc438543370"/>
      <w:bookmarkStart w:id="150" w:name="_Toc437823909"/>
      <w:bookmarkStart w:id="151" w:name="_Toc437819161"/>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积极发展低碳循环经济</w:t>
      </w:r>
      <w:bookmarkEnd w:id="148"/>
      <w:bookmarkEnd w:id="149"/>
      <w:bookmarkEnd w:id="150"/>
      <w:bookmarkEnd w:id="151"/>
    </w:p>
    <w:p w14:paraId="4E455C62">
      <w:pPr>
        <w:shd w:val="clear" w:color="auto" w:fill="FFFFFF"/>
        <w:spacing w:before="50" w:after="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施绿色建筑行动，发展绿色交通，倡导绿色消费，建设节约型社会。实施循环发展引领计划，推行企业循环式生产、产业循环式组合、园区循环式改造，减少单位产出物质消耗。启动重点乡镇污水处理厂建设，实现每个行政村都有垃圾处理点。加大政策和资金投入，推动产业化发展，拓宽秸秆利用渠道，推行秸秆机械化还田作业和留茬高度等标准，促进秸秆就地还田或应收尽收；积极扶持秸秆收储运服务组织发展，建立规范的秸秆储存场所，促进秸秆后续利用；支持秸秆代木、纤维原料、清洁制浆、生物质能、商品有机肥等新技术的产业化发展，完善配套产业及下游产品开发，延伸秸秆综合利用产业链，力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时期各乡镇建成</w:t>
      </w:r>
      <w:r>
        <w:rPr>
          <w:rFonts w:ascii="Times New Roman" w:hAnsi="Times New Roman" w:eastAsia="仿宋_GB2312" w:cs="Times New Roman"/>
          <w:color w:val="000000"/>
          <w:sz w:val="32"/>
          <w:szCs w:val="32"/>
        </w:rPr>
        <w:t>2-3</w:t>
      </w:r>
      <w:r>
        <w:rPr>
          <w:rFonts w:hint="eastAsia" w:ascii="Times New Roman" w:hAnsi="Times New Roman" w:eastAsia="仿宋_GB2312" w:cs="Times New Roman"/>
          <w:color w:val="000000"/>
          <w:sz w:val="32"/>
          <w:szCs w:val="32"/>
        </w:rPr>
        <w:t>个秸秆转化加工厂，</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年秸秆综合利用率达到</w:t>
      </w:r>
      <w:r>
        <w:rPr>
          <w:rFonts w:ascii="Times New Roman" w:hAnsi="Times New Roman" w:eastAsia="仿宋_GB2312" w:cs="Times New Roman"/>
          <w:color w:val="000000"/>
          <w:sz w:val="32"/>
          <w:szCs w:val="32"/>
        </w:rPr>
        <w:t>86.5%</w:t>
      </w:r>
      <w:r>
        <w:rPr>
          <w:rFonts w:hint="eastAsia" w:ascii="Times New Roman" w:hAnsi="Times New Roman" w:eastAsia="仿宋_GB2312" w:cs="Times New Roman"/>
          <w:color w:val="000000"/>
          <w:sz w:val="32"/>
          <w:szCs w:val="32"/>
        </w:rPr>
        <w:t>以上。</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DA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tcPr>
          <w:p w14:paraId="2633C39B">
            <w:pPr>
              <w:spacing w:line="360" w:lineRule="auto"/>
              <w:rPr>
                <w:rFonts w:ascii="Times New Roman" w:hAnsi="Times New Roman" w:eastAsia="楷体_GB2312" w:cs="Times New Roman"/>
                <w:b/>
                <w:color w:val="000000"/>
                <w:kern w:val="0"/>
                <w:sz w:val="32"/>
                <w:szCs w:val="32"/>
              </w:rPr>
            </w:pPr>
            <w:r>
              <w:rPr>
                <w:rFonts w:hint="eastAsia" w:ascii="Times New Roman" w:hAnsi="Times New Roman" w:eastAsia="黑体" w:cs="Times New Roman"/>
                <w:b/>
                <w:color w:val="000000"/>
                <w:kern w:val="0"/>
                <w:sz w:val="28"/>
                <w:szCs w:val="32"/>
              </w:rPr>
              <w:t>专栏</w:t>
            </w:r>
            <w:r>
              <w:rPr>
                <w:rFonts w:ascii="Times New Roman" w:hAnsi="Times New Roman" w:eastAsia="黑体" w:cs="Times New Roman"/>
                <w:b/>
                <w:color w:val="000000"/>
                <w:kern w:val="0"/>
                <w:sz w:val="28"/>
                <w:szCs w:val="32"/>
              </w:rPr>
              <w:t xml:space="preserve">12            </w:t>
            </w:r>
            <w:r>
              <w:rPr>
                <w:rFonts w:hint="eastAsia" w:ascii="Times New Roman" w:hAnsi="Times New Roman" w:eastAsia="黑体" w:cs="Times New Roman"/>
                <w:b/>
                <w:color w:val="000000"/>
                <w:kern w:val="0"/>
                <w:sz w:val="28"/>
                <w:szCs w:val="32"/>
              </w:rPr>
              <w:t>环境保护重点项目</w:t>
            </w:r>
          </w:p>
        </w:tc>
      </w:tr>
      <w:tr w14:paraId="1ECE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DC13A37">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color w:val="000000"/>
                <w:kern w:val="0"/>
                <w:sz w:val="24"/>
                <w:szCs w:val="28"/>
              </w:rPr>
              <w:t>污水处理项目：</w:t>
            </w:r>
            <w:r>
              <w:rPr>
                <w:rFonts w:hint="eastAsia" w:ascii="Times New Roman" w:hAnsi="Times New Roman" w:eastAsia="仿宋_GB2312" w:cs="Times New Roman"/>
                <w:color w:val="000000"/>
                <w:kern w:val="0"/>
                <w:sz w:val="24"/>
                <w:szCs w:val="32"/>
              </w:rPr>
              <w:t>新建新惠城区污水处理厂二期工程，日处理污水</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万吨；在贝子府、羊场、兴隆洼、四家子等工业集中区新建污水处理厂。</w:t>
            </w:r>
          </w:p>
          <w:p w14:paraId="77FBC1F0">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生物天然气项目：</w:t>
            </w:r>
            <w:r>
              <w:rPr>
                <w:rFonts w:hint="eastAsia" w:ascii="Times New Roman" w:hAnsi="Times New Roman" w:eastAsia="仿宋_GB2312" w:cs="Times New Roman"/>
                <w:color w:val="000000"/>
                <w:kern w:val="0"/>
                <w:sz w:val="24"/>
                <w:szCs w:val="32"/>
              </w:rPr>
              <w:t>日产生物天然气</w:t>
            </w:r>
            <w:r>
              <w:rPr>
                <w:rFonts w:ascii="Times New Roman" w:hAnsi="Times New Roman" w:eastAsia="仿宋_GB2312" w:cs="Times New Roman"/>
                <w:color w:val="000000"/>
                <w:kern w:val="0"/>
                <w:sz w:val="24"/>
                <w:szCs w:val="32"/>
              </w:rPr>
              <w:t>8</w:t>
            </w:r>
            <w:r>
              <w:rPr>
                <w:rFonts w:hint="eastAsia" w:ascii="Times New Roman" w:hAnsi="Times New Roman" w:eastAsia="仿宋_GB2312" w:cs="Times New Roman"/>
                <w:color w:val="000000"/>
                <w:kern w:val="0"/>
                <w:sz w:val="24"/>
                <w:szCs w:val="32"/>
              </w:rPr>
              <w:t>万立方米，年产有机肥</w:t>
            </w:r>
            <w:r>
              <w:rPr>
                <w:rFonts w:ascii="Times New Roman" w:hAnsi="Times New Roman" w:eastAsia="仿宋_GB2312" w:cs="Times New Roman"/>
                <w:color w:val="000000"/>
                <w:kern w:val="0"/>
                <w:sz w:val="24"/>
                <w:szCs w:val="32"/>
              </w:rPr>
              <w:t>14.7</w:t>
            </w:r>
            <w:r>
              <w:rPr>
                <w:rFonts w:hint="eastAsia" w:ascii="Times New Roman" w:hAnsi="Times New Roman" w:eastAsia="仿宋_GB2312" w:cs="Times New Roman"/>
                <w:color w:val="000000"/>
                <w:kern w:val="0"/>
                <w:sz w:val="24"/>
                <w:szCs w:val="32"/>
              </w:rPr>
              <w:t>万吨，消纳玉米秸秆</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万吨。</w:t>
            </w:r>
          </w:p>
          <w:p w14:paraId="1DDC9BA5">
            <w:pPr>
              <w:widowControl/>
              <w:ind w:firstLine="472" w:firstLineChars="196"/>
              <w:jc w:val="left"/>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城乡环卫一体化项目：</w:t>
            </w:r>
            <w:r>
              <w:rPr>
                <w:rFonts w:hint="eastAsia" w:ascii="Times New Roman" w:hAnsi="Times New Roman" w:eastAsia="仿宋_GB2312" w:cs="Times New Roman"/>
                <w:color w:val="000000"/>
                <w:kern w:val="0"/>
                <w:sz w:val="24"/>
                <w:szCs w:val="32"/>
              </w:rPr>
              <w:t>建设乡镇垃圾填埋厂</w:t>
            </w:r>
            <w:r>
              <w:rPr>
                <w:rFonts w:ascii="Times New Roman" w:hAnsi="Times New Roman" w:eastAsia="仿宋_GB2312" w:cs="Times New Roman"/>
                <w:color w:val="000000"/>
                <w:kern w:val="0"/>
                <w:sz w:val="24"/>
                <w:szCs w:val="32"/>
              </w:rPr>
              <w:t>15</w:t>
            </w:r>
            <w:r>
              <w:rPr>
                <w:rFonts w:hint="eastAsia" w:ascii="Times New Roman" w:hAnsi="Times New Roman" w:eastAsia="仿宋_GB2312" w:cs="Times New Roman"/>
                <w:color w:val="000000"/>
                <w:kern w:val="0"/>
                <w:sz w:val="24"/>
                <w:szCs w:val="32"/>
              </w:rPr>
              <w:t>处、乡镇垃圾转运站</w:t>
            </w:r>
            <w:r>
              <w:rPr>
                <w:rFonts w:ascii="Times New Roman" w:hAnsi="Times New Roman" w:eastAsia="仿宋_GB2312" w:cs="Times New Roman"/>
                <w:color w:val="000000"/>
                <w:kern w:val="0"/>
                <w:sz w:val="24"/>
                <w:szCs w:val="32"/>
              </w:rPr>
              <w:t>60</w:t>
            </w:r>
            <w:r>
              <w:rPr>
                <w:rFonts w:hint="eastAsia" w:ascii="Times New Roman" w:hAnsi="Times New Roman" w:eastAsia="仿宋_GB2312" w:cs="Times New Roman"/>
                <w:color w:val="000000"/>
                <w:kern w:val="0"/>
                <w:sz w:val="24"/>
                <w:szCs w:val="32"/>
              </w:rPr>
              <w:t>处、乡镇公厕</w:t>
            </w:r>
            <w:r>
              <w:rPr>
                <w:rFonts w:ascii="Times New Roman" w:hAnsi="Times New Roman" w:eastAsia="仿宋_GB2312" w:cs="Times New Roman"/>
                <w:color w:val="000000"/>
                <w:kern w:val="0"/>
                <w:sz w:val="24"/>
                <w:szCs w:val="32"/>
              </w:rPr>
              <w:t>300</w:t>
            </w:r>
            <w:r>
              <w:rPr>
                <w:rFonts w:hint="eastAsia" w:ascii="Times New Roman" w:hAnsi="Times New Roman" w:eastAsia="仿宋_GB2312" w:cs="Times New Roman"/>
                <w:color w:val="000000"/>
                <w:kern w:val="0"/>
                <w:sz w:val="24"/>
                <w:szCs w:val="32"/>
              </w:rPr>
              <w:t>处。</w:t>
            </w:r>
          </w:p>
        </w:tc>
      </w:tr>
    </w:tbl>
    <w:p w14:paraId="77926531">
      <w:pPr>
        <w:pStyle w:val="2"/>
        <w:spacing w:beforeLines="100" w:afterLines="100" w:line="640" w:lineRule="exact"/>
        <w:jc w:val="center"/>
        <w:rPr>
          <w:rFonts w:eastAsia="方正小标宋简体"/>
          <w:color w:val="000000"/>
          <w:sz w:val="36"/>
          <w:szCs w:val="36"/>
        </w:rPr>
      </w:pPr>
      <w:bookmarkStart w:id="152" w:name="_Toc437819162"/>
      <w:bookmarkStart w:id="153" w:name="_Toc438543371"/>
      <w:bookmarkStart w:id="154" w:name="_Toc443390027"/>
      <w:bookmarkStart w:id="155" w:name="_Toc437823910"/>
      <w:r>
        <w:rPr>
          <w:rFonts w:hint="eastAsia" w:eastAsia="方正小标宋简体"/>
          <w:color w:val="000000"/>
          <w:sz w:val="36"/>
          <w:szCs w:val="36"/>
        </w:rPr>
        <w:t>第六章</w:t>
      </w:r>
      <w:r>
        <w:rPr>
          <w:rFonts w:eastAsia="方正小标宋简体"/>
          <w:color w:val="000000"/>
          <w:sz w:val="36"/>
          <w:szCs w:val="36"/>
        </w:rPr>
        <w:t xml:space="preserve">   </w:t>
      </w:r>
      <w:r>
        <w:rPr>
          <w:rFonts w:hint="eastAsia" w:eastAsia="方正小标宋简体"/>
          <w:color w:val="000000"/>
          <w:sz w:val="36"/>
          <w:szCs w:val="36"/>
        </w:rPr>
        <w:t>坚持开放发展，开创合作共赢新局面</w:t>
      </w:r>
      <w:bookmarkEnd w:id="152"/>
      <w:bookmarkEnd w:id="153"/>
      <w:bookmarkEnd w:id="154"/>
      <w:bookmarkEnd w:id="155"/>
    </w:p>
    <w:p w14:paraId="5E2C5408">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实施更加主动的对外开放战略，主动融入京津冀协同发展、东北经济区、区域经济带等发展布局，不断拓展开放空间。立足国内国际两个市场，提升我旗开放型经济新水平。</w:t>
      </w:r>
    </w:p>
    <w:p w14:paraId="53631F5B">
      <w:pPr>
        <w:pStyle w:val="3"/>
        <w:spacing w:beforeLines="50" w:afterLines="50" w:line="640" w:lineRule="exact"/>
        <w:jc w:val="center"/>
        <w:rPr>
          <w:rFonts w:ascii="Times New Roman" w:hAnsi="Times New Roman" w:eastAsia="黑体"/>
          <w:color w:val="000000"/>
        </w:rPr>
      </w:pPr>
      <w:bookmarkStart w:id="156" w:name="_Toc437823911"/>
      <w:bookmarkStart w:id="157" w:name="_Toc443390028"/>
      <w:bookmarkStart w:id="158" w:name="_Toc438543372"/>
      <w:bookmarkStart w:id="159" w:name="_Toc437819163"/>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深度融入京津冀协同发展</w:t>
      </w:r>
      <w:bookmarkEnd w:id="156"/>
      <w:bookmarkEnd w:id="157"/>
      <w:bookmarkEnd w:id="158"/>
      <w:bookmarkEnd w:id="159"/>
    </w:p>
    <w:p w14:paraId="22F5C8E5">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围绕我旗绿色农畜产品、文化旅游等特色优势产业，着力打通面向京津冀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农牧业走廊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文化旅游走廊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科技走廊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三大走廊。借助</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京蒙合作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品质赤峰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推广中心等载体，设立敖汉旗产品批发基地和销售专区，瞄准高端市场需求，生产更多适销对路产品，进一步提高我旗绿色农畜产品在京津冀地区的品牌知名度和市场占有率，建设好京津冀绿色农畜产品生产加工输出基地，布局京津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农牧业走廊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；做大做强旅游业，开发定制性旅游合作产品，丰富旅游线路、旅游形式和旅游产品，形成京津冀重要的旅游观光和休闲度假基地，布局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文化旅游走廊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加强与北京中关村的对接，引进一批互联网企业、节能环保企业、大数据企业落地敖汉，积极引进北京市各类科研院所、技术交流合作中心在我旗设立分支机构、科研成果转化基地或科研试验示范基地，促进京敖两地科技资源与发展需求有效对接，支持我旗经济转型升级和现代化水平，加快布局</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科技走廊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积极承接京津冀资本、技术、智力外溢和产业转移，建设赤峰市产业转移主要承载区。深入推进碳汇交易、生态城市合作。创新京蒙对口帮扶合作机制，积极争取帮扶政策和资金技术，紧盯央企、京企、知名企业，加强沟通、联系和对接，努力促成新的合作。</w:t>
      </w:r>
      <w:bookmarkStart w:id="160" w:name="_Toc437823912"/>
      <w:bookmarkStart w:id="161" w:name="_Toc438543373"/>
      <w:bookmarkStart w:id="162" w:name="_Toc437819164"/>
    </w:p>
    <w:p w14:paraId="31F6828D">
      <w:pPr>
        <w:pStyle w:val="3"/>
        <w:spacing w:beforeLines="50" w:afterLines="50" w:line="640" w:lineRule="exact"/>
        <w:jc w:val="center"/>
        <w:rPr>
          <w:rFonts w:ascii="Times New Roman" w:hAnsi="Times New Roman" w:eastAsia="黑体"/>
          <w:color w:val="000000"/>
        </w:rPr>
      </w:pPr>
      <w:bookmarkStart w:id="163" w:name="_Toc443390029"/>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加强与东北经济区的对接合作</w:t>
      </w:r>
      <w:bookmarkEnd w:id="160"/>
      <w:bookmarkEnd w:id="161"/>
      <w:bookmarkEnd w:id="162"/>
      <w:bookmarkEnd w:id="163"/>
    </w:p>
    <w:p w14:paraId="63B560E1">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牢牢抓住国家新一轮支持东北振兴的战略机遇，主动融入东北区域一体化发展。按照自治区实施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一带一路</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倡议</w:t>
      </w:r>
      <w:r>
        <w:rPr>
          <w:rFonts w:hint="eastAsia" w:ascii="Times New Roman" w:hAnsi="Times New Roman" w:eastAsia="仿宋_GB2312" w:cs="Times New Roman"/>
          <w:color w:val="000000"/>
          <w:sz w:val="32"/>
          <w:szCs w:val="32"/>
        </w:rPr>
        <w:t>布局，发挥我旗位于自治区距离出海口最近的区位优势，加强与锦州港的合作，着力打通我旗外向型经济发展的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海上走廊</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打造连通辽宁出海口的枢纽型中心地区，实现我旗绿色农畜产品等通过海上通道进入沿海市场、沿边国家及东北亚地区。依托现有产业基础，积极参与东北经济区产业分工协作，特别是加强非常规能源产业合作，积极引进产业，提高我旗非资源型产业发展水平。力争启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辽西北调水</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敖汉旗段工程，进一步提高我旗水资源保障能力。</w:t>
      </w:r>
    </w:p>
    <w:p w14:paraId="68E8F69E">
      <w:pPr>
        <w:pStyle w:val="3"/>
        <w:spacing w:beforeLines="50" w:afterLines="50" w:line="640" w:lineRule="exact"/>
        <w:jc w:val="center"/>
        <w:rPr>
          <w:rFonts w:ascii="Times New Roman" w:hAnsi="Times New Roman" w:eastAsia="黑体"/>
          <w:color w:val="000000"/>
        </w:rPr>
      </w:pPr>
      <w:bookmarkStart w:id="164" w:name="_Toc443390030"/>
      <w:bookmarkStart w:id="165" w:name="_Toc437819165"/>
      <w:bookmarkStart w:id="166" w:name="_Toc438543374"/>
      <w:bookmarkStart w:id="167" w:name="_Toc437823913"/>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积极参与周边区域共建</w:t>
      </w:r>
      <w:bookmarkEnd w:id="164"/>
      <w:bookmarkEnd w:id="165"/>
      <w:bookmarkEnd w:id="166"/>
      <w:bookmarkEnd w:id="167"/>
    </w:p>
    <w:p w14:paraId="1C287273">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对接好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锡赤通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经济走廊战略布局，加强与通辽相关旗县的合作，在能源、交通、水利、电力等重大基础设施方面主动衔接，推动信息共享、设施共建、旅游互促等合作共建，打造我旗新的经济增长点。加强与蒙东地区其他盟市、旗县的交流合作，组团融入东北经济区，加强与朝阳等毗邻地区合作，提升区域合作层次和水平，共同构建区域合作发展新体系。</w:t>
      </w:r>
    </w:p>
    <w:p w14:paraId="2A91F170">
      <w:pPr>
        <w:pStyle w:val="2"/>
        <w:spacing w:beforeLines="100" w:afterLines="100" w:line="640" w:lineRule="exact"/>
        <w:jc w:val="center"/>
        <w:rPr>
          <w:rFonts w:eastAsia="方正小标宋简体"/>
          <w:color w:val="000000"/>
          <w:sz w:val="36"/>
          <w:szCs w:val="36"/>
        </w:rPr>
      </w:pPr>
      <w:bookmarkStart w:id="168" w:name="_Toc437819166"/>
      <w:bookmarkStart w:id="169" w:name="_Toc438543375"/>
      <w:bookmarkStart w:id="170" w:name="_Toc437823914"/>
      <w:bookmarkStart w:id="171" w:name="_Toc443390031"/>
      <w:r>
        <w:rPr>
          <w:rFonts w:hint="eastAsia" w:eastAsia="方正小标宋简体"/>
          <w:color w:val="000000"/>
          <w:sz w:val="36"/>
          <w:szCs w:val="36"/>
        </w:rPr>
        <w:t>第七章</w:t>
      </w:r>
      <w:r>
        <w:rPr>
          <w:rFonts w:eastAsia="方正小标宋简体"/>
          <w:color w:val="000000"/>
          <w:sz w:val="36"/>
          <w:szCs w:val="36"/>
        </w:rPr>
        <w:t xml:space="preserve">   </w:t>
      </w:r>
      <w:r>
        <w:rPr>
          <w:rFonts w:hint="eastAsia" w:eastAsia="方正小标宋简体"/>
          <w:color w:val="000000"/>
          <w:sz w:val="36"/>
          <w:szCs w:val="36"/>
        </w:rPr>
        <w:t>坚持共享发展，着力增进人民福祉</w:t>
      </w:r>
      <w:bookmarkEnd w:id="168"/>
      <w:bookmarkEnd w:id="169"/>
      <w:bookmarkEnd w:id="170"/>
      <w:bookmarkEnd w:id="171"/>
    </w:p>
    <w:p w14:paraId="7ED4EBA2">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坚持普惠性、保基本、均等化、可持续方向，提高基本公共服务共建能力和共享水平，更加注重社会公平正义，确保各族人民共享发展成果，加快建设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幸福敖汉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p>
    <w:p w14:paraId="6ED20269">
      <w:pPr>
        <w:pStyle w:val="3"/>
        <w:spacing w:beforeLines="50" w:afterLines="50" w:line="640" w:lineRule="exact"/>
        <w:jc w:val="center"/>
        <w:rPr>
          <w:rFonts w:ascii="Times New Roman" w:hAnsi="Times New Roman" w:eastAsia="黑体"/>
          <w:color w:val="000000"/>
        </w:rPr>
      </w:pPr>
      <w:bookmarkStart w:id="172" w:name="_Toc437823915"/>
      <w:bookmarkStart w:id="173" w:name="_Toc437819167"/>
      <w:bookmarkStart w:id="174" w:name="_Toc438543376"/>
      <w:bookmarkStart w:id="175" w:name="_Toc443390032"/>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坚决打赢脱贫攻坚</w:t>
      </w:r>
      <w:bookmarkEnd w:id="172"/>
      <w:bookmarkEnd w:id="173"/>
      <w:r>
        <w:rPr>
          <w:rFonts w:hint="eastAsia" w:ascii="Times New Roman" w:hAnsi="Times New Roman" w:eastAsia="黑体"/>
          <w:color w:val="000000"/>
        </w:rPr>
        <w:t>战</w:t>
      </w:r>
      <w:bookmarkEnd w:id="174"/>
      <w:bookmarkEnd w:id="175"/>
    </w:p>
    <w:p w14:paraId="30A16B62">
      <w:pPr>
        <w:shd w:val="clear" w:color="auto" w:fill="FFFFFF"/>
        <w:spacing w:beforeLines="50" w:afterLines="50" w:line="61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强力推进扶贫开发工作，着力构建专项扶贫、行业扶贫、社会扶贫等多方力量、多种举措有机结合和互为支撑的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三位一体</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大扶贫格局。实行精准扶贫，精准脱贫，提高扶贫工作成效。在贫困村贫困户精准识别、建档立卡基础上，以金融扶贫富民工程为龙头，以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三到村三到户</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为载体，坚持因地制宜、分类指导、扶贫到户、分户施策，选准产业项目、大力扶持贫困村和贫困户发展产业、就业创业。加大扶贫移民搬迁力度，对不宜居住和生存条件恶劣地区的贫困群众，采取就近搬迁安置、跨区域安置、依托园区安置等模式，积极推进易地扶贫搬迁工作，稳步实施新惠北城新区易地扶贫搬迁工程，全旗争取整体搬迁自然村</w:t>
      </w:r>
      <w:r>
        <w:rPr>
          <w:rFonts w:ascii="Times New Roman" w:hAnsi="Times New Roman" w:eastAsia="仿宋_GB2312" w:cs="Times New Roman"/>
          <w:color w:val="000000"/>
          <w:sz w:val="32"/>
          <w:szCs w:val="32"/>
        </w:rPr>
        <w:t>400</w:t>
      </w:r>
      <w:r>
        <w:rPr>
          <w:rFonts w:hint="eastAsia" w:ascii="Times New Roman" w:hAnsi="Times New Roman" w:eastAsia="仿宋_GB2312" w:cs="Times New Roman"/>
          <w:color w:val="000000"/>
          <w:sz w:val="32"/>
          <w:szCs w:val="32"/>
        </w:rPr>
        <w:t>个以上。对丧失劳动能力的实施兜底性保障政策，对因病致贫的提供医疗救助保障，实行低保政策和扶贫政策衔接，对贫困人口应保尽保。引导、鼓励和支持非公有制经济和社会组织参与扶贫，抓住自治区领导联系贫困旗县、市级领导联系乡镇、国家部委定点扶贫、京蒙对口协作扶贫的良好机遇，进一步争取帮扶项目，引导支持贫困地区和贫困群众通过自身努力实现脱贫。积极探索产业扶贫、资产收益扶贫等模式。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期末，贫困户人均收入达到</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万元，摘掉贫困县帽子。</w:t>
      </w:r>
    </w:p>
    <w:p w14:paraId="249AA31B">
      <w:pPr>
        <w:pStyle w:val="3"/>
        <w:spacing w:beforeLines="50" w:afterLines="50" w:line="640" w:lineRule="exact"/>
        <w:jc w:val="center"/>
        <w:rPr>
          <w:rFonts w:ascii="Times New Roman" w:hAnsi="Times New Roman" w:eastAsia="黑体"/>
          <w:color w:val="000000"/>
        </w:rPr>
      </w:pPr>
      <w:bookmarkStart w:id="176" w:name="_Toc443390033"/>
      <w:bookmarkStart w:id="177" w:name="_Toc437819168"/>
      <w:bookmarkStart w:id="178" w:name="_Toc437823916"/>
      <w:bookmarkStart w:id="179" w:name="_Toc438543377"/>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健全多层次社会保障体系</w:t>
      </w:r>
      <w:bookmarkEnd w:id="176"/>
      <w:bookmarkEnd w:id="177"/>
      <w:bookmarkEnd w:id="178"/>
      <w:bookmarkEnd w:id="179"/>
    </w:p>
    <w:p w14:paraId="7BB607A3">
      <w:pPr>
        <w:spacing w:before="50" w:after="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坚持就业优先，强化就业服务体系建设。实施创业就业工程，健全促进高校毕业生就业创业的体制机制，完善落实创业优惠政策，引领大学生创业不少于</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人，免费接受职业技能培训实现全覆盖。优化资源配置，进一步增加投入，提高公共服务水平，强化镇村基层公共服务平台建设。逐步提高城乡低保水平和五保供养水平，保障困难群众基本生活。</w:t>
      </w:r>
    </w:p>
    <w:p w14:paraId="47A86F81">
      <w:pPr>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整合城镇居民基本医疗保险和新型农村合作医疗两项制度，建立统一的城乡居民基本医疗保障制度，实现城乡居民医疗养老全覆盖。推动以保障受益、促进公平、管办分离为目标的第三方管理体制，加大财政补贴力度，逐年提高城乡居民医疗保险报销水平，完善以单病种付费和总额预算管理等多种形式的支付方式改革，加强经办机构能力建设，提高信息化管理水平，将生育保险和基本医疗保险合并实施。加强大病援助体系建设，防止因病致贫因病脱贫现象，提升</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救济兜底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能力。坚持医养结合，不断加强养老服务体系建设，建立以居家养老为基础、社区服务为依托、机构养老为支撑的城乡养老服务网，全旗养老机构建设规模达到</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万平方米。推进机关事业单位养老保险制度改革，建立更加公平、可持续的养老保险制度。强化社会救助体系建设，发展慈善事业，加强红十字事业能</w:t>
      </w:r>
      <w:r>
        <w:rPr>
          <w:rFonts w:hint="eastAsia" w:ascii="Times New Roman" w:hAnsi="Times New Roman" w:eastAsia="仿宋_GB2312" w:cs="Times New Roman"/>
          <w:color w:val="000000"/>
          <w:spacing w:val="-6"/>
          <w:sz w:val="32"/>
          <w:szCs w:val="32"/>
        </w:rPr>
        <w:t>力建设，关爱留守妇女儿童、残疾人和失独老人等特殊群体。积极开展拥军优属拥政爱民活动，完成地名普查和成果转化任务。到</w:t>
      </w:r>
      <w:r>
        <w:rPr>
          <w:rFonts w:ascii="Times New Roman" w:hAnsi="Times New Roman" w:eastAsia="仿宋_GB2312" w:cs="Times New Roman"/>
          <w:color w:val="000000"/>
          <w:spacing w:val="-6"/>
          <w:sz w:val="32"/>
          <w:szCs w:val="32"/>
        </w:rPr>
        <w:t>2020</w:t>
      </w:r>
      <w:r>
        <w:rPr>
          <w:rFonts w:hint="eastAsia" w:ascii="Times New Roman" w:hAnsi="Times New Roman" w:eastAsia="仿宋_GB2312" w:cs="Times New Roman"/>
          <w:color w:val="000000"/>
          <w:spacing w:val="-6"/>
          <w:sz w:val="32"/>
          <w:szCs w:val="32"/>
        </w:rPr>
        <w:t>年，城镇新增就业</w:t>
      </w:r>
      <w:r>
        <w:rPr>
          <w:rFonts w:ascii="Times New Roman" w:hAnsi="Times New Roman" w:eastAsia="仿宋_GB2312" w:cs="Times New Roman"/>
          <w:color w:val="000000"/>
          <w:spacing w:val="-6"/>
          <w:sz w:val="32"/>
          <w:szCs w:val="32"/>
        </w:rPr>
        <w:t>10000</w:t>
      </w:r>
      <w:r>
        <w:rPr>
          <w:rFonts w:hint="eastAsia" w:ascii="Times New Roman" w:hAnsi="Times New Roman" w:eastAsia="仿宋_GB2312" w:cs="Times New Roman"/>
          <w:color w:val="000000"/>
          <w:spacing w:val="-6"/>
          <w:sz w:val="32"/>
          <w:szCs w:val="32"/>
        </w:rPr>
        <w:t>人，城镇登记失业率控制在</w:t>
      </w:r>
      <w:r>
        <w:rPr>
          <w:rFonts w:ascii="Times New Roman" w:hAnsi="Times New Roman" w:eastAsia="仿宋_GB2312" w:cs="Times New Roman"/>
          <w:color w:val="000000"/>
          <w:spacing w:val="-6"/>
          <w:sz w:val="32"/>
          <w:szCs w:val="32"/>
        </w:rPr>
        <w:t>4%</w:t>
      </w:r>
      <w:r>
        <w:rPr>
          <w:rFonts w:hint="eastAsia" w:ascii="Times New Roman" w:hAnsi="Times New Roman" w:eastAsia="仿宋_GB2312" w:cs="Times New Roman"/>
          <w:color w:val="000000"/>
          <w:spacing w:val="-6"/>
          <w:sz w:val="32"/>
          <w:szCs w:val="32"/>
        </w:rPr>
        <w:t>之内，全旗</w:t>
      </w:r>
      <w:r>
        <w:rPr>
          <w:rFonts w:hint="eastAsia" w:ascii="Times New Roman" w:hAnsi="Times New Roman" w:eastAsia="仿宋_GB2312" w:cs="Times New Roman"/>
          <w:color w:val="000000"/>
          <w:sz w:val="32"/>
          <w:szCs w:val="32"/>
        </w:rPr>
        <w:t>新增高校本科以上毕业生就业</w:t>
      </w:r>
      <w:r>
        <w:rPr>
          <w:rFonts w:ascii="Times New Roman" w:hAnsi="Times New Roman" w:eastAsia="仿宋_GB2312" w:cs="Times New Roman"/>
          <w:color w:val="000000"/>
          <w:sz w:val="32"/>
          <w:szCs w:val="32"/>
        </w:rPr>
        <w:t>1000</w:t>
      </w:r>
      <w:r>
        <w:rPr>
          <w:rFonts w:hint="eastAsia" w:ascii="Times New Roman" w:hAnsi="Times New Roman" w:eastAsia="仿宋_GB2312" w:cs="Times New Roman"/>
          <w:color w:val="000000"/>
          <w:sz w:val="32"/>
          <w:szCs w:val="32"/>
        </w:rPr>
        <w:t>人以上，基本实现城乡一体的社会保障体系。</w:t>
      </w:r>
    </w:p>
    <w:p w14:paraId="1B404BF9">
      <w:pPr>
        <w:pStyle w:val="3"/>
        <w:spacing w:beforeLines="50" w:afterLines="50" w:line="640" w:lineRule="exact"/>
        <w:jc w:val="center"/>
        <w:rPr>
          <w:rFonts w:ascii="Times New Roman" w:hAnsi="Times New Roman" w:eastAsia="黑体"/>
          <w:color w:val="000000"/>
        </w:rPr>
      </w:pPr>
      <w:bookmarkStart w:id="180" w:name="_Toc437819169"/>
      <w:bookmarkStart w:id="181" w:name="_Toc443390034"/>
      <w:bookmarkStart w:id="182" w:name="_Toc437823917"/>
      <w:bookmarkStart w:id="183" w:name="_Toc438543378"/>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推动教育全面均衡发展</w:t>
      </w:r>
      <w:bookmarkEnd w:id="180"/>
      <w:bookmarkEnd w:id="181"/>
      <w:bookmarkEnd w:id="182"/>
      <w:bookmarkEnd w:id="183"/>
    </w:p>
    <w:p w14:paraId="243E7C73">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加大基础设施建设投入力度，合理调整学校布局，全面深化课堂教学改革，确保</w:t>
      </w:r>
      <w:r>
        <w:rPr>
          <w:rFonts w:ascii="Times New Roman" w:hAnsi="Times New Roman" w:eastAsia="仿宋_GB2312" w:cs="Times New Roman"/>
          <w:color w:val="000000"/>
          <w:sz w:val="32"/>
          <w:szCs w:val="32"/>
        </w:rPr>
        <w:t>2018</w:t>
      </w:r>
      <w:r>
        <w:rPr>
          <w:rFonts w:hint="eastAsia" w:ascii="Times New Roman" w:hAnsi="Times New Roman" w:eastAsia="仿宋_GB2312" w:cs="Times New Roman"/>
          <w:color w:val="000000"/>
          <w:sz w:val="32"/>
          <w:szCs w:val="32"/>
        </w:rPr>
        <w:t>年实现义务教育均衡发展达标。优先发展民族教育，设立民族教育发展专项资金，形成完备的小学、初中、高中民族教育体系。大力发展职业教育，建立和完善适应市场经济发展需要的现代职教体系，科学调整职业教育专业设置，服务地方经济发展。内涵发展高中教育，做强做优普通高中，高考本科上线率达到</w:t>
      </w:r>
      <w:r>
        <w:rPr>
          <w:rFonts w:ascii="Times New Roman" w:hAnsi="Times New Roman" w:eastAsia="仿宋_GB2312" w:cs="Times New Roman"/>
          <w:color w:val="000000"/>
          <w:sz w:val="32"/>
          <w:szCs w:val="32"/>
        </w:rPr>
        <w:t>65%</w:t>
      </w:r>
      <w:r>
        <w:rPr>
          <w:rFonts w:hint="eastAsia" w:ascii="Times New Roman" w:hAnsi="Times New Roman" w:eastAsia="仿宋_GB2312" w:cs="Times New Roman"/>
          <w:color w:val="000000"/>
          <w:sz w:val="32"/>
          <w:szCs w:val="32"/>
        </w:rPr>
        <w:t>以上。改革高中招生制度，普通高中教育和中等职业教育比例力争达到</w:t>
      </w:r>
      <w:r>
        <w:rPr>
          <w:rFonts w:ascii="Times New Roman" w:hAnsi="Times New Roman" w:eastAsia="仿宋_GB2312" w:cs="Times New Roman"/>
          <w:color w:val="000000"/>
          <w:sz w:val="32"/>
          <w:szCs w:val="32"/>
        </w:rPr>
        <w:t>5:5</w:t>
      </w:r>
      <w:r>
        <w:rPr>
          <w:rFonts w:hint="eastAsia" w:ascii="Times New Roman" w:hAnsi="Times New Roman" w:eastAsia="仿宋_GB2312" w:cs="Times New Roman"/>
          <w:color w:val="000000"/>
          <w:sz w:val="32"/>
          <w:szCs w:val="32"/>
        </w:rPr>
        <w:t>。规范发展特殊教育，全面落实特殊教育政策，依法保障弱势群体学生公平接受义务教育。支持发展民办教育，建立民办教育动态管理机制，严格准入制度，畅通出口管理，促进民办教育不断优质发展。积极发展学前教育，满足适龄儿童入园需求，基本消除</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入园难</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入园远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问题，适龄儿童入园率达到</w:t>
      </w:r>
      <w:r>
        <w:rPr>
          <w:rFonts w:ascii="Times New Roman" w:hAnsi="Times New Roman" w:eastAsia="仿宋_GB2312" w:cs="Times New Roman"/>
          <w:color w:val="000000"/>
          <w:sz w:val="32"/>
          <w:szCs w:val="32"/>
        </w:rPr>
        <w:t>93%</w:t>
      </w:r>
      <w:r>
        <w:rPr>
          <w:rFonts w:hint="eastAsia" w:ascii="Times New Roman" w:hAnsi="Times New Roman" w:eastAsia="仿宋_GB2312" w:cs="Times New Roman"/>
          <w:color w:val="000000"/>
          <w:sz w:val="32"/>
          <w:szCs w:val="32"/>
        </w:rPr>
        <w:t>以上。到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年，全旗建设好</w:t>
      </w:r>
      <w:r>
        <w:rPr>
          <w:rFonts w:ascii="Times New Roman" w:hAnsi="Times New Roman" w:eastAsia="仿宋_GB2312" w:cs="Times New Roman"/>
          <w:color w:val="000000"/>
          <w:sz w:val="32"/>
          <w:szCs w:val="32"/>
        </w:rPr>
        <w:t>8-9</w:t>
      </w:r>
      <w:r>
        <w:rPr>
          <w:rFonts w:hint="eastAsia" w:ascii="Times New Roman" w:hAnsi="Times New Roman" w:eastAsia="仿宋_GB2312" w:cs="Times New Roman"/>
          <w:color w:val="000000"/>
          <w:sz w:val="32"/>
          <w:szCs w:val="32"/>
        </w:rPr>
        <w:t>所初中，</w:t>
      </w:r>
      <w:r>
        <w:rPr>
          <w:rFonts w:ascii="Times New Roman" w:hAnsi="Times New Roman" w:eastAsia="仿宋_GB2312" w:cs="Times New Roman"/>
          <w:color w:val="000000"/>
          <w:sz w:val="32"/>
          <w:szCs w:val="32"/>
        </w:rPr>
        <w:t>55</w:t>
      </w:r>
      <w:r>
        <w:rPr>
          <w:rFonts w:hint="eastAsia" w:ascii="Times New Roman" w:hAnsi="Times New Roman" w:eastAsia="仿宋_GB2312" w:cs="Times New Roman"/>
          <w:color w:val="000000"/>
          <w:sz w:val="32"/>
          <w:szCs w:val="32"/>
        </w:rPr>
        <w:t>所小学，保留必要的教学点，实现旗办中学、乡镇办小学、村办幼儿园的教育发展格局。</w:t>
      </w:r>
    </w:p>
    <w:tbl>
      <w:tblPr>
        <w:tblStyle w:val="18"/>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0BC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280" w:type="dxa"/>
            <w:shd w:val="clear" w:color="auto" w:fill="95B3D7"/>
            <w:vAlign w:val="center"/>
          </w:tcPr>
          <w:p w14:paraId="28230DF3">
            <w:pPr>
              <w:spacing w:line="360" w:lineRule="auto"/>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13                </w:t>
            </w:r>
            <w:r>
              <w:rPr>
                <w:rFonts w:hint="eastAsia" w:ascii="Times New Roman" w:hAnsi="Times New Roman" w:eastAsia="黑体" w:cs="Times New Roman"/>
                <w:b/>
                <w:color w:val="000000"/>
                <w:kern w:val="0"/>
                <w:sz w:val="28"/>
                <w:szCs w:val="28"/>
              </w:rPr>
              <w:t>教育重点项目</w:t>
            </w:r>
          </w:p>
        </w:tc>
      </w:tr>
      <w:tr w14:paraId="5CB0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8280" w:type="dxa"/>
            <w:vAlign w:val="center"/>
          </w:tcPr>
          <w:p w14:paraId="022DF6DA">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新惠第八中学建设项目：</w:t>
            </w:r>
            <w:r>
              <w:rPr>
                <w:rFonts w:hint="eastAsia" w:ascii="Times New Roman" w:hAnsi="Times New Roman" w:eastAsia="仿宋_GB2312" w:cs="Times New Roman"/>
                <w:color w:val="000000"/>
                <w:kern w:val="0"/>
                <w:sz w:val="24"/>
                <w:szCs w:val="32"/>
              </w:rPr>
              <w:t>新建一所容纳</w:t>
            </w:r>
            <w:r>
              <w:rPr>
                <w:rFonts w:ascii="Times New Roman" w:hAnsi="Times New Roman" w:eastAsia="仿宋_GB2312" w:cs="Times New Roman"/>
                <w:color w:val="000000"/>
                <w:kern w:val="0"/>
                <w:sz w:val="24"/>
                <w:szCs w:val="32"/>
              </w:rPr>
              <w:t>60</w:t>
            </w:r>
            <w:r>
              <w:rPr>
                <w:rFonts w:hint="eastAsia" w:ascii="Times New Roman" w:hAnsi="Times New Roman" w:eastAsia="仿宋_GB2312" w:cs="Times New Roman"/>
                <w:color w:val="000000"/>
                <w:kern w:val="0"/>
                <w:sz w:val="24"/>
                <w:szCs w:val="32"/>
              </w:rPr>
              <w:t>个教学班、在校生</w:t>
            </w:r>
            <w:r>
              <w:rPr>
                <w:rFonts w:ascii="Times New Roman" w:hAnsi="Times New Roman" w:eastAsia="仿宋_GB2312" w:cs="Times New Roman"/>
                <w:color w:val="000000"/>
                <w:kern w:val="0"/>
                <w:sz w:val="24"/>
                <w:szCs w:val="32"/>
              </w:rPr>
              <w:t>3000</w:t>
            </w:r>
            <w:r>
              <w:rPr>
                <w:rFonts w:hint="eastAsia" w:ascii="Times New Roman" w:hAnsi="Times New Roman" w:eastAsia="仿宋_GB2312" w:cs="Times New Roman"/>
                <w:color w:val="000000"/>
                <w:kern w:val="0"/>
                <w:sz w:val="24"/>
                <w:szCs w:val="32"/>
              </w:rPr>
              <w:t>人的寄宿制初级中学，建设规模</w:t>
            </w:r>
            <w:r>
              <w:rPr>
                <w:rFonts w:ascii="Times New Roman" w:hAnsi="Times New Roman" w:eastAsia="仿宋_GB2312" w:cs="Times New Roman"/>
                <w:color w:val="000000"/>
                <w:kern w:val="0"/>
                <w:sz w:val="24"/>
                <w:szCs w:val="32"/>
              </w:rPr>
              <w:t>27000</w:t>
            </w:r>
            <w:r>
              <w:rPr>
                <w:rFonts w:hint="eastAsia" w:ascii="Times New Roman" w:hAnsi="Times New Roman" w:eastAsia="仿宋_GB2312" w:cs="Times New Roman"/>
                <w:color w:val="000000"/>
                <w:kern w:val="0"/>
                <w:sz w:val="24"/>
                <w:szCs w:val="32"/>
              </w:rPr>
              <w:t>平方米。</w:t>
            </w:r>
          </w:p>
          <w:p w14:paraId="5E8D5480">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新惠第八小学建设项目：</w:t>
            </w:r>
            <w:r>
              <w:rPr>
                <w:rFonts w:hint="eastAsia" w:ascii="Times New Roman" w:hAnsi="Times New Roman" w:eastAsia="仿宋_GB2312" w:cs="Times New Roman"/>
                <w:color w:val="000000"/>
                <w:kern w:val="0"/>
                <w:sz w:val="24"/>
                <w:szCs w:val="32"/>
              </w:rPr>
              <w:t>新建一所容纳</w:t>
            </w:r>
            <w:r>
              <w:rPr>
                <w:rFonts w:ascii="Times New Roman" w:hAnsi="Times New Roman" w:eastAsia="仿宋_GB2312" w:cs="Times New Roman"/>
                <w:color w:val="000000"/>
                <w:kern w:val="0"/>
                <w:sz w:val="24"/>
                <w:szCs w:val="32"/>
              </w:rPr>
              <w:t>24</w:t>
            </w:r>
            <w:r>
              <w:rPr>
                <w:rFonts w:hint="eastAsia" w:ascii="Times New Roman" w:hAnsi="Times New Roman" w:eastAsia="仿宋_GB2312" w:cs="Times New Roman"/>
                <w:color w:val="000000"/>
                <w:kern w:val="0"/>
                <w:sz w:val="24"/>
                <w:szCs w:val="32"/>
              </w:rPr>
              <w:t>个教学班、在校生</w:t>
            </w:r>
            <w:r>
              <w:rPr>
                <w:rFonts w:ascii="Times New Roman" w:hAnsi="Times New Roman" w:eastAsia="仿宋_GB2312" w:cs="Times New Roman"/>
                <w:color w:val="000000"/>
                <w:kern w:val="0"/>
                <w:sz w:val="24"/>
                <w:szCs w:val="32"/>
              </w:rPr>
              <w:t>1080</w:t>
            </w:r>
            <w:r>
              <w:rPr>
                <w:rFonts w:hint="eastAsia" w:ascii="Times New Roman" w:hAnsi="Times New Roman" w:eastAsia="仿宋_GB2312" w:cs="Times New Roman"/>
                <w:color w:val="000000"/>
                <w:kern w:val="0"/>
                <w:sz w:val="24"/>
                <w:szCs w:val="32"/>
              </w:rPr>
              <w:t>人的寄宿制小学，建设规模</w:t>
            </w:r>
            <w:r>
              <w:rPr>
                <w:rFonts w:ascii="Times New Roman" w:hAnsi="Times New Roman" w:eastAsia="仿宋_GB2312" w:cs="Times New Roman"/>
                <w:color w:val="000000"/>
                <w:kern w:val="0"/>
                <w:sz w:val="24"/>
                <w:szCs w:val="32"/>
              </w:rPr>
              <w:t>14200</w:t>
            </w:r>
            <w:r>
              <w:rPr>
                <w:rFonts w:hint="eastAsia" w:ascii="Times New Roman" w:hAnsi="Times New Roman" w:eastAsia="仿宋_GB2312" w:cs="Times New Roman"/>
                <w:color w:val="000000"/>
                <w:kern w:val="0"/>
                <w:sz w:val="24"/>
                <w:szCs w:val="32"/>
              </w:rPr>
              <w:t>平方米。</w:t>
            </w:r>
          </w:p>
          <w:p w14:paraId="66D88840">
            <w:pPr>
              <w:spacing w:line="360" w:lineRule="auto"/>
              <w:ind w:firstLine="482" w:firstLineChars="200"/>
              <w:rPr>
                <w:rFonts w:ascii="Times New Roman" w:hAnsi="Times New Roman" w:eastAsia="仿宋" w:cs="Times New Roman"/>
                <w:color w:val="000000"/>
                <w:kern w:val="0"/>
                <w:sz w:val="24"/>
                <w:szCs w:val="20"/>
              </w:rPr>
            </w:pPr>
            <w:r>
              <w:rPr>
                <w:rFonts w:hint="eastAsia" w:ascii="Times New Roman" w:hAnsi="Times New Roman" w:eastAsia="黑体" w:cs="Times New Roman"/>
                <w:b/>
                <w:bCs/>
                <w:color w:val="000000"/>
                <w:kern w:val="0"/>
                <w:sz w:val="24"/>
                <w:szCs w:val="20"/>
              </w:rPr>
              <w:t>第四、第五幼儿园建设项目：</w:t>
            </w:r>
            <w:r>
              <w:rPr>
                <w:rFonts w:hint="eastAsia" w:ascii="Times New Roman" w:hAnsi="Times New Roman" w:eastAsia="仿宋_GB2312" w:cs="Times New Roman"/>
                <w:color w:val="000000"/>
                <w:kern w:val="0"/>
                <w:sz w:val="24"/>
                <w:szCs w:val="32"/>
              </w:rPr>
              <w:t>新建第四、第五幼儿园，合计建设规模</w:t>
            </w:r>
            <w:r>
              <w:rPr>
                <w:rFonts w:ascii="Times New Roman" w:hAnsi="Times New Roman" w:eastAsia="仿宋_GB2312" w:cs="Times New Roman"/>
                <w:color w:val="000000"/>
                <w:kern w:val="0"/>
                <w:sz w:val="24"/>
                <w:szCs w:val="32"/>
              </w:rPr>
              <w:t>9680</w:t>
            </w:r>
            <w:r>
              <w:rPr>
                <w:rFonts w:hint="eastAsia" w:ascii="Times New Roman" w:hAnsi="Times New Roman" w:eastAsia="仿宋_GB2312" w:cs="Times New Roman"/>
                <w:color w:val="000000"/>
                <w:kern w:val="0"/>
                <w:sz w:val="24"/>
                <w:szCs w:val="32"/>
              </w:rPr>
              <w:t>平方米。</w:t>
            </w:r>
          </w:p>
        </w:tc>
      </w:tr>
    </w:tbl>
    <w:p w14:paraId="5BDFCD3F">
      <w:pPr>
        <w:pStyle w:val="3"/>
        <w:spacing w:beforeLines="50" w:afterLines="50" w:line="640" w:lineRule="exact"/>
        <w:jc w:val="center"/>
        <w:rPr>
          <w:rFonts w:ascii="Times New Roman" w:hAnsi="Times New Roman" w:eastAsia="黑体"/>
          <w:color w:val="000000"/>
        </w:rPr>
      </w:pPr>
      <w:bookmarkStart w:id="184" w:name="_Toc437819170"/>
      <w:bookmarkStart w:id="185" w:name="_Toc443390035"/>
      <w:bookmarkStart w:id="186" w:name="_Toc437823918"/>
      <w:bookmarkStart w:id="187" w:name="_Toc438543379"/>
      <w:r>
        <w:rPr>
          <w:rFonts w:hint="eastAsia" w:ascii="Times New Roman" w:hAnsi="Times New Roman" w:eastAsia="黑体"/>
          <w:color w:val="000000"/>
        </w:rPr>
        <w:t>第四节</w:t>
      </w:r>
      <w:r>
        <w:rPr>
          <w:rFonts w:ascii="Times New Roman" w:hAnsi="Times New Roman" w:eastAsia="黑体"/>
          <w:color w:val="000000"/>
        </w:rPr>
        <w:t xml:space="preserve">  </w:t>
      </w:r>
      <w:r>
        <w:rPr>
          <w:rFonts w:hint="eastAsia" w:ascii="Times New Roman" w:hAnsi="Times New Roman" w:eastAsia="黑体"/>
          <w:color w:val="000000"/>
        </w:rPr>
        <w:t>加快健康敖汉建设</w:t>
      </w:r>
      <w:bookmarkEnd w:id="184"/>
      <w:bookmarkEnd w:id="185"/>
      <w:bookmarkEnd w:id="186"/>
      <w:bookmarkEnd w:id="187"/>
    </w:p>
    <w:p w14:paraId="57C721DF">
      <w:pPr>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人为本，抓好卫生计生工作。继续推进医药卫生体制改革，重点深化两所公立医院改革，认真落实国家基本药物制度，加快卫生事业健康发展。加大卫生事业投入，改善基层卫生基础条件，乡村两级医疗机构全部实现标准化，鼓励社会力量兴办卫生事业，建立覆盖城乡居民的公共卫生服务体系、医疗服务体系、医疗保障体系、药品供应保障体系，形成四位一体的基本医疗卫生制度，基本形成分级诊疗就医格局，旗内就诊率达到</w:t>
      </w:r>
      <w:r>
        <w:rPr>
          <w:rFonts w:ascii="Times New Roman" w:hAnsi="Times New Roman" w:eastAsia="仿宋_GB2312" w:cs="Times New Roman"/>
          <w:color w:val="000000"/>
          <w:sz w:val="32"/>
          <w:szCs w:val="32"/>
        </w:rPr>
        <w:t>90%</w:t>
      </w:r>
      <w:r>
        <w:rPr>
          <w:rFonts w:hint="eastAsia" w:ascii="Times New Roman" w:hAnsi="Times New Roman" w:eastAsia="仿宋_GB2312" w:cs="Times New Roman"/>
          <w:color w:val="000000"/>
          <w:sz w:val="32"/>
          <w:szCs w:val="32"/>
        </w:rPr>
        <w:t>。提高公共卫生服务水平，促进城乡居民基本公共卫生服务均等化。强化疾病预防控制和卫生监督，加强旗疾控中心和各级医疗机构疾病检查检测能力建设。提高处置突发公共卫生事件应急反应能力和突发公共事件医疗卫生救援能力。深入开展爱国卫生运动，明显改善城乡环境卫生条件。健全妇幼保健与计划生育服务体系，拓展服务内容和范围。认真执行国家人口政策，提高人口素质，重点加强家庭服务能力建设。落实好全面二孩政策，</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期间人口自然增长率控制在</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左右，到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年全旗人口控制在</w:t>
      </w:r>
      <w:r>
        <w:rPr>
          <w:rFonts w:ascii="Times New Roman" w:hAnsi="Times New Roman" w:eastAsia="仿宋_GB2312" w:cs="Times New Roman"/>
          <w:color w:val="000000"/>
          <w:sz w:val="32"/>
          <w:szCs w:val="32"/>
        </w:rPr>
        <w:t>66.5</w:t>
      </w:r>
      <w:r>
        <w:rPr>
          <w:rFonts w:hint="eastAsia" w:ascii="Times New Roman" w:hAnsi="Times New Roman" w:eastAsia="仿宋_GB2312" w:cs="Times New Roman"/>
          <w:color w:val="000000"/>
          <w:sz w:val="32"/>
          <w:szCs w:val="32"/>
        </w:rPr>
        <w:t>万人以内。建立完善的食品药品检验检测体系，建成标准化乡镇市场监管所</w:t>
      </w:r>
      <w:r>
        <w:rPr>
          <w:rFonts w:ascii="Times New Roman" w:hAnsi="Times New Roman" w:eastAsia="仿宋_GB2312" w:cs="Times New Roman"/>
          <w:color w:val="000000"/>
          <w:sz w:val="32"/>
          <w:szCs w:val="32"/>
        </w:rPr>
        <w:t>18</w:t>
      </w:r>
      <w:r>
        <w:rPr>
          <w:rFonts w:hint="eastAsia" w:ascii="Times New Roman" w:hAnsi="Times New Roman" w:eastAsia="仿宋_GB2312" w:cs="Times New Roman"/>
          <w:color w:val="000000"/>
          <w:sz w:val="32"/>
          <w:szCs w:val="32"/>
        </w:rPr>
        <w:t>个，完成旗乡村三级电子信息监管系统建设，食品质量监督抽查合格率稳定在</w:t>
      </w:r>
      <w:r>
        <w:rPr>
          <w:rFonts w:ascii="Times New Roman" w:hAnsi="Times New Roman" w:eastAsia="仿宋_GB2312" w:cs="Times New Roman"/>
          <w:color w:val="000000"/>
          <w:sz w:val="32"/>
          <w:szCs w:val="32"/>
        </w:rPr>
        <w:t>99%</w:t>
      </w:r>
      <w:r>
        <w:rPr>
          <w:rFonts w:hint="eastAsia" w:ascii="Times New Roman" w:hAnsi="Times New Roman" w:eastAsia="仿宋_GB2312" w:cs="Times New Roman"/>
          <w:color w:val="000000"/>
          <w:sz w:val="32"/>
          <w:szCs w:val="32"/>
        </w:rPr>
        <w:t>以上，确保人民群众饮食健康和用药安全。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3E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5B3D7"/>
            <w:vAlign w:val="center"/>
          </w:tcPr>
          <w:p w14:paraId="6BAA9F9C">
            <w:pPr>
              <w:spacing w:line="360" w:lineRule="auto"/>
              <w:rPr>
                <w:rFonts w:ascii="Times New Roman" w:hAnsi="Times New Roman" w:cs="Times New Roman"/>
                <w:color w:val="000000"/>
                <w:kern w:val="0"/>
                <w:sz w:val="20"/>
                <w:szCs w:val="20"/>
              </w:rPr>
            </w:pPr>
            <w:r>
              <w:rPr>
                <w:rFonts w:hint="eastAsia" w:ascii="Times New Roman" w:hAnsi="Times New Roman" w:eastAsia="黑体" w:cs="Times New Roman"/>
                <w:b/>
                <w:color w:val="000000"/>
                <w:kern w:val="0"/>
                <w:sz w:val="28"/>
                <w:szCs w:val="28"/>
              </w:rPr>
              <w:t>专栏</w:t>
            </w:r>
            <w:r>
              <w:rPr>
                <w:rFonts w:ascii="Times New Roman" w:hAnsi="Times New Roman" w:eastAsia="黑体" w:cs="Times New Roman"/>
                <w:b/>
                <w:color w:val="000000"/>
                <w:kern w:val="0"/>
                <w:sz w:val="28"/>
                <w:szCs w:val="28"/>
              </w:rPr>
              <w:t xml:space="preserve">14           </w:t>
            </w:r>
            <w:r>
              <w:rPr>
                <w:rFonts w:hint="eastAsia" w:ascii="Times New Roman" w:hAnsi="Times New Roman" w:eastAsia="黑体" w:cs="Times New Roman"/>
                <w:b/>
                <w:color w:val="000000"/>
                <w:kern w:val="0"/>
                <w:sz w:val="28"/>
                <w:szCs w:val="28"/>
              </w:rPr>
              <w:t>卫生计生重点项目</w:t>
            </w:r>
          </w:p>
        </w:tc>
      </w:tr>
      <w:tr w14:paraId="3839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196CA0C2">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敖汉旗医院建设项目：</w:t>
            </w:r>
            <w:r>
              <w:rPr>
                <w:rFonts w:hint="eastAsia" w:ascii="Times New Roman" w:hAnsi="Times New Roman" w:eastAsia="仿宋_GB2312" w:cs="Times New Roman"/>
                <w:color w:val="000000"/>
                <w:kern w:val="0"/>
                <w:sz w:val="24"/>
                <w:szCs w:val="32"/>
              </w:rPr>
              <w:t>建设规模</w:t>
            </w:r>
            <w:r>
              <w:rPr>
                <w:rFonts w:ascii="Times New Roman" w:hAnsi="Times New Roman" w:eastAsia="仿宋_GB2312" w:cs="Times New Roman"/>
                <w:color w:val="000000"/>
                <w:kern w:val="0"/>
                <w:sz w:val="24"/>
                <w:szCs w:val="32"/>
              </w:rPr>
              <w:t>80000</w:t>
            </w:r>
            <w:r>
              <w:rPr>
                <w:rFonts w:hint="eastAsia" w:ascii="Times New Roman" w:hAnsi="Times New Roman" w:eastAsia="仿宋_GB2312" w:cs="Times New Roman"/>
                <w:color w:val="000000"/>
                <w:kern w:val="0"/>
                <w:sz w:val="24"/>
                <w:szCs w:val="32"/>
              </w:rPr>
              <w:t>平方米。</w:t>
            </w:r>
          </w:p>
          <w:p w14:paraId="726A2618">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敖汉旗中蒙医院门诊楼改扩建项目：</w:t>
            </w:r>
            <w:r>
              <w:rPr>
                <w:rFonts w:hint="eastAsia" w:ascii="Times New Roman" w:hAnsi="Times New Roman" w:eastAsia="仿宋_GB2312" w:cs="Times New Roman"/>
                <w:color w:val="000000"/>
                <w:kern w:val="0"/>
                <w:sz w:val="24"/>
                <w:szCs w:val="32"/>
              </w:rPr>
              <w:t>门诊病房</w:t>
            </w:r>
            <w:r>
              <w:rPr>
                <w:rFonts w:ascii="Times New Roman" w:hAnsi="Times New Roman" w:eastAsia="仿宋_GB2312" w:cs="Times New Roman"/>
                <w:color w:val="000000"/>
                <w:kern w:val="0"/>
                <w:sz w:val="24"/>
                <w:szCs w:val="32"/>
              </w:rPr>
              <w:t>10000</w:t>
            </w:r>
            <w:r>
              <w:rPr>
                <w:rFonts w:hint="eastAsia" w:ascii="Times New Roman" w:hAnsi="Times New Roman" w:eastAsia="仿宋_GB2312" w:cs="Times New Roman"/>
                <w:color w:val="000000"/>
                <w:kern w:val="0"/>
                <w:sz w:val="24"/>
                <w:szCs w:val="32"/>
              </w:rPr>
              <w:t>平方米。</w:t>
            </w:r>
          </w:p>
          <w:p w14:paraId="5729D861">
            <w:pPr>
              <w:spacing w:line="360" w:lineRule="auto"/>
              <w:ind w:firstLine="482" w:firstLineChars="200"/>
              <w:rPr>
                <w:rFonts w:ascii="Times New Roman" w:hAnsi="Times New Roman" w:eastAsia="仿宋_GB2312" w:cs="Times New Roman"/>
                <w:color w:val="000000"/>
                <w:kern w:val="0"/>
                <w:sz w:val="24"/>
                <w:szCs w:val="32"/>
              </w:rPr>
            </w:pPr>
            <w:r>
              <w:rPr>
                <w:rFonts w:hint="eastAsia" w:ascii="Times New Roman" w:hAnsi="Times New Roman" w:eastAsia="黑体" w:cs="Times New Roman"/>
                <w:b/>
                <w:bCs/>
                <w:color w:val="000000"/>
                <w:kern w:val="0"/>
                <w:sz w:val="24"/>
                <w:szCs w:val="20"/>
              </w:rPr>
              <w:t>敖汉旗妇幼保健所建设项目：</w:t>
            </w:r>
            <w:r>
              <w:rPr>
                <w:rFonts w:hint="eastAsia" w:ascii="Times New Roman" w:hAnsi="Times New Roman" w:eastAsia="仿宋_GB2312" w:cs="Times New Roman"/>
                <w:color w:val="000000"/>
                <w:kern w:val="0"/>
                <w:sz w:val="24"/>
                <w:szCs w:val="32"/>
              </w:rPr>
              <w:t>建设规模</w:t>
            </w:r>
            <w:r>
              <w:rPr>
                <w:rFonts w:ascii="Times New Roman" w:hAnsi="Times New Roman" w:eastAsia="仿宋_GB2312" w:cs="Times New Roman"/>
                <w:color w:val="000000"/>
                <w:kern w:val="0"/>
                <w:sz w:val="24"/>
                <w:szCs w:val="32"/>
              </w:rPr>
              <w:t>6000</w:t>
            </w:r>
            <w:r>
              <w:rPr>
                <w:rFonts w:hint="eastAsia" w:ascii="Times New Roman" w:hAnsi="Times New Roman" w:eastAsia="仿宋_GB2312" w:cs="Times New Roman"/>
                <w:color w:val="000000"/>
                <w:kern w:val="0"/>
                <w:sz w:val="24"/>
                <w:szCs w:val="32"/>
              </w:rPr>
              <w:t>平方米。</w:t>
            </w:r>
          </w:p>
          <w:p w14:paraId="1F207642">
            <w:pPr>
              <w:spacing w:line="360" w:lineRule="auto"/>
              <w:ind w:firstLine="482" w:firstLineChars="200"/>
              <w:rPr>
                <w:rFonts w:ascii="Times New Roman" w:hAnsi="Times New Roman" w:eastAsia="仿宋" w:cs="Times New Roman"/>
                <w:color w:val="000000"/>
                <w:kern w:val="0"/>
                <w:sz w:val="24"/>
                <w:szCs w:val="20"/>
              </w:rPr>
            </w:pPr>
            <w:r>
              <w:rPr>
                <w:rFonts w:hint="eastAsia" w:ascii="Times New Roman" w:hAnsi="Times New Roman" w:eastAsia="黑体" w:cs="Times New Roman"/>
                <w:b/>
                <w:bCs/>
                <w:color w:val="000000"/>
                <w:kern w:val="0"/>
                <w:sz w:val="24"/>
                <w:szCs w:val="20"/>
              </w:rPr>
              <w:t>敖汉旗疾控中心建设项目：</w:t>
            </w:r>
            <w:r>
              <w:rPr>
                <w:rFonts w:hint="eastAsia" w:ascii="Times New Roman" w:hAnsi="Times New Roman" w:eastAsia="仿宋_GB2312" w:cs="Times New Roman"/>
                <w:color w:val="000000"/>
                <w:kern w:val="0"/>
                <w:sz w:val="24"/>
                <w:szCs w:val="32"/>
              </w:rPr>
              <w:t>建设规模</w:t>
            </w:r>
            <w:r>
              <w:rPr>
                <w:rFonts w:ascii="Times New Roman" w:hAnsi="Times New Roman" w:eastAsia="仿宋_GB2312" w:cs="Times New Roman"/>
                <w:color w:val="000000"/>
                <w:kern w:val="0"/>
                <w:sz w:val="24"/>
                <w:szCs w:val="32"/>
              </w:rPr>
              <w:t>4000</w:t>
            </w:r>
            <w:r>
              <w:rPr>
                <w:rFonts w:hint="eastAsia" w:ascii="Times New Roman" w:hAnsi="Times New Roman" w:eastAsia="仿宋_GB2312" w:cs="Times New Roman"/>
                <w:color w:val="000000"/>
                <w:kern w:val="0"/>
                <w:sz w:val="24"/>
                <w:szCs w:val="32"/>
              </w:rPr>
              <w:t>平方米。</w:t>
            </w:r>
          </w:p>
        </w:tc>
      </w:tr>
    </w:tbl>
    <w:p w14:paraId="5898B6B6">
      <w:pPr>
        <w:pStyle w:val="2"/>
        <w:spacing w:beforeLines="100" w:afterLines="100" w:line="640" w:lineRule="exact"/>
        <w:jc w:val="center"/>
        <w:rPr>
          <w:rFonts w:eastAsia="方正小标宋简体"/>
          <w:color w:val="000000"/>
          <w:sz w:val="36"/>
          <w:szCs w:val="36"/>
        </w:rPr>
      </w:pPr>
      <w:bookmarkStart w:id="188" w:name="_Toc443390036"/>
      <w:bookmarkStart w:id="189" w:name="_Toc438543380"/>
      <w:bookmarkStart w:id="190" w:name="_Toc437823919"/>
      <w:bookmarkStart w:id="191" w:name="_Toc437819171"/>
      <w:r>
        <w:rPr>
          <w:rFonts w:hint="eastAsia" w:eastAsia="方正小标宋简体"/>
          <w:color w:val="000000"/>
          <w:sz w:val="36"/>
          <w:szCs w:val="36"/>
        </w:rPr>
        <w:t>第八章</w:t>
      </w:r>
      <w:r>
        <w:rPr>
          <w:rFonts w:eastAsia="方正小标宋简体"/>
          <w:color w:val="000000"/>
          <w:sz w:val="36"/>
          <w:szCs w:val="36"/>
        </w:rPr>
        <w:t xml:space="preserve">   </w:t>
      </w:r>
      <w:r>
        <w:rPr>
          <w:rFonts w:hint="eastAsia" w:eastAsia="方正小标宋简体"/>
          <w:color w:val="000000"/>
          <w:sz w:val="36"/>
          <w:szCs w:val="36"/>
        </w:rPr>
        <w:t>坚持党的领导，保障规划顺利实施</w:t>
      </w:r>
      <w:bookmarkEnd w:id="188"/>
      <w:bookmarkEnd w:id="189"/>
      <w:bookmarkEnd w:id="190"/>
      <w:bookmarkEnd w:id="191"/>
    </w:p>
    <w:p w14:paraId="7FC49CF6">
      <w:pPr>
        <w:spacing w:beforeLines="50" w:afterLines="50" w:line="640" w:lineRule="exact"/>
        <w:ind w:firstLine="640" w:firstLineChars="200"/>
        <w:rPr>
          <w:rFonts w:ascii="Times New Roman" w:hAnsi="Times New Roman" w:eastAsia="仿宋_GB2312" w:cs="Times New Roman"/>
          <w:color w:val="000000"/>
          <w:sz w:val="32"/>
          <w:szCs w:val="32"/>
        </w:rPr>
      </w:pPr>
      <w:bookmarkStart w:id="192" w:name="_Toc437819172"/>
      <w:bookmarkStart w:id="193" w:name="_Toc437823920"/>
      <w:r>
        <w:rPr>
          <w:rFonts w:hint="eastAsia" w:ascii="Times New Roman" w:hAnsi="Times New Roman" w:eastAsia="仿宋_GB2312" w:cs="Times New Roman"/>
          <w:color w:val="000000"/>
          <w:sz w:val="32"/>
          <w:szCs w:val="32"/>
        </w:rPr>
        <w:t>充分发挥党总揽全局、协调各方的领导核心作用，调动起全社会的积极性，全面推进依法治旗，着力建设更高水平、人民满意的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平安敖汉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，发挥好人才、投资的支撑作用，统筹规划落实机制，确保规划顺利实施。</w:t>
      </w:r>
    </w:p>
    <w:p w14:paraId="16898857">
      <w:pPr>
        <w:pStyle w:val="3"/>
        <w:spacing w:beforeLines="50" w:afterLines="50" w:line="640" w:lineRule="exact"/>
        <w:jc w:val="center"/>
        <w:rPr>
          <w:rFonts w:ascii="Times New Roman" w:hAnsi="Times New Roman" w:eastAsia="黑体"/>
          <w:color w:val="000000"/>
        </w:rPr>
      </w:pPr>
      <w:bookmarkStart w:id="194" w:name="_Toc443390037"/>
      <w:bookmarkStart w:id="195" w:name="_Toc438543381"/>
      <w:r>
        <w:rPr>
          <w:rFonts w:hint="eastAsia" w:ascii="Times New Roman" w:hAnsi="Times New Roman" w:eastAsia="黑体"/>
          <w:color w:val="000000"/>
        </w:rPr>
        <w:t>第一节</w:t>
      </w:r>
      <w:r>
        <w:rPr>
          <w:rFonts w:ascii="Times New Roman" w:hAnsi="Times New Roman" w:eastAsia="黑体"/>
          <w:color w:val="000000"/>
        </w:rPr>
        <w:t xml:space="preserve">  </w:t>
      </w:r>
      <w:r>
        <w:rPr>
          <w:rFonts w:hint="eastAsia" w:ascii="Times New Roman" w:hAnsi="Times New Roman" w:eastAsia="黑体"/>
          <w:color w:val="000000"/>
        </w:rPr>
        <w:t>提高党领导发展的能力和水平</w:t>
      </w:r>
      <w:bookmarkEnd w:id="194"/>
      <w:bookmarkEnd w:id="195"/>
    </w:p>
    <w:p w14:paraId="2A1BBAD7">
      <w:pPr>
        <w:spacing w:beforeLines="50" w:afterLines="50"/>
        <w:ind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完善党领导经济社会发展工作体制机制，强化全委会决策和监督作用。完善党委（党支部）研究经济社会发展战略、定期分析经济形势、研究重大方针政策的工作机制，健全决策咨询机制，完善信息发布制度，提高决策科学化水平。全面加强领导班子和干部队伍建设，注重选拔政治性强、懂专业、善治理、敢担当、作风正的领导干部，提高专业化水平。重视培养使用年轻干部、妇女干部、少数民族干部和党外干部。把更多精力投向基层，完善党委统一领导、组织部门牵头协调、行业系统具体指导、有关方面齐抓共管的党建工作格局，建立稳定的经费保障制度，加强基层党组织和党员队伍建设，选优配强基层党组织领导班子，创新党员学习培训与教育管理方式，提高基层党组织及广大党员领导发展的能力和水平，发挥好战斗堡垒和先锋模范作用。坚持全面从严治党、依规治党，巩固拓展党的群众路线教育实践活动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三严三实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专题教育成果，努力实现干部清正、政府清廉、政治清明。</w:t>
      </w:r>
    </w:p>
    <w:p w14:paraId="12FCAF35">
      <w:pPr>
        <w:pStyle w:val="3"/>
        <w:spacing w:beforeLines="50" w:afterLines="50" w:line="640" w:lineRule="exact"/>
        <w:jc w:val="center"/>
        <w:rPr>
          <w:rFonts w:ascii="Times New Roman" w:hAnsi="Times New Roman" w:eastAsia="黑体"/>
          <w:color w:val="000000"/>
        </w:rPr>
      </w:pPr>
      <w:bookmarkStart w:id="196" w:name="_Toc443390038"/>
      <w:bookmarkStart w:id="197" w:name="_Toc438543382"/>
      <w:r>
        <w:rPr>
          <w:rFonts w:hint="eastAsia" w:ascii="Times New Roman" w:hAnsi="Times New Roman" w:eastAsia="黑体"/>
          <w:color w:val="000000"/>
        </w:rPr>
        <w:t>第二节</w:t>
      </w:r>
      <w:r>
        <w:rPr>
          <w:rFonts w:ascii="Times New Roman" w:hAnsi="Times New Roman" w:eastAsia="黑体"/>
          <w:color w:val="000000"/>
        </w:rPr>
        <w:t xml:space="preserve">  </w:t>
      </w:r>
      <w:r>
        <w:rPr>
          <w:rFonts w:hint="eastAsia" w:ascii="Times New Roman" w:hAnsi="Times New Roman" w:eastAsia="黑体"/>
          <w:color w:val="000000"/>
        </w:rPr>
        <w:t>调动全社会积极性</w:t>
      </w:r>
      <w:bookmarkEnd w:id="192"/>
      <w:bookmarkEnd w:id="193"/>
      <w:bookmarkEnd w:id="196"/>
      <w:bookmarkEnd w:id="197"/>
    </w:p>
    <w:p w14:paraId="32EBD803">
      <w:pPr>
        <w:pStyle w:val="29"/>
        <w:spacing w:beforeLines="50" w:afterLines="50" w:line="640" w:lineRule="exact"/>
        <w:ind w:firstLine="3168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发展为了人民，发展依靠人民，发展成果由人民共享</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kern w:val="0"/>
          <w:sz w:val="32"/>
          <w:szCs w:val="32"/>
        </w:rPr>
        <w:t>充分发扬民主，</w:t>
      </w:r>
      <w:r>
        <w:rPr>
          <w:rFonts w:hint="eastAsia" w:ascii="Times New Roman" w:hAnsi="Times New Roman" w:eastAsia="仿宋_GB2312" w:cs="Times New Roman"/>
          <w:color w:val="000000"/>
          <w:sz w:val="32"/>
          <w:szCs w:val="32"/>
        </w:rPr>
        <w:t>践行</w:t>
      </w:r>
      <w:r>
        <w:rPr>
          <w:rFonts w:hint="eastAsia" w:ascii="Times New Roman" w:hAnsi="Times New Roman" w:eastAsia="仿宋_GB2312" w:cs="Times New Roman"/>
          <w:color w:val="000000"/>
          <w:kern w:val="0"/>
          <w:sz w:val="32"/>
          <w:szCs w:val="32"/>
        </w:rPr>
        <w:t>党的群众路线，提高宣传和组织群众能力，加强经济社会发展重大问题和涉及群众切身利益问题的协商，依法保障人民各项权益，</w:t>
      </w:r>
      <w:r>
        <w:rPr>
          <w:rFonts w:hint="eastAsia" w:ascii="Times New Roman" w:hAnsi="Times New Roman" w:eastAsia="仿宋_GB2312" w:cs="Times New Roman"/>
          <w:color w:val="000000"/>
          <w:sz w:val="32"/>
          <w:szCs w:val="32"/>
        </w:rPr>
        <w:t>增强群众主人翁意识，动员</w:t>
      </w:r>
      <w:r>
        <w:rPr>
          <w:rFonts w:hint="eastAsia" w:ascii="Times New Roman" w:hAnsi="Times New Roman" w:eastAsia="仿宋_GB2312" w:cs="Times New Roman"/>
          <w:color w:val="000000"/>
          <w:kern w:val="0"/>
          <w:sz w:val="32"/>
          <w:szCs w:val="32"/>
        </w:rPr>
        <w:t>各族人民</w:t>
      </w:r>
      <w:r>
        <w:rPr>
          <w:rFonts w:hint="eastAsia" w:ascii="Times New Roman" w:hAnsi="Times New Roman" w:eastAsia="仿宋_GB2312" w:cs="Times New Roman"/>
          <w:color w:val="000000"/>
          <w:sz w:val="32"/>
          <w:szCs w:val="32"/>
        </w:rPr>
        <w:t>投身到全面建成小康社会的伟大实践中来。</w:t>
      </w:r>
      <w:r>
        <w:rPr>
          <w:rFonts w:hint="eastAsia" w:ascii="Times New Roman" w:hAnsi="Times New Roman" w:eastAsia="仿宋_GB2312" w:cs="Times New Roman"/>
          <w:color w:val="000000"/>
          <w:kern w:val="0"/>
          <w:sz w:val="32"/>
          <w:szCs w:val="32"/>
        </w:rPr>
        <w:t>加强思想政治工作，创新群众工作体制机制和方式方法，发挥工会、共青团、妇联等群团组织的纽带和桥梁作用，最大限度凝聚</w:t>
      </w:r>
      <w:r>
        <w:rPr>
          <w:rFonts w:hint="eastAsia" w:ascii="Times New Roman" w:hAnsi="Times New Roman" w:eastAsia="仿宋_GB2312" w:cs="Times New Roman"/>
          <w:color w:val="000000"/>
          <w:sz w:val="32"/>
          <w:szCs w:val="32"/>
        </w:rPr>
        <w:t>全旗改革发展、维护和谐稳定的</w:t>
      </w:r>
      <w:r>
        <w:rPr>
          <w:rFonts w:hint="eastAsia" w:ascii="Times New Roman" w:hAnsi="Times New Roman" w:eastAsia="仿宋_GB2312" w:cs="Times New Roman"/>
          <w:color w:val="000000"/>
          <w:kern w:val="0"/>
          <w:sz w:val="32"/>
          <w:szCs w:val="32"/>
        </w:rPr>
        <w:t>共识和力量。</w:t>
      </w:r>
      <w:r>
        <w:rPr>
          <w:rFonts w:hint="eastAsia" w:ascii="Times New Roman" w:hAnsi="Times New Roman" w:eastAsia="仿宋_GB2312" w:cs="Times New Roman"/>
          <w:color w:val="000000"/>
          <w:sz w:val="32"/>
          <w:szCs w:val="32"/>
        </w:rPr>
        <w:t>巩固和发展最广泛的爱国统一战线，全面落实党的知识分子政策，充分发挥民主党派、工商联和无党派人士作用，促进各阶层关系和谐。</w:t>
      </w:r>
    </w:p>
    <w:p w14:paraId="07BD7670">
      <w:pPr>
        <w:pStyle w:val="3"/>
        <w:spacing w:beforeLines="50" w:afterLines="50" w:line="640" w:lineRule="exact"/>
        <w:jc w:val="center"/>
        <w:rPr>
          <w:rFonts w:ascii="Times New Roman" w:hAnsi="Times New Roman" w:eastAsia="黑体"/>
          <w:color w:val="000000"/>
        </w:rPr>
      </w:pPr>
      <w:bookmarkStart w:id="198" w:name="_Toc437819173"/>
      <w:bookmarkStart w:id="199" w:name="_Toc443390039"/>
      <w:bookmarkStart w:id="200" w:name="_Toc437823921"/>
      <w:bookmarkStart w:id="201" w:name="_Toc438543383"/>
      <w:r>
        <w:rPr>
          <w:rFonts w:hint="eastAsia" w:ascii="Times New Roman" w:hAnsi="Times New Roman" w:eastAsia="黑体"/>
          <w:color w:val="000000"/>
        </w:rPr>
        <w:t>第三节</w:t>
      </w:r>
      <w:r>
        <w:rPr>
          <w:rFonts w:ascii="Times New Roman" w:hAnsi="Times New Roman" w:eastAsia="黑体"/>
          <w:color w:val="000000"/>
        </w:rPr>
        <w:t xml:space="preserve">  </w:t>
      </w:r>
      <w:r>
        <w:rPr>
          <w:rFonts w:hint="eastAsia" w:ascii="Times New Roman" w:hAnsi="Times New Roman" w:eastAsia="黑体"/>
          <w:color w:val="000000"/>
        </w:rPr>
        <w:t>全面推进依法治旗</w:t>
      </w:r>
      <w:bookmarkEnd w:id="198"/>
      <w:bookmarkEnd w:id="199"/>
      <w:bookmarkEnd w:id="200"/>
      <w:bookmarkEnd w:id="201"/>
    </w:p>
    <w:p w14:paraId="2771BD27">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加强法治政府建设，依法全面履行政府职能，推进机构、职能、权限、程序、责任法定化。深化行政执法体制改革，坚持公正文明执法，保证公正司法，健全行政执法和刑事司法衔接机制，构建阳光司法机制。积极推进法律顾问制度，完善法律援助制度，不断扩大援助范围，做到应援尽援。全面做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七五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普法工作，抓好全民普法守法。深入开展法治宣传教育，把法治教育纳入国民教育体系和精神文明创建内容，增强全社会特别是公职人员尊法学法守法用法观念，形成良好法治氛围和法治习惯。创新社会治理体系，完善党委领导、政府负责、社会协同、公众参与的社会治理新格局，实行重大决策社会稳定风险评估机制，完善重大行政决策合法性审查制度。加强社会组织建设，引导群众自我管理、自我约束，深化城乡网格化管理，推进信访工作制度改革和信息化建设，真正把群众的诉求解决好、处理好。深入开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平安敖汉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打造网管、技防、物联网等新技术应用的立体化治安防控体系，不断增强人民群众的安全感和满意度。高度重视做好意识形态领域工作，切实维护意识形态安全。强化公共安全工作，守住公共安全底线，加大监管执法力度，突出对安全生产、道路、消防、大型聚集活动等的隐患排查和防控，坚决遏制重特大事故发生，维护人民群众生命财产安全。加强农村消防体系建设，通过政府购买服务方式，在重点乡镇设立消防站点。严密防范和严厉打击敌对势力渗透颠覆破坏活动、暴力恐怖活动、民族分裂活动、极端宗教活动，加强应急处突力量和装备建设，坚决维护国家安全。</w:t>
      </w:r>
      <w:bookmarkStart w:id="202" w:name="_Toc437819175"/>
      <w:bookmarkStart w:id="203" w:name="_Toc438543384"/>
      <w:bookmarkStart w:id="204" w:name="_Toc437823923"/>
    </w:p>
    <w:p w14:paraId="059FC7C3">
      <w:pPr>
        <w:pStyle w:val="3"/>
        <w:spacing w:beforeLines="50" w:afterLines="50" w:line="640" w:lineRule="exact"/>
        <w:jc w:val="center"/>
        <w:rPr>
          <w:rFonts w:ascii="Times New Roman" w:hAnsi="Times New Roman" w:eastAsia="黑体"/>
          <w:color w:val="000000"/>
        </w:rPr>
      </w:pPr>
      <w:bookmarkStart w:id="205" w:name="_Toc443390040"/>
      <w:r>
        <w:rPr>
          <w:rFonts w:hint="eastAsia" w:ascii="Times New Roman" w:hAnsi="Times New Roman" w:eastAsia="黑体"/>
          <w:color w:val="000000"/>
        </w:rPr>
        <w:t>第四节</w:t>
      </w:r>
      <w:r>
        <w:rPr>
          <w:rFonts w:ascii="Times New Roman" w:hAnsi="Times New Roman" w:eastAsia="黑体"/>
          <w:color w:val="000000"/>
        </w:rPr>
        <w:t xml:space="preserve">  </w:t>
      </w:r>
      <w:r>
        <w:rPr>
          <w:rFonts w:hint="eastAsia" w:ascii="Times New Roman" w:hAnsi="Times New Roman" w:eastAsia="黑体"/>
          <w:color w:val="000000"/>
        </w:rPr>
        <w:t>实施人才强旗战略</w:t>
      </w:r>
      <w:bookmarkEnd w:id="202"/>
      <w:bookmarkEnd w:id="203"/>
      <w:bookmarkEnd w:id="204"/>
      <w:bookmarkEnd w:id="205"/>
    </w:p>
    <w:p w14:paraId="16F437AB">
      <w:pPr>
        <w:shd w:val="clear" w:color="auto" w:fill="FFFFFF"/>
        <w:spacing w:beforeLines="50" w:afterLines="50"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不断完善人才工作管理机制、培养开发机制、引进机制、市场配置机制和人才激励保障机制，创造有利于人才充分发挥作用的环境和氛围。设立</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新州人才</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专项发展基金，坚持自主培育和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引进来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相结合的方式，以新兴特色产业为重点，制定实施高层次人才和紧缺人才引进规划，探索团队引进、核心人才带动引进、高新技术项目开发引进等新方式，加大人才引进力度，重点引进涉农部门、城市建设、文化旅游等方面高层次人才和紧缺人才</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人以上，采取特聘专家制度、短期聘用、技术合作、人才租赁等方式，形成科学、合理、灵活的人才柔性引进和流动机制。加大教育培训力度，稳定和用好现有人才，重点培育本土创业创新型企业家。着力加强党政管理人才、企业经营人才、专业技术人才和技能人才队伍建设。深化人事制度改革，优化人才配置，提升人才保障能力。到</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年，全旗人才资源总量达到</w:t>
      </w:r>
      <w:r>
        <w:rPr>
          <w:rFonts w:ascii="Times New Roman" w:hAnsi="Times New Roman" w:eastAsia="仿宋_GB2312" w:cs="Times New Roman"/>
          <w:color w:val="000000"/>
          <w:sz w:val="32"/>
          <w:szCs w:val="32"/>
        </w:rPr>
        <w:t>40000</w:t>
      </w:r>
      <w:r>
        <w:rPr>
          <w:rFonts w:hint="eastAsia" w:ascii="Times New Roman" w:hAnsi="Times New Roman" w:eastAsia="仿宋_GB2312" w:cs="Times New Roman"/>
          <w:color w:val="000000"/>
          <w:sz w:val="32"/>
          <w:szCs w:val="32"/>
        </w:rPr>
        <w:t>人以上，其中专业技术人才总量达到</w:t>
      </w:r>
      <w:r>
        <w:rPr>
          <w:rFonts w:ascii="Times New Roman" w:hAnsi="Times New Roman" w:eastAsia="仿宋_GB2312" w:cs="Times New Roman"/>
          <w:color w:val="000000"/>
          <w:sz w:val="32"/>
          <w:szCs w:val="32"/>
        </w:rPr>
        <w:t>10000</w:t>
      </w:r>
      <w:r>
        <w:rPr>
          <w:rFonts w:hint="eastAsia" w:ascii="Times New Roman" w:hAnsi="Times New Roman" w:eastAsia="仿宋_GB2312" w:cs="Times New Roman"/>
          <w:color w:val="000000"/>
          <w:sz w:val="32"/>
          <w:szCs w:val="32"/>
        </w:rPr>
        <w:t>人以上，高技能人才总量达到</w:t>
      </w:r>
      <w:r>
        <w:rPr>
          <w:rFonts w:ascii="Times New Roman" w:hAnsi="Times New Roman" w:eastAsia="仿宋_GB2312" w:cs="Times New Roman"/>
          <w:color w:val="000000"/>
          <w:sz w:val="32"/>
          <w:szCs w:val="32"/>
        </w:rPr>
        <w:t>3000</w:t>
      </w:r>
      <w:r>
        <w:rPr>
          <w:rFonts w:hint="eastAsia" w:ascii="Times New Roman" w:hAnsi="Times New Roman" w:eastAsia="仿宋_GB2312" w:cs="Times New Roman"/>
          <w:color w:val="000000"/>
          <w:sz w:val="32"/>
          <w:szCs w:val="32"/>
        </w:rPr>
        <w:t>人以上，推动我旗由人口大旗向人力资源强旗转变。</w:t>
      </w:r>
    </w:p>
    <w:p w14:paraId="38934540">
      <w:pPr>
        <w:pStyle w:val="3"/>
        <w:spacing w:beforeLines="50" w:afterLines="50" w:line="640" w:lineRule="exact"/>
        <w:jc w:val="center"/>
        <w:rPr>
          <w:rFonts w:ascii="Times New Roman" w:hAnsi="Times New Roman" w:eastAsia="黑体"/>
          <w:color w:val="000000"/>
        </w:rPr>
      </w:pPr>
      <w:bookmarkStart w:id="206" w:name="_Toc437819176"/>
      <w:bookmarkStart w:id="207" w:name="_Toc443390041"/>
      <w:bookmarkStart w:id="208" w:name="_Toc438543385"/>
      <w:bookmarkStart w:id="209" w:name="_Toc437823924"/>
      <w:r>
        <w:rPr>
          <w:rFonts w:hint="eastAsia" w:ascii="Times New Roman" w:hAnsi="Times New Roman" w:eastAsia="黑体"/>
          <w:color w:val="000000"/>
        </w:rPr>
        <w:t>第五节</w:t>
      </w:r>
      <w:r>
        <w:rPr>
          <w:rFonts w:ascii="Times New Roman" w:hAnsi="Times New Roman" w:eastAsia="黑体"/>
          <w:color w:val="000000"/>
        </w:rPr>
        <w:t xml:space="preserve">  </w:t>
      </w:r>
      <w:r>
        <w:rPr>
          <w:rFonts w:hint="eastAsia" w:ascii="Times New Roman" w:hAnsi="Times New Roman" w:eastAsia="黑体"/>
          <w:color w:val="000000"/>
        </w:rPr>
        <w:t>加大资金保障力度</w:t>
      </w:r>
      <w:bookmarkEnd w:id="206"/>
      <w:bookmarkEnd w:id="207"/>
      <w:bookmarkEnd w:id="208"/>
      <w:bookmarkEnd w:id="209"/>
    </w:p>
    <w:p w14:paraId="508BF1FF">
      <w:pPr>
        <w:shd w:val="clear" w:color="auto" w:fill="FFFFFF"/>
        <w:spacing w:beforeLines="50" w:afterLines="50" w:line="640" w:lineRule="exact"/>
        <w:ind w:firstLine="640" w:firstLineChars="200"/>
        <w:rPr>
          <w:rFonts w:ascii="Times New Roman" w:hAnsi="Times New Roman" w:eastAsia="黑体" w:cs="Times New Roman"/>
          <w:b/>
          <w:color w:val="000000"/>
          <w:sz w:val="32"/>
          <w:szCs w:val="32"/>
        </w:rPr>
      </w:pPr>
      <w:r>
        <w:rPr>
          <w:rFonts w:hint="eastAsia" w:ascii="Times New Roman" w:hAnsi="Times New Roman" w:eastAsia="仿宋_GB2312" w:cs="Times New Roman"/>
          <w:color w:val="000000"/>
          <w:sz w:val="32"/>
          <w:szCs w:val="32"/>
        </w:rPr>
        <w:t>坚持财政、金融、引资、民资共同发力，推进投资主体多元。加大财政资金对产业投入力度，实现主导产业发展基金全覆盖。深化投融资体制改革，推进政府与社会资本合作，扩大金融投资规模，支持企业依法直接融资，放宽民间投资准入，全方位激活投资市场。优化投资结构，提高投资效率，以投资结构优化拉动经济调整转型。坚持把投资落实到项目，继续突出重大项目在经济社会发展中的载体作用，重点围绕民生事业、基础设施、新兴产业、生态环保等重点领域，集中实施一批基础性、关键性、引领性项目，积极争取我旗更多项目纳入全市、全区层面，支撑我旗未来经济社会发展。</w:t>
      </w:r>
      <w:bookmarkStart w:id="210" w:name="_Toc437819177"/>
      <w:bookmarkStart w:id="211" w:name="_Toc437823925"/>
      <w:bookmarkStart w:id="212" w:name="_Toc438543386"/>
    </w:p>
    <w:p w14:paraId="344D0E28">
      <w:pPr>
        <w:pStyle w:val="3"/>
        <w:spacing w:beforeLines="50" w:afterLines="50" w:line="640" w:lineRule="exact"/>
        <w:jc w:val="center"/>
        <w:rPr>
          <w:rFonts w:ascii="Times New Roman" w:hAnsi="Times New Roman" w:eastAsia="黑体"/>
          <w:color w:val="000000"/>
        </w:rPr>
      </w:pPr>
      <w:bookmarkStart w:id="213" w:name="_Toc443390042"/>
      <w:r>
        <w:rPr>
          <w:rFonts w:hint="eastAsia" w:ascii="Times New Roman" w:hAnsi="Times New Roman" w:eastAsia="黑体"/>
          <w:color w:val="000000"/>
        </w:rPr>
        <w:t>第六节</w:t>
      </w:r>
      <w:r>
        <w:rPr>
          <w:rFonts w:ascii="Times New Roman" w:hAnsi="Times New Roman" w:eastAsia="黑体"/>
          <w:color w:val="000000"/>
        </w:rPr>
        <w:t xml:space="preserve">  </w:t>
      </w:r>
      <w:r>
        <w:rPr>
          <w:rFonts w:hint="eastAsia" w:ascii="Times New Roman" w:hAnsi="Times New Roman" w:eastAsia="黑体"/>
          <w:color w:val="000000"/>
        </w:rPr>
        <w:t>完善规划实施机制</w:t>
      </w:r>
      <w:bookmarkEnd w:id="210"/>
      <w:bookmarkEnd w:id="211"/>
      <w:bookmarkEnd w:id="212"/>
      <w:bookmarkEnd w:id="213"/>
    </w:p>
    <w:p w14:paraId="5A2DDDE5">
      <w:pPr>
        <w:shd w:val="clear" w:color="auto" w:fill="FFFFFF"/>
        <w:spacing w:before="50" w:after="50"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规划纲要是指导我旗经济社会发展的纲领性文件，是制定其它各类专项规划、年度计划的重要依据。各部门、街道、乡镇苏木办事处要将纲要的任务分解到本单位本部门发展规划、专项规划和年度计划中，明确目标，落实责任，加强问责，确保规划目标的实现。</w:t>
      </w:r>
    </w:p>
    <w:p w14:paraId="3253D8C9">
      <w:pPr>
        <w:shd w:val="clear" w:color="auto" w:fill="FFFFFF"/>
        <w:spacing w:line="640" w:lineRule="exact"/>
        <w:ind w:firstLine="640" w:firstLineChars="200"/>
        <w:rPr>
          <w:rFonts w:ascii="Times New Roman" w:hAnsi="Times New Roman" w:eastAsia="仿宋_GB2312" w:cs="Times New Roman"/>
          <w:color w:val="000000"/>
          <w:sz w:val="32"/>
          <w:szCs w:val="32"/>
        </w:rPr>
      </w:pPr>
    </w:p>
    <w:p w14:paraId="793E9E7E">
      <w:pPr>
        <w:shd w:val="clear" w:color="auto" w:fill="FFFFFF"/>
        <w:spacing w:line="6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实现</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十三五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规划发展目标，使命光荣，责任重大。全旗广大干部职工和各族群众要在旗委旗政府的领导下，万众一心，团结拼搏，为夺取同步全面建成小康社会决胜阶段伟大胜利、加快打造</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美丽敖汉、富裕敖汉、平安敖汉、幸福敖汉</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而努力奋斗！</w:t>
      </w:r>
    </w:p>
    <w:p w14:paraId="403F464E">
      <w:pPr>
        <w:pStyle w:val="2"/>
        <w:spacing w:beforeLines="100" w:afterLines="100" w:line="640" w:lineRule="exact"/>
        <w:jc w:val="left"/>
        <w:rPr>
          <w:rFonts w:eastAsia="方正小标宋简体"/>
          <w:color w:val="000000"/>
          <w:sz w:val="28"/>
          <w:szCs w:val="36"/>
        </w:rPr>
      </w:pPr>
      <w:r>
        <w:rPr>
          <w:rFonts w:eastAsia="仿宋_GB2312"/>
          <w:color w:val="000000"/>
          <w:sz w:val="32"/>
          <w:szCs w:val="32"/>
        </w:rPr>
        <w:br w:type="page"/>
      </w:r>
      <w:bookmarkStart w:id="214" w:name="_Toc443390043"/>
      <w:r>
        <w:rPr>
          <w:rFonts w:hint="eastAsia" w:eastAsia="方正小标宋简体"/>
          <w:color w:val="000000"/>
          <w:sz w:val="36"/>
          <w:szCs w:val="36"/>
        </w:rPr>
        <w:t>附件</w:t>
      </w:r>
      <w:r>
        <w:rPr>
          <w:rFonts w:eastAsia="方正小标宋简体"/>
          <w:color w:val="000000"/>
          <w:sz w:val="36"/>
          <w:szCs w:val="36"/>
        </w:rPr>
        <w:t>1</w:t>
      </w:r>
      <w:bookmarkEnd w:id="214"/>
      <w:r>
        <w:rPr>
          <w:rFonts w:eastAsia="方正小标宋简体"/>
          <w:color w:val="000000"/>
          <w:sz w:val="36"/>
          <w:szCs w:val="36"/>
        </w:rPr>
        <w:t xml:space="preserve">     </w:t>
      </w:r>
      <w:r>
        <w:rPr>
          <w:rFonts w:eastAsia="方正小标宋简体"/>
          <w:color w:val="000000"/>
          <w:sz w:val="28"/>
          <w:szCs w:val="36"/>
        </w:rPr>
        <w:t xml:space="preserve">        </w:t>
      </w:r>
    </w:p>
    <w:p w14:paraId="1E86806A">
      <w:pPr>
        <w:spacing w:line="480" w:lineRule="exact"/>
        <w:jc w:val="center"/>
        <w:rPr>
          <w:rFonts w:ascii="Times New Roman" w:hAnsi="Times New Roman" w:eastAsia="黑体" w:cs="Times New Roman"/>
          <w:color w:val="000000"/>
          <w:sz w:val="28"/>
          <w:szCs w:val="32"/>
        </w:rPr>
      </w:pPr>
      <w:r>
        <w:rPr>
          <w:rFonts w:ascii="Times New Roman" w:hAnsi="Times New Roman" w:eastAsia="黑体" w:cs="Times New Roman"/>
          <w:color w:val="000000"/>
          <w:sz w:val="28"/>
          <w:szCs w:val="32"/>
        </w:rPr>
        <w:t>“</w:t>
      </w:r>
      <w:r>
        <w:rPr>
          <w:rFonts w:hint="eastAsia" w:ascii="Times New Roman" w:hAnsi="Times New Roman" w:eastAsia="黑体" w:cs="Times New Roman"/>
          <w:color w:val="000000"/>
          <w:sz w:val="28"/>
          <w:szCs w:val="32"/>
        </w:rPr>
        <w:t>十三五</w:t>
      </w:r>
      <w:r>
        <w:rPr>
          <w:rFonts w:ascii="Times New Roman" w:hAnsi="Times New Roman" w:eastAsia="黑体" w:cs="Times New Roman"/>
          <w:color w:val="000000"/>
          <w:sz w:val="28"/>
          <w:szCs w:val="32"/>
        </w:rPr>
        <w:t>”</w:t>
      </w:r>
      <w:r>
        <w:rPr>
          <w:rFonts w:hint="eastAsia" w:ascii="Times New Roman" w:hAnsi="Times New Roman" w:eastAsia="黑体" w:cs="Times New Roman"/>
          <w:color w:val="000000"/>
          <w:sz w:val="28"/>
          <w:szCs w:val="32"/>
        </w:rPr>
        <w:t>规划主要指标</w:t>
      </w:r>
    </w:p>
    <w:tbl>
      <w:tblPr>
        <w:tblStyle w:val="18"/>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279"/>
        <w:gridCol w:w="1279"/>
        <w:gridCol w:w="760"/>
        <w:gridCol w:w="1622"/>
        <w:gridCol w:w="1655"/>
        <w:gridCol w:w="1774"/>
      </w:tblGrid>
      <w:tr w14:paraId="3451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Align w:val="center"/>
          </w:tcPr>
          <w:p w14:paraId="7C77ED12">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类别</w:t>
            </w:r>
          </w:p>
        </w:tc>
        <w:tc>
          <w:tcPr>
            <w:tcW w:w="2558" w:type="dxa"/>
            <w:gridSpan w:val="2"/>
            <w:vAlign w:val="center"/>
          </w:tcPr>
          <w:p w14:paraId="0B037EDB">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指标名称</w:t>
            </w:r>
          </w:p>
        </w:tc>
        <w:tc>
          <w:tcPr>
            <w:tcW w:w="760" w:type="dxa"/>
            <w:vAlign w:val="center"/>
          </w:tcPr>
          <w:p w14:paraId="053BF122">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单位</w:t>
            </w:r>
          </w:p>
        </w:tc>
        <w:tc>
          <w:tcPr>
            <w:tcW w:w="1622" w:type="dxa"/>
            <w:vAlign w:val="center"/>
          </w:tcPr>
          <w:p w14:paraId="0E9BC453">
            <w:pPr>
              <w:widowControl/>
              <w:spacing w:line="24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w:t>
            </w:r>
            <w:r>
              <w:rPr>
                <w:rFonts w:hint="eastAsia" w:ascii="Times New Roman" w:hAnsi="Times New Roman" w:cs="Times New Roman"/>
                <w:b/>
                <w:bCs/>
                <w:color w:val="000000"/>
                <w:kern w:val="0"/>
                <w:sz w:val="20"/>
                <w:szCs w:val="20"/>
              </w:rPr>
              <w:t>十二五</w:t>
            </w:r>
            <w:r>
              <w:rPr>
                <w:rFonts w:ascii="Times New Roman" w:hAnsi="Times New Roman" w:cs="Times New Roman"/>
                <w:b/>
                <w:bCs/>
                <w:color w:val="000000"/>
                <w:kern w:val="0"/>
                <w:sz w:val="20"/>
                <w:szCs w:val="20"/>
              </w:rPr>
              <w:t>”</w:t>
            </w:r>
            <w:r>
              <w:rPr>
                <w:rFonts w:hint="eastAsia" w:ascii="Times New Roman" w:hAnsi="Times New Roman" w:cs="Times New Roman"/>
                <w:b/>
                <w:bCs/>
                <w:color w:val="000000"/>
                <w:kern w:val="0"/>
                <w:sz w:val="20"/>
                <w:szCs w:val="20"/>
              </w:rPr>
              <w:t>期末</w:t>
            </w:r>
          </w:p>
          <w:p w14:paraId="38512EEF">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值</w:t>
            </w:r>
          </w:p>
        </w:tc>
        <w:tc>
          <w:tcPr>
            <w:tcW w:w="1655" w:type="dxa"/>
            <w:vAlign w:val="center"/>
          </w:tcPr>
          <w:p w14:paraId="7132E8DE">
            <w:pPr>
              <w:widowControl/>
              <w:spacing w:line="240" w:lineRule="exact"/>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w:t>
            </w:r>
            <w:r>
              <w:rPr>
                <w:rFonts w:hint="eastAsia" w:ascii="Times New Roman" w:hAnsi="Times New Roman" w:cs="Times New Roman"/>
                <w:b/>
                <w:bCs/>
                <w:color w:val="000000"/>
                <w:kern w:val="0"/>
                <w:sz w:val="20"/>
                <w:szCs w:val="20"/>
              </w:rPr>
              <w:t>十三五</w:t>
            </w:r>
            <w:r>
              <w:rPr>
                <w:rFonts w:ascii="Times New Roman" w:hAnsi="Times New Roman" w:cs="Times New Roman"/>
                <w:b/>
                <w:bCs/>
                <w:color w:val="000000"/>
                <w:kern w:val="0"/>
                <w:sz w:val="20"/>
                <w:szCs w:val="20"/>
              </w:rPr>
              <w:t>”</w:t>
            </w:r>
            <w:r>
              <w:rPr>
                <w:rFonts w:hint="eastAsia" w:ascii="Times New Roman" w:hAnsi="Times New Roman" w:cs="Times New Roman"/>
                <w:b/>
                <w:bCs/>
                <w:color w:val="000000"/>
                <w:kern w:val="0"/>
                <w:sz w:val="20"/>
                <w:szCs w:val="20"/>
              </w:rPr>
              <w:t>期末</w:t>
            </w:r>
          </w:p>
          <w:p w14:paraId="208BEB00">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目标值</w:t>
            </w:r>
          </w:p>
        </w:tc>
        <w:tc>
          <w:tcPr>
            <w:tcW w:w="1774" w:type="dxa"/>
            <w:vAlign w:val="center"/>
          </w:tcPr>
          <w:p w14:paraId="421A843B">
            <w:pPr>
              <w:widowControl/>
              <w:spacing w:line="240" w:lineRule="exact"/>
              <w:jc w:val="center"/>
              <w:rPr>
                <w:rFonts w:ascii="Times New Roman" w:hAnsi="Times New Roman" w:cs="Times New Roman"/>
                <w:b/>
                <w:bCs/>
                <w:color w:val="000000"/>
                <w:kern w:val="0"/>
                <w:sz w:val="20"/>
                <w:szCs w:val="20"/>
              </w:rPr>
            </w:pPr>
            <w:r>
              <w:rPr>
                <w:rFonts w:hint="eastAsia" w:ascii="Times New Roman" w:hAnsi="Times New Roman" w:cs="Times New Roman"/>
                <w:b/>
                <w:bCs/>
                <w:color w:val="000000"/>
                <w:kern w:val="0"/>
                <w:sz w:val="20"/>
                <w:szCs w:val="20"/>
              </w:rPr>
              <w:t>年均增速或提高（</w:t>
            </w:r>
            <w:r>
              <w:rPr>
                <w:rFonts w:ascii="Times New Roman" w:hAnsi="Times New Roman" w:cs="Times New Roman"/>
                <w:b/>
                <w:bCs/>
                <w:color w:val="000000"/>
                <w:kern w:val="0"/>
                <w:sz w:val="20"/>
                <w:szCs w:val="20"/>
              </w:rPr>
              <w:t>%</w:t>
            </w:r>
            <w:r>
              <w:rPr>
                <w:rFonts w:hint="eastAsia" w:ascii="Times New Roman" w:hAnsi="Times New Roman" w:cs="Times New Roman"/>
                <w:b/>
                <w:bCs/>
                <w:color w:val="000000"/>
                <w:kern w:val="0"/>
                <w:sz w:val="20"/>
                <w:szCs w:val="20"/>
              </w:rPr>
              <w:t>）</w:t>
            </w:r>
          </w:p>
        </w:tc>
      </w:tr>
      <w:tr w14:paraId="77E9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restart"/>
            <w:textDirection w:val="tbRlV"/>
          </w:tcPr>
          <w:p w14:paraId="5B208A9D">
            <w:pPr>
              <w:ind w:left="113" w:right="113"/>
              <w:jc w:val="center"/>
              <w:rPr>
                <w:rFonts w:ascii="Times New Roman" w:hAnsi="Times New Roman" w:cs="Times New Roman"/>
                <w:color w:val="000000"/>
              </w:rPr>
            </w:pPr>
            <w:r>
              <w:rPr>
                <w:rFonts w:hint="eastAsia" w:ascii="Times New Roman" w:hAnsi="Times New Roman" w:cs="Times New Roman"/>
                <w:color w:val="000000"/>
              </w:rPr>
              <w:t>经济发展</w:t>
            </w:r>
          </w:p>
        </w:tc>
        <w:tc>
          <w:tcPr>
            <w:tcW w:w="2558" w:type="dxa"/>
            <w:gridSpan w:val="2"/>
            <w:vAlign w:val="center"/>
          </w:tcPr>
          <w:p w14:paraId="569178BA">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地区生产总值</w:t>
            </w:r>
          </w:p>
        </w:tc>
        <w:tc>
          <w:tcPr>
            <w:tcW w:w="760" w:type="dxa"/>
            <w:vAlign w:val="center"/>
          </w:tcPr>
          <w:p w14:paraId="623B3451">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2D1B8BB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164</w:t>
            </w:r>
          </w:p>
        </w:tc>
        <w:tc>
          <w:tcPr>
            <w:tcW w:w="1655" w:type="dxa"/>
            <w:vAlign w:val="center"/>
          </w:tcPr>
          <w:p w14:paraId="0A75C9DC">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252.3</w:t>
            </w:r>
          </w:p>
        </w:tc>
        <w:tc>
          <w:tcPr>
            <w:tcW w:w="1774" w:type="dxa"/>
            <w:vAlign w:val="center"/>
          </w:tcPr>
          <w:p w14:paraId="2A93C9BC">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w:t>
            </w:r>
          </w:p>
        </w:tc>
      </w:tr>
      <w:tr w14:paraId="4C31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E384ABC">
            <w:pPr>
              <w:rPr>
                <w:rFonts w:ascii="Times New Roman" w:hAnsi="Times New Roman" w:cs="Times New Roman"/>
                <w:color w:val="000000"/>
              </w:rPr>
            </w:pPr>
          </w:p>
        </w:tc>
        <w:tc>
          <w:tcPr>
            <w:tcW w:w="2558" w:type="dxa"/>
            <w:gridSpan w:val="2"/>
            <w:vAlign w:val="center"/>
          </w:tcPr>
          <w:p w14:paraId="7EE07A65">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第一产业</w:t>
            </w:r>
          </w:p>
        </w:tc>
        <w:tc>
          <w:tcPr>
            <w:tcW w:w="760" w:type="dxa"/>
            <w:vAlign w:val="center"/>
          </w:tcPr>
          <w:p w14:paraId="649E1A6E">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1EA1B89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w:t>
            </w:r>
          </w:p>
        </w:tc>
        <w:tc>
          <w:tcPr>
            <w:tcW w:w="1655" w:type="dxa"/>
            <w:vAlign w:val="center"/>
          </w:tcPr>
          <w:p w14:paraId="0E4773F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55.4</w:t>
            </w:r>
          </w:p>
        </w:tc>
        <w:tc>
          <w:tcPr>
            <w:tcW w:w="1774" w:type="dxa"/>
            <w:vAlign w:val="center"/>
          </w:tcPr>
          <w:p w14:paraId="29282AD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w:t>
            </w:r>
          </w:p>
        </w:tc>
      </w:tr>
      <w:tr w14:paraId="5D549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6ACB3179">
            <w:pPr>
              <w:rPr>
                <w:rFonts w:ascii="Times New Roman" w:hAnsi="Times New Roman" w:cs="Times New Roman"/>
                <w:color w:val="000000"/>
              </w:rPr>
            </w:pPr>
          </w:p>
        </w:tc>
        <w:tc>
          <w:tcPr>
            <w:tcW w:w="2558" w:type="dxa"/>
            <w:gridSpan w:val="2"/>
            <w:vAlign w:val="center"/>
          </w:tcPr>
          <w:p w14:paraId="62C1131A">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第二产业</w:t>
            </w:r>
          </w:p>
        </w:tc>
        <w:tc>
          <w:tcPr>
            <w:tcW w:w="760" w:type="dxa"/>
            <w:vAlign w:val="center"/>
          </w:tcPr>
          <w:p w14:paraId="66B6FC2A">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5FB17F9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w:t>
            </w:r>
          </w:p>
        </w:tc>
        <w:tc>
          <w:tcPr>
            <w:tcW w:w="1655" w:type="dxa"/>
            <w:vAlign w:val="center"/>
          </w:tcPr>
          <w:p w14:paraId="27DC032D">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104.8</w:t>
            </w:r>
          </w:p>
        </w:tc>
        <w:tc>
          <w:tcPr>
            <w:tcW w:w="1774" w:type="dxa"/>
            <w:vAlign w:val="center"/>
          </w:tcPr>
          <w:p w14:paraId="176A3DE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w:t>
            </w:r>
          </w:p>
        </w:tc>
      </w:tr>
      <w:tr w14:paraId="680D5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715C3D39">
            <w:pPr>
              <w:rPr>
                <w:rFonts w:ascii="Times New Roman" w:hAnsi="Times New Roman" w:cs="Times New Roman"/>
                <w:color w:val="000000"/>
              </w:rPr>
            </w:pPr>
          </w:p>
        </w:tc>
        <w:tc>
          <w:tcPr>
            <w:tcW w:w="2558" w:type="dxa"/>
            <w:gridSpan w:val="2"/>
            <w:vAlign w:val="center"/>
          </w:tcPr>
          <w:p w14:paraId="0DA88DC7">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第三产业</w:t>
            </w:r>
          </w:p>
        </w:tc>
        <w:tc>
          <w:tcPr>
            <w:tcW w:w="760" w:type="dxa"/>
            <w:vAlign w:val="center"/>
          </w:tcPr>
          <w:p w14:paraId="2A980013">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67C0B8C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w:t>
            </w:r>
          </w:p>
        </w:tc>
        <w:tc>
          <w:tcPr>
            <w:tcW w:w="1655" w:type="dxa"/>
            <w:vAlign w:val="center"/>
          </w:tcPr>
          <w:p w14:paraId="271A2EE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92.1</w:t>
            </w:r>
          </w:p>
        </w:tc>
        <w:tc>
          <w:tcPr>
            <w:tcW w:w="1774" w:type="dxa"/>
            <w:vAlign w:val="center"/>
          </w:tcPr>
          <w:p w14:paraId="654760E8">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11.7</w:t>
            </w:r>
          </w:p>
        </w:tc>
      </w:tr>
      <w:tr w14:paraId="6E73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14A122F">
            <w:pPr>
              <w:rPr>
                <w:rFonts w:ascii="Times New Roman" w:hAnsi="Times New Roman" w:cs="Times New Roman"/>
                <w:color w:val="000000"/>
              </w:rPr>
            </w:pPr>
          </w:p>
        </w:tc>
        <w:tc>
          <w:tcPr>
            <w:tcW w:w="2558" w:type="dxa"/>
            <w:gridSpan w:val="2"/>
            <w:vAlign w:val="center"/>
          </w:tcPr>
          <w:p w14:paraId="2C8B0F5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500</w:t>
            </w:r>
            <w:r>
              <w:rPr>
                <w:rFonts w:hint="eastAsia" w:ascii="Times New Roman" w:hAnsi="Times New Roman" w:cs="Times New Roman"/>
                <w:color w:val="000000"/>
                <w:kern w:val="0"/>
                <w:sz w:val="20"/>
                <w:szCs w:val="20"/>
              </w:rPr>
              <w:t>万以上项目固定资产投资</w:t>
            </w:r>
          </w:p>
        </w:tc>
        <w:tc>
          <w:tcPr>
            <w:tcW w:w="760" w:type="dxa"/>
            <w:vAlign w:val="center"/>
          </w:tcPr>
          <w:p w14:paraId="5BBC3078">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13D038A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108.3</w:t>
            </w:r>
          </w:p>
        </w:tc>
        <w:tc>
          <w:tcPr>
            <w:tcW w:w="1655" w:type="dxa"/>
            <w:vAlign w:val="center"/>
          </w:tcPr>
          <w:p w14:paraId="06AEA39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208.5</w:t>
            </w:r>
          </w:p>
        </w:tc>
        <w:tc>
          <w:tcPr>
            <w:tcW w:w="1774" w:type="dxa"/>
            <w:vAlign w:val="center"/>
          </w:tcPr>
          <w:p w14:paraId="433D543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w:t>
            </w:r>
          </w:p>
        </w:tc>
      </w:tr>
      <w:tr w14:paraId="535A0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91EB51B">
            <w:pPr>
              <w:rPr>
                <w:rFonts w:ascii="Times New Roman" w:hAnsi="Times New Roman" w:cs="Times New Roman"/>
                <w:color w:val="000000"/>
              </w:rPr>
            </w:pPr>
          </w:p>
        </w:tc>
        <w:tc>
          <w:tcPr>
            <w:tcW w:w="2558" w:type="dxa"/>
            <w:gridSpan w:val="2"/>
            <w:vAlign w:val="center"/>
          </w:tcPr>
          <w:p w14:paraId="7D828213">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公共财政预算收入</w:t>
            </w:r>
          </w:p>
        </w:tc>
        <w:tc>
          <w:tcPr>
            <w:tcW w:w="760" w:type="dxa"/>
            <w:vAlign w:val="center"/>
          </w:tcPr>
          <w:p w14:paraId="1181CF0E">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7D45069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5.58</w:t>
            </w:r>
          </w:p>
        </w:tc>
        <w:tc>
          <w:tcPr>
            <w:tcW w:w="1655" w:type="dxa"/>
            <w:vAlign w:val="center"/>
          </w:tcPr>
          <w:p w14:paraId="4D8CF8F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w:t>
            </w:r>
          </w:p>
        </w:tc>
        <w:tc>
          <w:tcPr>
            <w:tcW w:w="1774" w:type="dxa"/>
            <w:vAlign w:val="center"/>
          </w:tcPr>
          <w:p w14:paraId="7647BC57">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14:paraId="0FF8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516B3FED">
            <w:pPr>
              <w:rPr>
                <w:rFonts w:ascii="Times New Roman" w:hAnsi="Times New Roman" w:cs="Times New Roman"/>
                <w:color w:val="000000"/>
              </w:rPr>
            </w:pPr>
          </w:p>
        </w:tc>
        <w:tc>
          <w:tcPr>
            <w:tcW w:w="2558" w:type="dxa"/>
            <w:gridSpan w:val="2"/>
            <w:vAlign w:val="center"/>
          </w:tcPr>
          <w:p w14:paraId="7C6A867E">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社会消费品零售总额</w:t>
            </w:r>
          </w:p>
        </w:tc>
        <w:tc>
          <w:tcPr>
            <w:tcW w:w="760" w:type="dxa"/>
            <w:vAlign w:val="center"/>
          </w:tcPr>
          <w:p w14:paraId="0FB4FCD9">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亿元</w:t>
            </w:r>
          </w:p>
        </w:tc>
        <w:tc>
          <w:tcPr>
            <w:tcW w:w="1622" w:type="dxa"/>
            <w:vAlign w:val="center"/>
          </w:tcPr>
          <w:p w14:paraId="3A81476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42.6</w:t>
            </w:r>
          </w:p>
        </w:tc>
        <w:tc>
          <w:tcPr>
            <w:tcW w:w="1655" w:type="dxa"/>
            <w:vAlign w:val="center"/>
          </w:tcPr>
          <w:p w14:paraId="5380BA78">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75.1</w:t>
            </w:r>
          </w:p>
        </w:tc>
        <w:tc>
          <w:tcPr>
            <w:tcW w:w="1774" w:type="dxa"/>
            <w:vAlign w:val="center"/>
          </w:tcPr>
          <w:p w14:paraId="26F15262">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14:paraId="6D26F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43AA88C6">
            <w:pPr>
              <w:rPr>
                <w:rFonts w:ascii="Times New Roman" w:hAnsi="Times New Roman" w:cs="Times New Roman"/>
                <w:color w:val="000000"/>
              </w:rPr>
            </w:pPr>
          </w:p>
        </w:tc>
        <w:tc>
          <w:tcPr>
            <w:tcW w:w="2558" w:type="dxa"/>
            <w:gridSpan w:val="2"/>
            <w:vAlign w:val="center"/>
          </w:tcPr>
          <w:p w14:paraId="510A00D7">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三次产业比例</w:t>
            </w:r>
          </w:p>
        </w:tc>
        <w:tc>
          <w:tcPr>
            <w:tcW w:w="760" w:type="dxa"/>
            <w:vAlign w:val="center"/>
          </w:tcPr>
          <w:p w14:paraId="1C72F7E8">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　</w:t>
            </w:r>
          </w:p>
        </w:tc>
        <w:tc>
          <w:tcPr>
            <w:tcW w:w="1622" w:type="dxa"/>
            <w:vAlign w:val="center"/>
          </w:tcPr>
          <w:p w14:paraId="362A6E08">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sz w:val="20"/>
                <w:szCs w:val="20"/>
              </w:rPr>
              <w:t>25</w:t>
            </w:r>
            <w:r>
              <w:rPr>
                <w:rFonts w:hint="eastAsia" w:ascii="Times New Roman" w:hAnsi="Times New Roman" w:cs="Times New Roman"/>
                <w:color w:val="000000"/>
                <w:sz w:val="20"/>
                <w:szCs w:val="20"/>
              </w:rPr>
              <w:t>：</w:t>
            </w:r>
            <w:r>
              <w:rPr>
                <w:rFonts w:ascii="Times New Roman" w:hAnsi="Times New Roman" w:cs="Times New Roman"/>
                <w:color w:val="000000"/>
                <w:sz w:val="20"/>
                <w:szCs w:val="20"/>
              </w:rPr>
              <w:t>42.7</w:t>
            </w:r>
            <w:r>
              <w:rPr>
                <w:rFonts w:hint="eastAsia" w:ascii="Times New Roman" w:hAnsi="Times New Roman" w:cs="Times New Roman"/>
                <w:color w:val="000000"/>
                <w:sz w:val="20"/>
                <w:szCs w:val="20"/>
              </w:rPr>
              <w:t>：</w:t>
            </w:r>
            <w:r>
              <w:rPr>
                <w:rFonts w:ascii="Times New Roman" w:hAnsi="Times New Roman" w:cs="Times New Roman"/>
                <w:color w:val="000000"/>
                <w:sz w:val="20"/>
                <w:szCs w:val="20"/>
              </w:rPr>
              <w:t>32.3</w:t>
            </w:r>
          </w:p>
        </w:tc>
        <w:tc>
          <w:tcPr>
            <w:tcW w:w="1655" w:type="dxa"/>
            <w:vAlign w:val="center"/>
          </w:tcPr>
          <w:p w14:paraId="1AF7A3D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sz w:val="20"/>
                <w:szCs w:val="20"/>
              </w:rPr>
              <w:t>22</w:t>
            </w:r>
            <w:r>
              <w:rPr>
                <w:rFonts w:hint="eastAsia" w:ascii="Times New Roman" w:hAnsi="Times New Roman" w:cs="Times New Roman"/>
                <w:color w:val="000000"/>
                <w:sz w:val="20"/>
                <w:szCs w:val="20"/>
              </w:rPr>
              <w:t>：</w:t>
            </w:r>
            <w:r>
              <w:rPr>
                <w:rFonts w:ascii="Times New Roman" w:hAnsi="Times New Roman" w:cs="Times New Roman"/>
                <w:color w:val="000000"/>
                <w:sz w:val="20"/>
                <w:szCs w:val="20"/>
              </w:rPr>
              <w:t>41.5</w:t>
            </w:r>
            <w:r>
              <w:rPr>
                <w:rFonts w:hint="eastAsia" w:ascii="Times New Roman" w:hAnsi="Times New Roman" w:cs="Times New Roman"/>
                <w:color w:val="000000"/>
                <w:sz w:val="20"/>
                <w:szCs w:val="20"/>
              </w:rPr>
              <w:t>：</w:t>
            </w:r>
            <w:r>
              <w:rPr>
                <w:rFonts w:ascii="Times New Roman" w:hAnsi="Times New Roman" w:cs="Times New Roman"/>
                <w:color w:val="000000"/>
                <w:sz w:val="20"/>
                <w:szCs w:val="20"/>
              </w:rPr>
              <w:t>36.5</w:t>
            </w:r>
          </w:p>
        </w:tc>
        <w:tc>
          <w:tcPr>
            <w:tcW w:w="1774" w:type="dxa"/>
            <w:vAlign w:val="center"/>
          </w:tcPr>
          <w:p w14:paraId="73F8DB2C">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29F8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restart"/>
            <w:textDirection w:val="tbRlV"/>
          </w:tcPr>
          <w:p w14:paraId="44DE3D54">
            <w:pPr>
              <w:ind w:left="113" w:right="113"/>
              <w:jc w:val="center"/>
              <w:rPr>
                <w:rFonts w:ascii="Times New Roman" w:hAnsi="Times New Roman" w:cs="Times New Roman"/>
                <w:color w:val="000000"/>
              </w:rPr>
            </w:pPr>
            <w:r>
              <w:rPr>
                <w:rFonts w:ascii="Times New Roman" w:hAnsi="Times New Roman" w:cs="Times New Roman"/>
                <w:color w:val="000000"/>
                <w:kern w:val="0"/>
                <w:sz w:val="20"/>
                <w:szCs w:val="20"/>
              </w:rPr>
              <w:t xml:space="preserve"> </w:t>
            </w:r>
            <w:r>
              <w:rPr>
                <w:rFonts w:hint="eastAsia" w:ascii="Times New Roman" w:hAnsi="Times New Roman" w:cs="Times New Roman"/>
                <w:color w:val="000000"/>
              </w:rPr>
              <w:t>民生改善</w:t>
            </w:r>
            <w:r>
              <w:rPr>
                <w:rFonts w:ascii="Times New Roman" w:hAnsi="Times New Roman" w:cs="Times New Roman"/>
                <w:color w:val="000000"/>
              </w:rPr>
              <w:t xml:space="preserve"> </w:t>
            </w:r>
          </w:p>
        </w:tc>
        <w:tc>
          <w:tcPr>
            <w:tcW w:w="2558" w:type="dxa"/>
            <w:gridSpan w:val="2"/>
            <w:vAlign w:val="center"/>
          </w:tcPr>
          <w:p w14:paraId="418F5B77">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城镇居民人均可支配收入</w:t>
            </w:r>
          </w:p>
        </w:tc>
        <w:tc>
          <w:tcPr>
            <w:tcW w:w="760" w:type="dxa"/>
            <w:vAlign w:val="center"/>
          </w:tcPr>
          <w:p w14:paraId="69239360">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元</w:t>
            </w:r>
          </w:p>
        </w:tc>
        <w:tc>
          <w:tcPr>
            <w:tcW w:w="1622" w:type="dxa"/>
            <w:vAlign w:val="center"/>
          </w:tcPr>
          <w:p w14:paraId="7547E42C">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22328</w:t>
            </w:r>
          </w:p>
        </w:tc>
        <w:tc>
          <w:tcPr>
            <w:tcW w:w="1655" w:type="dxa"/>
            <w:vAlign w:val="center"/>
          </w:tcPr>
          <w:p w14:paraId="4225D7A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35959.5</w:t>
            </w:r>
          </w:p>
        </w:tc>
        <w:tc>
          <w:tcPr>
            <w:tcW w:w="1774" w:type="dxa"/>
            <w:vAlign w:val="center"/>
          </w:tcPr>
          <w:p w14:paraId="23B5729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14:paraId="7966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3ADC645A">
            <w:pPr>
              <w:rPr>
                <w:rFonts w:ascii="Times New Roman" w:hAnsi="Times New Roman" w:cs="Times New Roman"/>
                <w:color w:val="000000"/>
              </w:rPr>
            </w:pPr>
          </w:p>
        </w:tc>
        <w:tc>
          <w:tcPr>
            <w:tcW w:w="2558" w:type="dxa"/>
            <w:gridSpan w:val="2"/>
            <w:vAlign w:val="center"/>
          </w:tcPr>
          <w:p w14:paraId="43E9E42F">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农牧民人均纯收入</w:t>
            </w:r>
          </w:p>
        </w:tc>
        <w:tc>
          <w:tcPr>
            <w:tcW w:w="760" w:type="dxa"/>
            <w:vAlign w:val="center"/>
          </w:tcPr>
          <w:p w14:paraId="620A2732">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元</w:t>
            </w:r>
          </w:p>
        </w:tc>
        <w:tc>
          <w:tcPr>
            <w:tcW w:w="1622" w:type="dxa"/>
            <w:vAlign w:val="center"/>
          </w:tcPr>
          <w:p w14:paraId="5834401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8692</w:t>
            </w:r>
          </w:p>
        </w:tc>
        <w:tc>
          <w:tcPr>
            <w:tcW w:w="1655" w:type="dxa"/>
            <w:vAlign w:val="center"/>
          </w:tcPr>
          <w:p w14:paraId="7B1D6C1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14646.5</w:t>
            </w:r>
          </w:p>
        </w:tc>
        <w:tc>
          <w:tcPr>
            <w:tcW w:w="1774" w:type="dxa"/>
            <w:vAlign w:val="center"/>
          </w:tcPr>
          <w:p w14:paraId="4DCC68E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r>
      <w:tr w14:paraId="24D2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1D4E2F12">
            <w:pPr>
              <w:rPr>
                <w:rFonts w:ascii="Times New Roman" w:hAnsi="Times New Roman" w:cs="Times New Roman"/>
                <w:color w:val="000000"/>
              </w:rPr>
            </w:pPr>
          </w:p>
        </w:tc>
        <w:tc>
          <w:tcPr>
            <w:tcW w:w="2558" w:type="dxa"/>
            <w:gridSpan w:val="2"/>
            <w:vAlign w:val="center"/>
          </w:tcPr>
          <w:p w14:paraId="71AB880C">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城镇化率</w:t>
            </w:r>
          </w:p>
        </w:tc>
        <w:tc>
          <w:tcPr>
            <w:tcW w:w="760" w:type="dxa"/>
            <w:vAlign w:val="center"/>
          </w:tcPr>
          <w:p w14:paraId="5516C584">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5D5F9DE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37.44</w:t>
            </w:r>
          </w:p>
        </w:tc>
        <w:tc>
          <w:tcPr>
            <w:tcW w:w="1655" w:type="dxa"/>
            <w:vAlign w:val="center"/>
          </w:tcPr>
          <w:p w14:paraId="2ED48997">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w:t>
            </w:r>
          </w:p>
        </w:tc>
        <w:tc>
          <w:tcPr>
            <w:tcW w:w="1774" w:type="dxa"/>
            <w:vAlign w:val="center"/>
          </w:tcPr>
          <w:p w14:paraId="656BFDE4">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70FD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30167563">
            <w:pPr>
              <w:rPr>
                <w:rFonts w:ascii="Times New Roman" w:hAnsi="Times New Roman" w:cs="Times New Roman"/>
                <w:color w:val="000000"/>
              </w:rPr>
            </w:pPr>
          </w:p>
        </w:tc>
        <w:tc>
          <w:tcPr>
            <w:tcW w:w="2558" w:type="dxa"/>
            <w:gridSpan w:val="2"/>
            <w:vAlign w:val="center"/>
          </w:tcPr>
          <w:p w14:paraId="69DAE62C">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城镇登记失业率</w:t>
            </w:r>
          </w:p>
        </w:tc>
        <w:tc>
          <w:tcPr>
            <w:tcW w:w="760" w:type="dxa"/>
            <w:vAlign w:val="center"/>
          </w:tcPr>
          <w:p w14:paraId="2C06E2AF">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243DA68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3.92</w:t>
            </w:r>
          </w:p>
        </w:tc>
        <w:tc>
          <w:tcPr>
            <w:tcW w:w="1655" w:type="dxa"/>
            <w:vAlign w:val="center"/>
          </w:tcPr>
          <w:p w14:paraId="312D296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r>
              <w:rPr>
                <w:rFonts w:hint="eastAsia" w:ascii="Times New Roman" w:hAnsi="Times New Roman" w:cs="Times New Roman"/>
                <w:color w:val="000000"/>
                <w:kern w:val="0"/>
                <w:sz w:val="20"/>
                <w:szCs w:val="20"/>
              </w:rPr>
              <w:t>以内</w:t>
            </w:r>
          </w:p>
        </w:tc>
        <w:tc>
          <w:tcPr>
            <w:tcW w:w="1774" w:type="dxa"/>
            <w:vAlign w:val="center"/>
          </w:tcPr>
          <w:p w14:paraId="00F16D0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4E5E4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A09CB28">
            <w:pPr>
              <w:rPr>
                <w:rFonts w:ascii="Times New Roman" w:hAnsi="Times New Roman" w:cs="Times New Roman"/>
                <w:color w:val="000000"/>
              </w:rPr>
            </w:pPr>
          </w:p>
        </w:tc>
        <w:tc>
          <w:tcPr>
            <w:tcW w:w="2558" w:type="dxa"/>
            <w:gridSpan w:val="2"/>
            <w:vAlign w:val="center"/>
          </w:tcPr>
          <w:p w14:paraId="68FD9AC5">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保障性安居工程</w:t>
            </w:r>
          </w:p>
        </w:tc>
        <w:tc>
          <w:tcPr>
            <w:tcW w:w="760" w:type="dxa"/>
            <w:vAlign w:val="center"/>
          </w:tcPr>
          <w:p w14:paraId="06D8CD0B">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套</w:t>
            </w:r>
          </w:p>
        </w:tc>
        <w:tc>
          <w:tcPr>
            <w:tcW w:w="1622" w:type="dxa"/>
            <w:vAlign w:val="center"/>
          </w:tcPr>
          <w:p w14:paraId="0C17190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55" w:type="dxa"/>
            <w:vAlign w:val="center"/>
          </w:tcPr>
          <w:p w14:paraId="1EBC49A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300</w:t>
            </w:r>
          </w:p>
        </w:tc>
        <w:tc>
          <w:tcPr>
            <w:tcW w:w="1774" w:type="dxa"/>
            <w:vAlign w:val="center"/>
          </w:tcPr>
          <w:p w14:paraId="402C785D">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42B4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42297A99">
            <w:pPr>
              <w:rPr>
                <w:rFonts w:ascii="Times New Roman" w:hAnsi="Times New Roman" w:cs="Times New Roman"/>
                <w:color w:val="000000"/>
              </w:rPr>
            </w:pPr>
          </w:p>
        </w:tc>
        <w:tc>
          <w:tcPr>
            <w:tcW w:w="2558" w:type="dxa"/>
            <w:gridSpan w:val="2"/>
            <w:vAlign w:val="center"/>
          </w:tcPr>
          <w:p w14:paraId="7C29FBA5">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人口自然增长率</w:t>
            </w:r>
          </w:p>
        </w:tc>
        <w:tc>
          <w:tcPr>
            <w:tcW w:w="760" w:type="dxa"/>
            <w:vAlign w:val="center"/>
          </w:tcPr>
          <w:p w14:paraId="3CEC905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1B09D434">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5.71</w:t>
            </w:r>
          </w:p>
        </w:tc>
        <w:tc>
          <w:tcPr>
            <w:tcW w:w="1655" w:type="dxa"/>
            <w:vAlign w:val="center"/>
          </w:tcPr>
          <w:p w14:paraId="00944518">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c>
          <w:tcPr>
            <w:tcW w:w="1774" w:type="dxa"/>
            <w:vAlign w:val="center"/>
          </w:tcPr>
          <w:p w14:paraId="09A5D77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0945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27FADBBB">
            <w:pPr>
              <w:rPr>
                <w:rFonts w:ascii="Times New Roman" w:hAnsi="Times New Roman" w:cs="Times New Roman"/>
                <w:color w:val="000000"/>
              </w:rPr>
            </w:pPr>
          </w:p>
        </w:tc>
        <w:tc>
          <w:tcPr>
            <w:tcW w:w="2558" w:type="dxa"/>
            <w:gridSpan w:val="2"/>
            <w:vAlign w:val="center"/>
          </w:tcPr>
          <w:p w14:paraId="1766783E">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城乡居民养老、医疗保险参保率</w:t>
            </w:r>
          </w:p>
        </w:tc>
        <w:tc>
          <w:tcPr>
            <w:tcW w:w="760" w:type="dxa"/>
            <w:vAlign w:val="center"/>
          </w:tcPr>
          <w:p w14:paraId="4AB9CCE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5D406ABD">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w:t>
            </w:r>
          </w:p>
        </w:tc>
        <w:tc>
          <w:tcPr>
            <w:tcW w:w="1655" w:type="dxa"/>
            <w:vAlign w:val="center"/>
          </w:tcPr>
          <w:p w14:paraId="34A6030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95.5</w:t>
            </w:r>
          </w:p>
        </w:tc>
        <w:tc>
          <w:tcPr>
            <w:tcW w:w="1774" w:type="dxa"/>
            <w:vAlign w:val="center"/>
          </w:tcPr>
          <w:p w14:paraId="7EC30DC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7618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2E19A3F2">
            <w:pPr>
              <w:rPr>
                <w:rFonts w:ascii="Times New Roman" w:hAnsi="Times New Roman" w:cs="Times New Roman"/>
                <w:color w:val="000000"/>
              </w:rPr>
            </w:pPr>
          </w:p>
        </w:tc>
        <w:tc>
          <w:tcPr>
            <w:tcW w:w="2558" w:type="dxa"/>
            <w:gridSpan w:val="2"/>
            <w:vAlign w:val="center"/>
          </w:tcPr>
          <w:p w14:paraId="4ABF18F1">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养老服务机构床位数</w:t>
            </w:r>
          </w:p>
        </w:tc>
        <w:tc>
          <w:tcPr>
            <w:tcW w:w="760" w:type="dxa"/>
            <w:vAlign w:val="center"/>
          </w:tcPr>
          <w:p w14:paraId="2DFF6D96">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张</w:t>
            </w:r>
          </w:p>
        </w:tc>
        <w:tc>
          <w:tcPr>
            <w:tcW w:w="1622" w:type="dxa"/>
            <w:vAlign w:val="center"/>
          </w:tcPr>
          <w:p w14:paraId="5724901F">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55" w:type="dxa"/>
            <w:vAlign w:val="center"/>
          </w:tcPr>
          <w:p w14:paraId="470EE762">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2700</w:t>
            </w:r>
          </w:p>
        </w:tc>
        <w:tc>
          <w:tcPr>
            <w:tcW w:w="1774" w:type="dxa"/>
            <w:vAlign w:val="center"/>
          </w:tcPr>
          <w:p w14:paraId="1E8FBB9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7FEF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0B33A3E">
            <w:pPr>
              <w:rPr>
                <w:rFonts w:ascii="Times New Roman" w:hAnsi="Times New Roman" w:cs="Times New Roman"/>
                <w:color w:val="000000"/>
              </w:rPr>
            </w:pPr>
          </w:p>
        </w:tc>
        <w:tc>
          <w:tcPr>
            <w:tcW w:w="2558" w:type="dxa"/>
            <w:gridSpan w:val="2"/>
            <w:vAlign w:val="center"/>
          </w:tcPr>
          <w:p w14:paraId="758EB512">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医疗服务机构病床数</w:t>
            </w:r>
          </w:p>
        </w:tc>
        <w:tc>
          <w:tcPr>
            <w:tcW w:w="760" w:type="dxa"/>
            <w:vAlign w:val="center"/>
          </w:tcPr>
          <w:p w14:paraId="4010EEDC">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张</w:t>
            </w:r>
          </w:p>
        </w:tc>
        <w:tc>
          <w:tcPr>
            <w:tcW w:w="1622" w:type="dxa"/>
            <w:vAlign w:val="center"/>
          </w:tcPr>
          <w:p w14:paraId="4262DC7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1200</w:t>
            </w:r>
          </w:p>
        </w:tc>
        <w:tc>
          <w:tcPr>
            <w:tcW w:w="1655" w:type="dxa"/>
            <w:vAlign w:val="center"/>
          </w:tcPr>
          <w:p w14:paraId="637448F1">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3000</w:t>
            </w:r>
          </w:p>
        </w:tc>
        <w:tc>
          <w:tcPr>
            <w:tcW w:w="1774" w:type="dxa"/>
            <w:vAlign w:val="center"/>
          </w:tcPr>
          <w:p w14:paraId="740893F8">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14:paraId="66A15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45EB2CD8">
            <w:pPr>
              <w:rPr>
                <w:rFonts w:ascii="Times New Roman" w:hAnsi="Times New Roman" w:cs="Times New Roman"/>
                <w:color w:val="000000"/>
              </w:rPr>
            </w:pPr>
          </w:p>
        </w:tc>
        <w:tc>
          <w:tcPr>
            <w:tcW w:w="2558" w:type="dxa"/>
            <w:gridSpan w:val="2"/>
            <w:vAlign w:val="center"/>
          </w:tcPr>
          <w:p w14:paraId="2B2BDE7A">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脱贫人口数</w:t>
            </w:r>
          </w:p>
        </w:tc>
        <w:tc>
          <w:tcPr>
            <w:tcW w:w="760" w:type="dxa"/>
            <w:vAlign w:val="center"/>
          </w:tcPr>
          <w:p w14:paraId="6C7EA1AF">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万人</w:t>
            </w:r>
          </w:p>
        </w:tc>
        <w:tc>
          <w:tcPr>
            <w:tcW w:w="1622" w:type="dxa"/>
            <w:vAlign w:val="center"/>
          </w:tcPr>
          <w:p w14:paraId="3C3EBF61">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8.11</w:t>
            </w:r>
          </w:p>
        </w:tc>
        <w:tc>
          <w:tcPr>
            <w:tcW w:w="1655" w:type="dxa"/>
            <w:vAlign w:val="center"/>
          </w:tcPr>
          <w:p w14:paraId="4BA7B2B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3.85</w:t>
            </w:r>
          </w:p>
        </w:tc>
        <w:tc>
          <w:tcPr>
            <w:tcW w:w="1774" w:type="dxa"/>
            <w:vAlign w:val="center"/>
          </w:tcPr>
          <w:p w14:paraId="2CED6A0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1AE5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48FCCF1E">
            <w:pPr>
              <w:rPr>
                <w:rFonts w:ascii="Times New Roman" w:hAnsi="Times New Roman" w:cs="Times New Roman"/>
                <w:color w:val="000000"/>
              </w:rPr>
            </w:pPr>
          </w:p>
        </w:tc>
        <w:tc>
          <w:tcPr>
            <w:tcW w:w="2558" w:type="dxa"/>
            <w:gridSpan w:val="2"/>
            <w:vAlign w:val="center"/>
          </w:tcPr>
          <w:p w14:paraId="55BC5FBA">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食品质量安全合格率</w:t>
            </w:r>
          </w:p>
        </w:tc>
        <w:tc>
          <w:tcPr>
            <w:tcW w:w="760" w:type="dxa"/>
            <w:vAlign w:val="center"/>
          </w:tcPr>
          <w:p w14:paraId="435CF27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1FE2B35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w:t>
            </w:r>
          </w:p>
        </w:tc>
        <w:tc>
          <w:tcPr>
            <w:tcW w:w="1655" w:type="dxa"/>
            <w:vAlign w:val="center"/>
          </w:tcPr>
          <w:p w14:paraId="600ED221">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99</w:t>
            </w:r>
          </w:p>
        </w:tc>
        <w:tc>
          <w:tcPr>
            <w:tcW w:w="1774" w:type="dxa"/>
            <w:vAlign w:val="center"/>
          </w:tcPr>
          <w:p w14:paraId="0E972CD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3754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30FDD388">
            <w:pPr>
              <w:rPr>
                <w:rFonts w:ascii="Times New Roman" w:hAnsi="Times New Roman" w:cs="Times New Roman"/>
                <w:color w:val="000000"/>
              </w:rPr>
            </w:pPr>
          </w:p>
        </w:tc>
        <w:tc>
          <w:tcPr>
            <w:tcW w:w="2558" w:type="dxa"/>
            <w:gridSpan w:val="2"/>
            <w:vAlign w:val="center"/>
          </w:tcPr>
          <w:p w14:paraId="5223DA77">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农村牧区自来水普及率</w:t>
            </w:r>
          </w:p>
        </w:tc>
        <w:tc>
          <w:tcPr>
            <w:tcW w:w="760" w:type="dxa"/>
            <w:vAlign w:val="center"/>
          </w:tcPr>
          <w:p w14:paraId="6793DDED">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4B81B6E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w:t>
            </w:r>
          </w:p>
        </w:tc>
        <w:tc>
          <w:tcPr>
            <w:tcW w:w="1655" w:type="dxa"/>
            <w:vAlign w:val="center"/>
          </w:tcPr>
          <w:p w14:paraId="65D68E7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w:t>
            </w:r>
          </w:p>
        </w:tc>
        <w:tc>
          <w:tcPr>
            <w:tcW w:w="1774" w:type="dxa"/>
            <w:vAlign w:val="center"/>
          </w:tcPr>
          <w:p w14:paraId="2EC4793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42FA5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7CE5D6A8">
            <w:pPr>
              <w:rPr>
                <w:rFonts w:ascii="Times New Roman" w:hAnsi="Times New Roman" w:cs="Times New Roman"/>
                <w:color w:val="000000"/>
              </w:rPr>
            </w:pPr>
          </w:p>
        </w:tc>
        <w:tc>
          <w:tcPr>
            <w:tcW w:w="2558" w:type="dxa"/>
            <w:gridSpan w:val="2"/>
            <w:vAlign w:val="center"/>
          </w:tcPr>
          <w:p w14:paraId="23E0EA00">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行政村通油路率</w:t>
            </w:r>
          </w:p>
        </w:tc>
        <w:tc>
          <w:tcPr>
            <w:tcW w:w="760" w:type="dxa"/>
            <w:vAlign w:val="center"/>
          </w:tcPr>
          <w:p w14:paraId="6240E81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5E67BE72">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w:t>
            </w:r>
          </w:p>
        </w:tc>
        <w:tc>
          <w:tcPr>
            <w:tcW w:w="1655" w:type="dxa"/>
            <w:vAlign w:val="center"/>
          </w:tcPr>
          <w:p w14:paraId="3B16241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w:t>
            </w:r>
          </w:p>
        </w:tc>
        <w:tc>
          <w:tcPr>
            <w:tcW w:w="1774" w:type="dxa"/>
            <w:vAlign w:val="center"/>
          </w:tcPr>
          <w:p w14:paraId="595EA2C0">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0A000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4D4C244F">
            <w:pPr>
              <w:rPr>
                <w:rFonts w:ascii="Times New Roman" w:hAnsi="Times New Roman" w:cs="Times New Roman"/>
                <w:color w:val="000000"/>
              </w:rPr>
            </w:pPr>
          </w:p>
        </w:tc>
        <w:tc>
          <w:tcPr>
            <w:tcW w:w="2558" w:type="dxa"/>
            <w:gridSpan w:val="2"/>
            <w:vAlign w:val="center"/>
          </w:tcPr>
          <w:p w14:paraId="3DF94FB4">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农村牧区供电可靠率</w:t>
            </w:r>
          </w:p>
        </w:tc>
        <w:tc>
          <w:tcPr>
            <w:tcW w:w="760" w:type="dxa"/>
            <w:vAlign w:val="center"/>
          </w:tcPr>
          <w:p w14:paraId="2728FDF1">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770A4B41">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99.67</w:t>
            </w:r>
          </w:p>
        </w:tc>
        <w:tc>
          <w:tcPr>
            <w:tcW w:w="1655" w:type="dxa"/>
            <w:vAlign w:val="center"/>
          </w:tcPr>
          <w:p w14:paraId="4F1D9F0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99.72</w:t>
            </w:r>
          </w:p>
        </w:tc>
        <w:tc>
          <w:tcPr>
            <w:tcW w:w="1774" w:type="dxa"/>
            <w:vAlign w:val="center"/>
          </w:tcPr>
          <w:p w14:paraId="5DF023DB">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25D6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6529E708">
            <w:pPr>
              <w:rPr>
                <w:rFonts w:ascii="Times New Roman" w:hAnsi="Times New Roman" w:cs="Times New Roman"/>
                <w:color w:val="000000"/>
              </w:rPr>
            </w:pPr>
          </w:p>
        </w:tc>
        <w:tc>
          <w:tcPr>
            <w:tcW w:w="2558" w:type="dxa"/>
            <w:gridSpan w:val="2"/>
            <w:vAlign w:val="center"/>
          </w:tcPr>
          <w:p w14:paraId="293F7E95">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电信基础网络覆盖率</w:t>
            </w:r>
          </w:p>
        </w:tc>
        <w:tc>
          <w:tcPr>
            <w:tcW w:w="760" w:type="dxa"/>
            <w:vAlign w:val="center"/>
          </w:tcPr>
          <w:p w14:paraId="5A54992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4E703105">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55" w:type="dxa"/>
            <w:vAlign w:val="center"/>
          </w:tcPr>
          <w:p w14:paraId="2577E7E2">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w:t>
            </w:r>
          </w:p>
        </w:tc>
        <w:tc>
          <w:tcPr>
            <w:tcW w:w="1774" w:type="dxa"/>
            <w:vAlign w:val="center"/>
          </w:tcPr>
          <w:p w14:paraId="295150AC">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r>
      <w:tr w14:paraId="275D0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restart"/>
            <w:textDirection w:val="tbRlV"/>
          </w:tcPr>
          <w:p w14:paraId="325CF04F">
            <w:pPr>
              <w:ind w:left="113" w:right="113"/>
              <w:jc w:val="center"/>
              <w:rPr>
                <w:rFonts w:ascii="Times New Roman" w:hAnsi="Times New Roman" w:cs="Times New Roman"/>
                <w:color w:val="000000"/>
              </w:rPr>
            </w:pPr>
            <w:r>
              <w:rPr>
                <w:rFonts w:ascii="Times New Roman" w:hAnsi="Times New Roman" w:cs="Times New Roman"/>
                <w:color w:val="000000"/>
              </w:rPr>
              <w:t xml:space="preserve">   </w:t>
            </w:r>
            <w:r>
              <w:rPr>
                <w:rFonts w:hint="eastAsia" w:ascii="Times New Roman" w:hAnsi="Times New Roman" w:cs="Times New Roman"/>
                <w:color w:val="000000"/>
              </w:rPr>
              <w:t>资源环境</w:t>
            </w:r>
          </w:p>
        </w:tc>
        <w:tc>
          <w:tcPr>
            <w:tcW w:w="2558" w:type="dxa"/>
            <w:gridSpan w:val="2"/>
            <w:vAlign w:val="center"/>
          </w:tcPr>
          <w:p w14:paraId="44E9267B">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森林覆被率</w:t>
            </w:r>
          </w:p>
        </w:tc>
        <w:tc>
          <w:tcPr>
            <w:tcW w:w="760" w:type="dxa"/>
            <w:vAlign w:val="center"/>
          </w:tcPr>
          <w:p w14:paraId="4AE10BFF">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1622" w:type="dxa"/>
            <w:vAlign w:val="center"/>
          </w:tcPr>
          <w:p w14:paraId="6DEDC424">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43.8</w:t>
            </w:r>
          </w:p>
        </w:tc>
        <w:tc>
          <w:tcPr>
            <w:tcW w:w="1655" w:type="dxa"/>
            <w:vAlign w:val="center"/>
          </w:tcPr>
          <w:p w14:paraId="0B61743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w:t>
            </w:r>
          </w:p>
        </w:tc>
        <w:tc>
          <w:tcPr>
            <w:tcW w:w="1774" w:type="dxa"/>
          </w:tcPr>
          <w:p w14:paraId="5A518940">
            <w:pPr>
              <w:widowControl/>
              <w:spacing w:line="240" w:lineRule="exact"/>
              <w:jc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w:t>
            </w:r>
          </w:p>
        </w:tc>
      </w:tr>
      <w:tr w14:paraId="5BDD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7103E87B">
            <w:pPr>
              <w:rPr>
                <w:rFonts w:ascii="Times New Roman" w:hAnsi="Times New Roman" w:cs="Times New Roman"/>
                <w:color w:val="000000"/>
              </w:rPr>
            </w:pPr>
          </w:p>
        </w:tc>
        <w:tc>
          <w:tcPr>
            <w:tcW w:w="2558" w:type="dxa"/>
            <w:gridSpan w:val="2"/>
            <w:vAlign w:val="center"/>
          </w:tcPr>
          <w:p w14:paraId="2C8B4A4C">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退化林分改造</w:t>
            </w:r>
          </w:p>
        </w:tc>
        <w:tc>
          <w:tcPr>
            <w:tcW w:w="760" w:type="dxa"/>
            <w:vAlign w:val="center"/>
          </w:tcPr>
          <w:p w14:paraId="299C4EF9">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万亩</w:t>
            </w:r>
          </w:p>
        </w:tc>
        <w:tc>
          <w:tcPr>
            <w:tcW w:w="1622" w:type="dxa"/>
            <w:vAlign w:val="center"/>
          </w:tcPr>
          <w:p w14:paraId="3694663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w:t>
            </w:r>
          </w:p>
        </w:tc>
        <w:tc>
          <w:tcPr>
            <w:tcW w:w="1655" w:type="dxa"/>
            <w:vAlign w:val="center"/>
          </w:tcPr>
          <w:p w14:paraId="6269EF0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w:t>
            </w:r>
          </w:p>
        </w:tc>
        <w:tc>
          <w:tcPr>
            <w:tcW w:w="1774" w:type="dxa"/>
          </w:tcPr>
          <w:p w14:paraId="2768B0BB">
            <w:pPr>
              <w:widowControl/>
              <w:spacing w:line="240" w:lineRule="exact"/>
              <w:jc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10.9</w:t>
            </w:r>
          </w:p>
        </w:tc>
      </w:tr>
      <w:tr w14:paraId="1D10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0798FBA0">
            <w:pPr>
              <w:rPr>
                <w:rFonts w:ascii="Times New Roman" w:hAnsi="Times New Roman" w:cs="Times New Roman"/>
                <w:color w:val="000000"/>
              </w:rPr>
            </w:pPr>
          </w:p>
        </w:tc>
        <w:tc>
          <w:tcPr>
            <w:tcW w:w="1279" w:type="dxa"/>
            <w:vMerge w:val="restart"/>
          </w:tcPr>
          <w:p w14:paraId="72637C23">
            <w:pPr>
              <w:rPr>
                <w:rFonts w:ascii="Times New Roman" w:hAnsi="Times New Roman" w:cs="Times New Roman"/>
                <w:color w:val="000000"/>
                <w:kern w:val="0"/>
                <w:sz w:val="20"/>
                <w:szCs w:val="20"/>
              </w:rPr>
            </w:pPr>
          </w:p>
          <w:p w14:paraId="021F5166">
            <w:pPr>
              <w:widowControl/>
              <w:spacing w:line="240" w:lineRule="exact"/>
              <w:jc w:val="center"/>
              <w:rPr>
                <w:rFonts w:ascii="Times New Roman" w:hAnsi="Times New Roman" w:cs="Times New Roman"/>
                <w:color w:val="000000"/>
                <w:sz w:val="20"/>
                <w:szCs w:val="20"/>
              </w:rPr>
            </w:pPr>
            <w:r>
              <w:rPr>
                <w:rFonts w:hint="eastAsia" w:ascii="Times New Roman" w:hAnsi="Times New Roman" w:cs="Times New Roman"/>
                <w:color w:val="000000"/>
                <w:kern w:val="0"/>
                <w:sz w:val="20"/>
                <w:szCs w:val="20"/>
              </w:rPr>
              <w:t>主要污染物排放量累计减少</w:t>
            </w:r>
          </w:p>
        </w:tc>
        <w:tc>
          <w:tcPr>
            <w:tcW w:w="1279" w:type="dxa"/>
            <w:vAlign w:val="center"/>
          </w:tcPr>
          <w:p w14:paraId="2EBC6074">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二氧化硫</w:t>
            </w:r>
          </w:p>
        </w:tc>
        <w:tc>
          <w:tcPr>
            <w:tcW w:w="760" w:type="dxa"/>
            <w:vAlign w:val="center"/>
          </w:tcPr>
          <w:p w14:paraId="026B75F9">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吨</w:t>
            </w:r>
          </w:p>
        </w:tc>
        <w:tc>
          <w:tcPr>
            <w:tcW w:w="1622" w:type="dxa"/>
            <w:vAlign w:val="center"/>
          </w:tcPr>
          <w:p w14:paraId="5482F87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4411</w:t>
            </w:r>
          </w:p>
        </w:tc>
        <w:tc>
          <w:tcPr>
            <w:tcW w:w="1655" w:type="dxa"/>
            <w:vAlign w:val="center"/>
          </w:tcPr>
          <w:p w14:paraId="7B80F31A">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3970</w:t>
            </w:r>
          </w:p>
        </w:tc>
        <w:tc>
          <w:tcPr>
            <w:tcW w:w="1774" w:type="dxa"/>
            <w:vAlign w:val="center"/>
          </w:tcPr>
          <w:p w14:paraId="5DC0DD83">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-2.08</w:t>
            </w:r>
          </w:p>
        </w:tc>
      </w:tr>
      <w:tr w14:paraId="42BC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514AC19E">
            <w:pPr>
              <w:rPr>
                <w:rFonts w:ascii="Times New Roman" w:hAnsi="Times New Roman" w:cs="Times New Roman"/>
                <w:color w:val="000000"/>
              </w:rPr>
            </w:pPr>
          </w:p>
        </w:tc>
        <w:tc>
          <w:tcPr>
            <w:tcW w:w="1279" w:type="dxa"/>
            <w:vMerge w:val="continue"/>
          </w:tcPr>
          <w:p w14:paraId="27028B53">
            <w:pPr>
              <w:rPr>
                <w:rFonts w:ascii="Times New Roman" w:hAnsi="Times New Roman" w:cs="Times New Roman"/>
                <w:color w:val="000000"/>
                <w:sz w:val="20"/>
                <w:szCs w:val="20"/>
              </w:rPr>
            </w:pPr>
          </w:p>
        </w:tc>
        <w:tc>
          <w:tcPr>
            <w:tcW w:w="1279" w:type="dxa"/>
            <w:vAlign w:val="center"/>
          </w:tcPr>
          <w:p w14:paraId="73CDF7BE">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氮氧化物</w:t>
            </w:r>
          </w:p>
        </w:tc>
        <w:tc>
          <w:tcPr>
            <w:tcW w:w="760" w:type="dxa"/>
            <w:vAlign w:val="center"/>
          </w:tcPr>
          <w:p w14:paraId="4559A0E8">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吨</w:t>
            </w:r>
          </w:p>
        </w:tc>
        <w:tc>
          <w:tcPr>
            <w:tcW w:w="1622" w:type="dxa"/>
            <w:vAlign w:val="center"/>
          </w:tcPr>
          <w:p w14:paraId="75F01FF7">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661</w:t>
            </w:r>
          </w:p>
        </w:tc>
        <w:tc>
          <w:tcPr>
            <w:tcW w:w="1655" w:type="dxa"/>
            <w:vAlign w:val="center"/>
          </w:tcPr>
          <w:p w14:paraId="567F7C67">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595</w:t>
            </w:r>
          </w:p>
        </w:tc>
        <w:tc>
          <w:tcPr>
            <w:tcW w:w="1774" w:type="dxa"/>
            <w:vAlign w:val="center"/>
          </w:tcPr>
          <w:p w14:paraId="26E06FB9">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-2.08</w:t>
            </w:r>
          </w:p>
        </w:tc>
      </w:tr>
      <w:tr w14:paraId="3BBB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645C1788">
            <w:pPr>
              <w:rPr>
                <w:rFonts w:ascii="Times New Roman" w:hAnsi="Times New Roman" w:cs="Times New Roman"/>
                <w:color w:val="000000"/>
              </w:rPr>
            </w:pPr>
          </w:p>
        </w:tc>
        <w:tc>
          <w:tcPr>
            <w:tcW w:w="1279" w:type="dxa"/>
            <w:vMerge w:val="continue"/>
          </w:tcPr>
          <w:p w14:paraId="3F946124">
            <w:pPr>
              <w:rPr>
                <w:rFonts w:ascii="Times New Roman" w:hAnsi="Times New Roman" w:cs="Times New Roman"/>
                <w:color w:val="000000"/>
                <w:sz w:val="20"/>
                <w:szCs w:val="20"/>
              </w:rPr>
            </w:pPr>
          </w:p>
        </w:tc>
        <w:tc>
          <w:tcPr>
            <w:tcW w:w="1279" w:type="dxa"/>
            <w:vAlign w:val="center"/>
          </w:tcPr>
          <w:p w14:paraId="56E7B7DF">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化学需氧量</w:t>
            </w:r>
          </w:p>
        </w:tc>
        <w:tc>
          <w:tcPr>
            <w:tcW w:w="760" w:type="dxa"/>
            <w:vAlign w:val="center"/>
          </w:tcPr>
          <w:p w14:paraId="700ADB4C">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吨</w:t>
            </w:r>
          </w:p>
        </w:tc>
        <w:tc>
          <w:tcPr>
            <w:tcW w:w="1622" w:type="dxa"/>
            <w:vAlign w:val="center"/>
          </w:tcPr>
          <w:p w14:paraId="23B97DE2">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7719</w:t>
            </w:r>
          </w:p>
        </w:tc>
        <w:tc>
          <w:tcPr>
            <w:tcW w:w="1655" w:type="dxa"/>
            <w:vAlign w:val="center"/>
          </w:tcPr>
          <w:p w14:paraId="2750E00F">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6947</w:t>
            </w:r>
          </w:p>
        </w:tc>
        <w:tc>
          <w:tcPr>
            <w:tcW w:w="1774" w:type="dxa"/>
            <w:vAlign w:val="center"/>
          </w:tcPr>
          <w:p w14:paraId="64AAD09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-2.08</w:t>
            </w:r>
          </w:p>
        </w:tc>
      </w:tr>
      <w:tr w14:paraId="37AD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3" w:type="dxa"/>
            <w:vMerge w:val="continue"/>
          </w:tcPr>
          <w:p w14:paraId="16DEB1BA">
            <w:pPr>
              <w:rPr>
                <w:rFonts w:ascii="Times New Roman" w:hAnsi="Times New Roman" w:cs="Times New Roman"/>
                <w:color w:val="000000"/>
              </w:rPr>
            </w:pPr>
          </w:p>
        </w:tc>
        <w:tc>
          <w:tcPr>
            <w:tcW w:w="1279" w:type="dxa"/>
            <w:vMerge w:val="continue"/>
          </w:tcPr>
          <w:p w14:paraId="708E170B">
            <w:pPr>
              <w:rPr>
                <w:rFonts w:ascii="Times New Roman" w:hAnsi="Times New Roman" w:cs="Times New Roman"/>
                <w:color w:val="000000"/>
                <w:sz w:val="20"/>
                <w:szCs w:val="20"/>
              </w:rPr>
            </w:pPr>
          </w:p>
        </w:tc>
        <w:tc>
          <w:tcPr>
            <w:tcW w:w="1279" w:type="dxa"/>
            <w:vAlign w:val="center"/>
          </w:tcPr>
          <w:p w14:paraId="64CF7F32">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氨氮</w:t>
            </w:r>
          </w:p>
        </w:tc>
        <w:tc>
          <w:tcPr>
            <w:tcW w:w="760" w:type="dxa"/>
            <w:vAlign w:val="center"/>
          </w:tcPr>
          <w:p w14:paraId="2ECFB802">
            <w:pPr>
              <w:widowControl/>
              <w:spacing w:line="240" w:lineRule="exact"/>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吨</w:t>
            </w:r>
          </w:p>
        </w:tc>
        <w:tc>
          <w:tcPr>
            <w:tcW w:w="1622" w:type="dxa"/>
            <w:vAlign w:val="center"/>
          </w:tcPr>
          <w:p w14:paraId="6947197E">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534</w:t>
            </w:r>
          </w:p>
        </w:tc>
        <w:tc>
          <w:tcPr>
            <w:tcW w:w="1655" w:type="dxa"/>
            <w:vAlign w:val="center"/>
          </w:tcPr>
          <w:p w14:paraId="0F29DA0F">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427</w:t>
            </w:r>
          </w:p>
        </w:tc>
        <w:tc>
          <w:tcPr>
            <w:tcW w:w="1774" w:type="dxa"/>
            <w:vAlign w:val="center"/>
          </w:tcPr>
          <w:p w14:paraId="68D74D16">
            <w:pPr>
              <w:widowControl/>
              <w:spacing w:line="24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w:t>
            </w:r>
          </w:p>
        </w:tc>
      </w:tr>
    </w:tbl>
    <w:p w14:paraId="45107CB2">
      <w:pPr>
        <w:pStyle w:val="2"/>
        <w:spacing w:beforeLines="100" w:afterLines="100" w:line="640" w:lineRule="exact"/>
        <w:jc w:val="left"/>
        <w:rPr>
          <w:rFonts w:eastAsia="黑体"/>
          <w:color w:val="000000"/>
          <w:sz w:val="28"/>
          <w:szCs w:val="32"/>
        </w:rPr>
      </w:pPr>
      <w:r>
        <w:rPr>
          <w:rFonts w:eastAsia="黑体"/>
          <w:color w:val="000000"/>
          <w:sz w:val="28"/>
          <w:szCs w:val="32"/>
        </w:rPr>
        <w:br w:type="page"/>
      </w:r>
      <w:bookmarkStart w:id="215" w:name="_Toc443390044"/>
      <w:r>
        <w:rPr>
          <w:rFonts w:hint="eastAsia" w:eastAsia="方正小标宋简体"/>
          <w:color w:val="000000"/>
          <w:sz w:val="36"/>
          <w:szCs w:val="36"/>
        </w:rPr>
        <w:t>附件</w:t>
      </w:r>
      <w:r>
        <w:rPr>
          <w:rFonts w:eastAsia="方正小标宋简体"/>
          <w:color w:val="000000"/>
          <w:sz w:val="36"/>
          <w:szCs w:val="36"/>
        </w:rPr>
        <w:t>2</w:t>
      </w:r>
      <w:bookmarkEnd w:id="215"/>
    </w:p>
    <w:p w14:paraId="1B512653">
      <w:pPr>
        <w:spacing w:line="480" w:lineRule="exact"/>
        <w:jc w:val="center"/>
        <w:rPr>
          <w:rFonts w:ascii="Times New Roman" w:hAnsi="Times New Roman" w:eastAsia="黑体" w:cs="Times New Roman"/>
          <w:color w:val="000000"/>
          <w:sz w:val="28"/>
          <w:szCs w:val="32"/>
        </w:rPr>
      </w:pPr>
      <w:r>
        <w:rPr>
          <w:rFonts w:hint="eastAsia" w:ascii="Times New Roman" w:hAnsi="Times New Roman" w:eastAsia="黑体" w:cs="Times New Roman"/>
          <w:color w:val="000000"/>
          <w:sz w:val="28"/>
          <w:szCs w:val="32"/>
        </w:rPr>
        <w:t>名词解释</w:t>
      </w:r>
    </w:p>
    <w:p w14:paraId="20A5127D">
      <w:pPr>
        <w:spacing w:line="480" w:lineRule="exact"/>
        <w:ind w:firstLine="413" w:firstLineChars="196"/>
        <w:rPr>
          <w:rFonts w:ascii="Times New Roman" w:hAnsi="Times New Roman" w:cs="Times New Roman"/>
          <w:color w:val="000000"/>
        </w:rPr>
      </w:pPr>
      <w:r>
        <w:rPr>
          <w:rFonts w:ascii="Times New Roman" w:hAnsi="Times New Roman" w:cs="Times New Roman"/>
          <w:b/>
          <w:color w:val="000000"/>
        </w:rPr>
        <w:t>1</w:t>
      </w:r>
      <w:r>
        <w:rPr>
          <w:rFonts w:hint="eastAsia" w:ascii="Times New Roman" w:hAnsi="Times New Roman" w:cs="Times New Roman"/>
          <w:b/>
          <w:color w:val="000000"/>
        </w:rPr>
        <w:t>、</w:t>
      </w:r>
      <w:r>
        <w:rPr>
          <w:rFonts w:ascii="Times New Roman" w:hAnsi="Times New Roman" w:cs="Times New Roman"/>
          <w:b/>
          <w:color w:val="000000"/>
        </w:rPr>
        <w:t>“</w:t>
      </w:r>
      <w:r>
        <w:rPr>
          <w:rFonts w:hint="eastAsia" w:ascii="Times New Roman" w:hAnsi="Times New Roman" w:cs="Times New Roman"/>
          <w:b/>
          <w:color w:val="000000"/>
        </w:rPr>
        <w:t>一带一路</w:t>
      </w:r>
      <w:r>
        <w:rPr>
          <w:rFonts w:ascii="Times New Roman" w:hAnsi="Times New Roman" w:cs="Times New Roman"/>
          <w:b/>
          <w:color w:val="000000"/>
        </w:rPr>
        <w:t>”</w:t>
      </w:r>
      <w:r>
        <w:rPr>
          <w:rFonts w:hint="eastAsia" w:ascii="Times New Roman" w:hAnsi="Times New Roman" w:cs="Times New Roman"/>
          <w:b/>
          <w:color w:val="000000"/>
        </w:rPr>
        <w:t>：</w:t>
      </w:r>
      <w:r>
        <w:rPr>
          <w:rFonts w:ascii="Times New Roman" w:hAnsi="Times New Roman" w:cs="Times New Roman"/>
          <w:color w:val="000000"/>
        </w:rPr>
        <w:t>2013</w:t>
      </w:r>
      <w:r>
        <w:rPr>
          <w:rFonts w:hint="eastAsia" w:ascii="Times New Roman" w:hAnsi="Times New Roman" w:cs="Times New Roman"/>
          <w:color w:val="000000"/>
        </w:rPr>
        <w:t>年</w:t>
      </w:r>
      <w:r>
        <w:rPr>
          <w:rFonts w:ascii="Times New Roman" w:hAnsi="Times New Roman" w:cs="Times New Roman"/>
          <w:color w:val="000000"/>
        </w:rPr>
        <w:t>9</w:t>
      </w:r>
      <w:r>
        <w:rPr>
          <w:rFonts w:hint="eastAsia" w:ascii="Times New Roman" w:hAnsi="Times New Roman" w:cs="Times New Roman"/>
          <w:color w:val="000000"/>
        </w:rPr>
        <w:t>月和</w:t>
      </w:r>
      <w:r>
        <w:rPr>
          <w:rFonts w:ascii="Times New Roman" w:hAnsi="Times New Roman" w:cs="Times New Roman"/>
          <w:color w:val="000000"/>
        </w:rPr>
        <w:t>10</w:t>
      </w:r>
      <w:r>
        <w:rPr>
          <w:rFonts w:hint="eastAsia" w:ascii="Times New Roman" w:hAnsi="Times New Roman" w:cs="Times New Roman"/>
          <w:color w:val="000000"/>
        </w:rPr>
        <w:t>月，中国国家主席习近平在出访中亚和东南亚国家期间，提出共建</w:t>
      </w:r>
      <w:r>
        <w:rPr>
          <w:rFonts w:ascii="Times New Roman" w:hAnsi="Times New Roman" w:cs="Times New Roman"/>
          <w:color w:val="000000"/>
        </w:rPr>
        <w:t>“</w:t>
      </w:r>
      <w:r>
        <w:rPr>
          <w:rFonts w:hint="eastAsia" w:ascii="Times New Roman" w:hAnsi="Times New Roman" w:cs="Times New Roman"/>
          <w:color w:val="000000"/>
        </w:rPr>
        <w:t>丝绸之路经济带</w:t>
      </w:r>
      <w:r>
        <w:rPr>
          <w:rFonts w:ascii="Times New Roman" w:hAnsi="Times New Roman" w:cs="Times New Roman"/>
          <w:color w:val="000000"/>
        </w:rPr>
        <w:t>”</w:t>
      </w:r>
      <w:r>
        <w:rPr>
          <w:rFonts w:hint="eastAsia" w:ascii="Times New Roman" w:hAnsi="Times New Roman" w:cs="Times New Roman"/>
          <w:color w:val="000000"/>
        </w:rPr>
        <w:t>和</w:t>
      </w:r>
      <w:r>
        <w:rPr>
          <w:rFonts w:ascii="Times New Roman" w:hAnsi="Times New Roman" w:cs="Times New Roman"/>
          <w:color w:val="000000"/>
        </w:rPr>
        <w:t>“21</w:t>
      </w:r>
      <w:r>
        <w:rPr>
          <w:rFonts w:hint="eastAsia" w:ascii="Times New Roman" w:hAnsi="Times New Roman" w:cs="Times New Roman"/>
          <w:color w:val="000000"/>
        </w:rPr>
        <w:t>世纪海上丝绸之路</w:t>
      </w:r>
      <w:r>
        <w:rPr>
          <w:rFonts w:ascii="Times New Roman" w:hAnsi="Times New Roman" w:cs="Times New Roman"/>
          <w:color w:val="000000"/>
        </w:rPr>
        <w:t>”</w:t>
      </w:r>
      <w:r>
        <w:rPr>
          <w:rFonts w:hint="eastAsia" w:ascii="Times New Roman" w:hAnsi="Times New Roman" w:cs="Times New Roman"/>
          <w:color w:val="000000"/>
        </w:rPr>
        <w:t>的重大倡议。</w:t>
      </w:r>
      <w:r>
        <w:rPr>
          <w:rFonts w:ascii="Times New Roman" w:hAnsi="Times New Roman" w:cs="Times New Roman"/>
          <w:color w:val="000000"/>
        </w:rPr>
        <w:t>“</w:t>
      </w:r>
      <w:r>
        <w:rPr>
          <w:rFonts w:hint="eastAsia" w:ascii="Times New Roman" w:hAnsi="Times New Roman" w:cs="Times New Roman"/>
          <w:color w:val="000000"/>
        </w:rPr>
        <w:t>一带一路</w:t>
      </w:r>
      <w:r>
        <w:rPr>
          <w:rFonts w:ascii="Times New Roman" w:hAnsi="Times New Roman" w:cs="Times New Roman"/>
          <w:color w:val="000000"/>
        </w:rPr>
        <w:t>”</w:t>
      </w:r>
      <w:r>
        <w:rPr>
          <w:rFonts w:hint="eastAsia" w:ascii="Times New Roman" w:hAnsi="Times New Roman" w:cs="Times New Roman"/>
          <w:color w:val="000000"/>
        </w:rPr>
        <w:t>已上升为国家战略。目前，自治区已经出台相关落实方案。</w:t>
      </w:r>
    </w:p>
    <w:p w14:paraId="61D0845A">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2</w:t>
      </w:r>
      <w:r>
        <w:rPr>
          <w:rFonts w:hint="eastAsia" w:ascii="Times New Roman" w:hAnsi="Times New Roman" w:cs="Times New Roman"/>
          <w:b/>
          <w:color w:val="000000"/>
        </w:rPr>
        <w:t>、双创：</w:t>
      </w:r>
      <w:r>
        <w:rPr>
          <w:rFonts w:hint="eastAsia" w:ascii="Times New Roman" w:hAnsi="Times New Roman" w:cs="Times New Roman"/>
          <w:color w:val="000000"/>
        </w:rPr>
        <w:t>国务院总理李克强</w:t>
      </w:r>
      <w:r>
        <w:rPr>
          <w:rFonts w:ascii="Times New Roman" w:hAnsi="Times New Roman" w:cs="Times New Roman"/>
          <w:color w:val="000000"/>
        </w:rPr>
        <w:t>2014</w:t>
      </w:r>
      <w:r>
        <w:rPr>
          <w:rFonts w:hint="eastAsia" w:ascii="Times New Roman" w:hAnsi="Times New Roman" w:cs="Times New Roman"/>
          <w:color w:val="000000"/>
        </w:rPr>
        <w:t>年</w:t>
      </w:r>
      <w:r>
        <w:rPr>
          <w:rFonts w:ascii="Times New Roman" w:hAnsi="Times New Roman" w:cs="Times New Roman"/>
          <w:color w:val="000000"/>
        </w:rPr>
        <w:t>9</w:t>
      </w:r>
      <w:r>
        <w:rPr>
          <w:rFonts w:hint="eastAsia" w:ascii="Times New Roman" w:hAnsi="Times New Roman" w:cs="Times New Roman"/>
          <w:color w:val="000000"/>
        </w:rPr>
        <w:t>月在夏季达沃斯论坛上公开发出</w:t>
      </w:r>
      <w:r>
        <w:rPr>
          <w:rFonts w:ascii="Times New Roman" w:hAnsi="Times New Roman" w:cs="Times New Roman"/>
          <w:color w:val="000000"/>
        </w:rPr>
        <w:t>“</w:t>
      </w:r>
      <w:r>
        <w:rPr>
          <w:rFonts w:hint="eastAsia" w:ascii="Times New Roman" w:hAnsi="Times New Roman" w:cs="Times New Roman"/>
          <w:color w:val="000000"/>
        </w:rPr>
        <w:t>大众创业、万众创新</w:t>
      </w:r>
      <w:r>
        <w:rPr>
          <w:rFonts w:ascii="Times New Roman" w:hAnsi="Times New Roman" w:cs="Times New Roman"/>
          <w:color w:val="000000"/>
        </w:rPr>
        <w:t>”</w:t>
      </w:r>
      <w:r>
        <w:rPr>
          <w:rFonts w:hint="eastAsia" w:ascii="Times New Roman" w:hAnsi="Times New Roman" w:cs="Times New Roman"/>
          <w:color w:val="000000"/>
        </w:rPr>
        <w:t>的号召，简称</w:t>
      </w:r>
      <w:r>
        <w:rPr>
          <w:rFonts w:ascii="Times New Roman" w:hAnsi="Times New Roman" w:cs="Times New Roman"/>
          <w:color w:val="000000"/>
        </w:rPr>
        <w:t>“</w:t>
      </w:r>
      <w:r>
        <w:rPr>
          <w:rFonts w:hint="eastAsia" w:ascii="Times New Roman" w:hAnsi="Times New Roman" w:cs="Times New Roman"/>
          <w:color w:val="000000"/>
        </w:rPr>
        <w:t>双创</w:t>
      </w:r>
      <w:r>
        <w:rPr>
          <w:rFonts w:ascii="Times New Roman" w:hAnsi="Times New Roman" w:cs="Times New Roman"/>
          <w:color w:val="000000"/>
        </w:rPr>
        <w:t>”</w:t>
      </w:r>
      <w:r>
        <w:rPr>
          <w:rFonts w:hint="eastAsia" w:ascii="Times New Roman" w:hAnsi="Times New Roman" w:cs="Times New Roman"/>
          <w:color w:val="000000"/>
        </w:rPr>
        <w:t>。</w:t>
      </w:r>
      <w:r>
        <w:rPr>
          <w:rFonts w:ascii="Times New Roman" w:hAnsi="Times New Roman" w:cs="Times New Roman"/>
          <w:color w:val="000000"/>
        </w:rPr>
        <w:t>2015</w:t>
      </w:r>
      <w:r>
        <w:rPr>
          <w:rFonts w:hint="eastAsia" w:ascii="Times New Roman" w:hAnsi="Times New Roman" w:cs="Times New Roman"/>
          <w:color w:val="000000"/>
        </w:rPr>
        <w:t>年</w:t>
      </w:r>
      <w:r>
        <w:rPr>
          <w:rFonts w:ascii="Times New Roman" w:hAnsi="Times New Roman" w:cs="Times New Roman"/>
          <w:color w:val="000000"/>
        </w:rPr>
        <w:t>6</w:t>
      </w:r>
      <w:r>
        <w:rPr>
          <w:rFonts w:hint="eastAsia" w:ascii="Times New Roman" w:hAnsi="Times New Roman" w:cs="Times New Roman"/>
          <w:color w:val="000000"/>
        </w:rPr>
        <w:t>月</w:t>
      </w:r>
      <w:r>
        <w:rPr>
          <w:rFonts w:ascii="Times New Roman" w:hAnsi="Times New Roman" w:cs="Times New Roman"/>
          <w:color w:val="000000"/>
        </w:rPr>
        <w:t>11</w:t>
      </w:r>
      <w:r>
        <w:rPr>
          <w:rFonts w:hint="eastAsia" w:ascii="Times New Roman" w:hAnsi="Times New Roman" w:cs="Times New Roman"/>
          <w:color w:val="000000"/>
        </w:rPr>
        <w:t>日，国务院印发《关于大力推进大众创业万众创新若干政策措施的意见》（国发〔</w:t>
      </w:r>
      <w:r>
        <w:rPr>
          <w:rFonts w:ascii="Times New Roman" w:hAnsi="Times New Roman" w:cs="Times New Roman"/>
          <w:color w:val="000000"/>
        </w:rPr>
        <w:t>2015</w:t>
      </w:r>
      <w:r>
        <w:rPr>
          <w:rFonts w:hint="eastAsia" w:ascii="Times New Roman" w:hAnsi="Times New Roman" w:cs="Times New Roman"/>
          <w:color w:val="000000"/>
        </w:rPr>
        <w:t>〕</w:t>
      </w:r>
      <w:r>
        <w:rPr>
          <w:rFonts w:ascii="Times New Roman" w:hAnsi="Times New Roman" w:cs="Times New Roman"/>
          <w:color w:val="000000"/>
        </w:rPr>
        <w:t>32</w:t>
      </w:r>
      <w:r>
        <w:rPr>
          <w:rFonts w:hint="eastAsia" w:ascii="Times New Roman" w:hAnsi="Times New Roman" w:cs="Times New Roman"/>
          <w:color w:val="000000"/>
        </w:rPr>
        <w:t>号文件）。</w:t>
      </w:r>
    </w:p>
    <w:p w14:paraId="1CDAEFC8">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3</w:t>
      </w:r>
      <w:r>
        <w:rPr>
          <w:rFonts w:hint="eastAsia" w:ascii="Times New Roman" w:hAnsi="Times New Roman" w:cs="Times New Roman"/>
          <w:b/>
          <w:color w:val="000000"/>
        </w:rPr>
        <w:t>、京津冀协同发展：</w:t>
      </w:r>
      <w:r>
        <w:rPr>
          <w:rFonts w:hint="eastAsia" w:ascii="Times New Roman" w:hAnsi="Times New Roman" w:cs="Times New Roman"/>
          <w:color w:val="000000"/>
        </w:rPr>
        <w:t>习近平总书记</w:t>
      </w:r>
      <w:r>
        <w:rPr>
          <w:rFonts w:ascii="Times New Roman" w:hAnsi="Times New Roman" w:cs="Times New Roman"/>
          <w:color w:val="000000"/>
        </w:rPr>
        <w:t>2014</w:t>
      </w:r>
      <w:r>
        <w:rPr>
          <w:rFonts w:hint="eastAsia" w:ascii="Times New Roman" w:hAnsi="Times New Roman" w:cs="Times New Roman"/>
          <w:color w:val="000000"/>
        </w:rPr>
        <w:t>年</w:t>
      </w:r>
      <w:r>
        <w:rPr>
          <w:rFonts w:ascii="Times New Roman" w:hAnsi="Times New Roman" w:cs="Times New Roman"/>
          <w:color w:val="000000"/>
        </w:rPr>
        <w:t>2</w:t>
      </w:r>
      <w:r>
        <w:rPr>
          <w:rFonts w:hint="eastAsia" w:ascii="Times New Roman" w:hAnsi="Times New Roman" w:cs="Times New Roman"/>
          <w:color w:val="000000"/>
        </w:rPr>
        <w:t>月</w:t>
      </w:r>
      <w:r>
        <w:rPr>
          <w:rFonts w:ascii="Times New Roman" w:hAnsi="Times New Roman" w:cs="Times New Roman"/>
          <w:color w:val="000000"/>
        </w:rPr>
        <w:t>26</w:t>
      </w:r>
      <w:r>
        <w:rPr>
          <w:rFonts w:hint="eastAsia" w:ascii="Times New Roman" w:hAnsi="Times New Roman" w:cs="Times New Roman"/>
          <w:color w:val="000000"/>
        </w:rPr>
        <w:t>日在北京听取京津冀协同发展工作汇报时提出的重大国家战略。核心是京津冀三地作为一个整体协同发展，以疏解非首都核心功能、解决北京</w:t>
      </w:r>
      <w:r>
        <w:rPr>
          <w:rFonts w:ascii="Times New Roman" w:hAnsi="Times New Roman" w:cs="Times New Roman"/>
          <w:color w:val="000000"/>
        </w:rPr>
        <w:t>“</w:t>
      </w:r>
      <w:r>
        <w:rPr>
          <w:rFonts w:hint="eastAsia" w:ascii="Times New Roman" w:hAnsi="Times New Roman" w:cs="Times New Roman"/>
          <w:color w:val="000000"/>
        </w:rPr>
        <w:t>大城市病</w:t>
      </w:r>
      <w:r>
        <w:rPr>
          <w:rFonts w:ascii="Times New Roman" w:hAnsi="Times New Roman" w:cs="Times New Roman"/>
          <w:color w:val="000000"/>
        </w:rPr>
        <w:t>”</w:t>
      </w:r>
      <w:r>
        <w:rPr>
          <w:rFonts w:hint="eastAsia" w:ascii="Times New Roman" w:hAnsi="Times New Roman" w:cs="Times New Roman"/>
          <w:color w:val="000000"/>
        </w:rPr>
        <w:t>为基本出发点，调整优化城市布局和空间结构。目前，赤峰市已纳入京津冀协同发展核心协作区。</w:t>
      </w:r>
    </w:p>
    <w:p w14:paraId="6CC6A13D">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4</w:t>
      </w:r>
      <w:r>
        <w:rPr>
          <w:rFonts w:hint="eastAsia" w:ascii="Times New Roman" w:hAnsi="Times New Roman" w:cs="Times New Roman"/>
          <w:b/>
          <w:color w:val="000000"/>
        </w:rPr>
        <w:t>、中蒙俄经济走廊：</w:t>
      </w:r>
      <w:r>
        <w:rPr>
          <w:rFonts w:hint="eastAsia" w:ascii="Times New Roman" w:hAnsi="Times New Roman" w:cs="Times New Roman"/>
          <w:color w:val="000000"/>
        </w:rPr>
        <w:t>国家主席习近平</w:t>
      </w:r>
      <w:r>
        <w:rPr>
          <w:rFonts w:ascii="Times New Roman" w:hAnsi="Times New Roman" w:cs="Times New Roman"/>
          <w:color w:val="000000"/>
        </w:rPr>
        <w:t>2014</w:t>
      </w:r>
      <w:r>
        <w:rPr>
          <w:rFonts w:hint="eastAsia" w:ascii="Times New Roman" w:hAnsi="Times New Roman" w:cs="Times New Roman"/>
          <w:color w:val="000000"/>
        </w:rPr>
        <w:t>年</w:t>
      </w:r>
      <w:r>
        <w:rPr>
          <w:rFonts w:ascii="Times New Roman" w:hAnsi="Times New Roman" w:cs="Times New Roman"/>
          <w:color w:val="000000"/>
        </w:rPr>
        <w:t>9</w:t>
      </w:r>
      <w:r>
        <w:rPr>
          <w:rFonts w:hint="eastAsia" w:ascii="Times New Roman" w:hAnsi="Times New Roman" w:cs="Times New Roman"/>
          <w:color w:val="000000"/>
        </w:rPr>
        <w:t>月</w:t>
      </w:r>
      <w:r>
        <w:rPr>
          <w:rFonts w:ascii="Times New Roman" w:hAnsi="Times New Roman" w:cs="Times New Roman"/>
          <w:color w:val="000000"/>
        </w:rPr>
        <w:t>11</w:t>
      </w:r>
      <w:r>
        <w:rPr>
          <w:rFonts w:hint="eastAsia" w:ascii="Times New Roman" w:hAnsi="Times New Roman" w:cs="Times New Roman"/>
          <w:color w:val="000000"/>
        </w:rPr>
        <w:t>日在出席中俄蒙三国元首会晤时说，可以把丝绸之路经济带同俄罗斯跨欧亚大铁路、蒙古国草原之路倡议进行对接，打造中蒙俄经济走廊。</w:t>
      </w:r>
    </w:p>
    <w:p w14:paraId="4078A348">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5</w:t>
      </w:r>
      <w:r>
        <w:rPr>
          <w:rFonts w:hint="eastAsia" w:ascii="Times New Roman" w:hAnsi="Times New Roman" w:cs="Times New Roman"/>
          <w:b/>
          <w:color w:val="000000"/>
        </w:rPr>
        <w:t>、锡赤通经济区：</w:t>
      </w:r>
      <w:r>
        <w:rPr>
          <w:rFonts w:hint="eastAsia" w:ascii="Times New Roman" w:hAnsi="Times New Roman" w:cs="Times New Roman"/>
          <w:color w:val="000000"/>
        </w:rPr>
        <w:t>《内蒙古自治区党委关于国民经济和社会发展第十三个五年规划的建议》提出，要着力培育</w:t>
      </w:r>
      <w:r>
        <w:rPr>
          <w:rFonts w:ascii="Times New Roman" w:hAnsi="Times New Roman" w:cs="Times New Roman"/>
          <w:color w:val="000000"/>
        </w:rPr>
        <w:t>“</w:t>
      </w:r>
      <w:r>
        <w:rPr>
          <w:rFonts w:hint="eastAsia" w:ascii="Times New Roman" w:hAnsi="Times New Roman" w:cs="Times New Roman"/>
          <w:color w:val="000000"/>
        </w:rPr>
        <w:t>锡赤通经济区</w:t>
      </w:r>
      <w:r>
        <w:rPr>
          <w:rFonts w:ascii="Times New Roman" w:hAnsi="Times New Roman" w:cs="Times New Roman"/>
          <w:color w:val="000000"/>
        </w:rPr>
        <w:t>”</w:t>
      </w:r>
      <w:r>
        <w:rPr>
          <w:rFonts w:hint="eastAsia" w:ascii="Times New Roman" w:hAnsi="Times New Roman" w:cs="Times New Roman"/>
          <w:color w:val="000000"/>
        </w:rPr>
        <w:t>（锡林郭勒盟、赤峰和通辽市），建设沿边经济带，打造促进中蒙边贸的重要载体。</w:t>
      </w:r>
    </w:p>
    <w:p w14:paraId="0290FEE7">
      <w:pPr>
        <w:spacing w:line="480" w:lineRule="exact"/>
        <w:ind w:firstLine="422" w:firstLineChars="200"/>
        <w:rPr>
          <w:rFonts w:ascii="Times New Roman" w:hAnsi="Times New Roman" w:cs="Times New Roman"/>
          <w:b/>
          <w:color w:val="000000"/>
        </w:rPr>
      </w:pPr>
      <w:r>
        <w:rPr>
          <w:rFonts w:ascii="Times New Roman" w:hAnsi="Times New Roman" w:cs="Times New Roman"/>
          <w:b/>
          <w:color w:val="000000"/>
        </w:rPr>
        <w:t>6</w:t>
      </w:r>
      <w:r>
        <w:rPr>
          <w:rFonts w:hint="eastAsia" w:ascii="Times New Roman" w:hAnsi="Times New Roman" w:cs="Times New Roman"/>
          <w:b/>
          <w:color w:val="000000"/>
        </w:rPr>
        <w:t>、赤峰市五大基地：</w:t>
      </w:r>
      <w:r>
        <w:rPr>
          <w:rFonts w:hint="eastAsia" w:ascii="Times New Roman" w:hAnsi="Times New Roman" w:cs="Times New Roman"/>
          <w:color w:val="000000"/>
        </w:rPr>
        <w:t>国家铜铅锌有色金属冶炼加工基地；</w:t>
      </w:r>
      <w:r>
        <w:rPr>
          <w:rFonts w:ascii="Times New Roman" w:hAnsi="Times New Roman" w:cs="Times New Roman"/>
          <w:color w:val="000000"/>
        </w:rPr>
        <w:t>“</w:t>
      </w:r>
      <w:r>
        <w:rPr>
          <w:rFonts w:hint="eastAsia" w:ascii="Times New Roman" w:hAnsi="Times New Roman" w:cs="Times New Roman"/>
          <w:color w:val="000000"/>
        </w:rPr>
        <w:t>环渤海经济圈</w:t>
      </w:r>
      <w:r>
        <w:rPr>
          <w:rFonts w:ascii="Times New Roman" w:hAnsi="Times New Roman" w:cs="Times New Roman"/>
          <w:color w:val="000000"/>
        </w:rPr>
        <w:t>”</w:t>
      </w:r>
      <w:r>
        <w:rPr>
          <w:rFonts w:hint="eastAsia" w:ascii="Times New Roman" w:hAnsi="Times New Roman" w:cs="Times New Roman"/>
          <w:color w:val="000000"/>
        </w:rPr>
        <w:t>清洁能源保障输出基地；国家新型煤化工基地；</w:t>
      </w:r>
      <w:r>
        <w:rPr>
          <w:rFonts w:ascii="Times New Roman" w:hAnsi="Times New Roman" w:cs="Times New Roman"/>
          <w:color w:val="000000"/>
        </w:rPr>
        <w:t>“</w:t>
      </w:r>
      <w:r>
        <w:rPr>
          <w:rFonts w:hint="eastAsia" w:ascii="Times New Roman" w:hAnsi="Times New Roman" w:cs="Times New Roman"/>
          <w:color w:val="000000"/>
        </w:rPr>
        <w:t>环渤海经济圈</w:t>
      </w:r>
      <w:r>
        <w:rPr>
          <w:rFonts w:ascii="Times New Roman" w:hAnsi="Times New Roman" w:cs="Times New Roman"/>
          <w:color w:val="000000"/>
        </w:rPr>
        <w:t>”</w:t>
      </w:r>
      <w:r>
        <w:rPr>
          <w:rFonts w:hint="eastAsia" w:ascii="Times New Roman" w:hAnsi="Times New Roman" w:cs="Times New Roman"/>
          <w:color w:val="000000"/>
        </w:rPr>
        <w:t>绿色农畜产品生产加工输出基地；面向全国的特色文化旅游目的地和绿色生态休闲度假基地。</w:t>
      </w:r>
    </w:p>
    <w:p w14:paraId="25797436">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7</w:t>
      </w:r>
      <w:r>
        <w:rPr>
          <w:rFonts w:hint="eastAsia" w:ascii="Times New Roman" w:hAnsi="Times New Roman" w:cs="Times New Roman"/>
          <w:b/>
          <w:color w:val="000000"/>
        </w:rPr>
        <w:t>、蒙东南历史文化休闲娱乐中心区（</w:t>
      </w:r>
      <w:r>
        <w:rPr>
          <w:rFonts w:ascii="Times New Roman" w:hAnsi="Times New Roman" w:cs="Times New Roman"/>
          <w:b/>
          <w:color w:val="000000"/>
        </w:rPr>
        <w:t xml:space="preserve">Historical&amp;Recreation District </w:t>
      </w:r>
      <w:r>
        <w:rPr>
          <w:rFonts w:hint="eastAsia" w:ascii="Times New Roman" w:hAnsi="Times New Roman" w:cs="Times New Roman"/>
          <w:b/>
          <w:color w:val="000000"/>
        </w:rPr>
        <w:t>，简称</w:t>
      </w:r>
      <w:r>
        <w:rPr>
          <w:rFonts w:ascii="Times New Roman" w:hAnsi="Times New Roman" w:cs="Times New Roman"/>
          <w:b/>
          <w:color w:val="000000"/>
        </w:rPr>
        <w:t>HRD</w:t>
      </w:r>
      <w:r>
        <w:rPr>
          <w:rFonts w:hint="eastAsia" w:ascii="Times New Roman" w:hAnsi="Times New Roman" w:cs="Times New Roman"/>
          <w:b/>
          <w:color w:val="000000"/>
        </w:rPr>
        <w:t>）：</w:t>
      </w:r>
      <w:r>
        <w:rPr>
          <w:rFonts w:ascii="Times New Roman" w:hAnsi="Times New Roman" w:cs="Times New Roman"/>
          <w:b/>
          <w:color w:val="000000"/>
        </w:rPr>
        <w:t xml:space="preserve"> Historical</w:t>
      </w:r>
      <w:r>
        <w:rPr>
          <w:rFonts w:hint="eastAsia" w:ascii="Times New Roman" w:hAnsi="Times New Roman" w:cs="Times New Roman"/>
          <w:b/>
          <w:color w:val="000000"/>
        </w:rPr>
        <w:t>：</w:t>
      </w:r>
      <w:r>
        <w:rPr>
          <w:rFonts w:hint="eastAsia" w:ascii="Times New Roman" w:hAnsi="Times New Roman" w:cs="Times New Roman"/>
          <w:color w:val="000000"/>
        </w:rPr>
        <w:t>意为</w:t>
      </w:r>
      <w:r>
        <w:rPr>
          <w:rFonts w:ascii="Times New Roman" w:hAnsi="Times New Roman" w:cs="Times New Roman"/>
          <w:color w:val="000000"/>
        </w:rPr>
        <w:t>“</w:t>
      </w:r>
      <w:r>
        <w:rPr>
          <w:rFonts w:hint="eastAsia" w:ascii="Times New Roman" w:hAnsi="Times New Roman" w:cs="Times New Roman"/>
          <w:color w:val="000000"/>
        </w:rPr>
        <w:t>历史的、史实的</w:t>
      </w:r>
      <w:r>
        <w:rPr>
          <w:rFonts w:ascii="Times New Roman" w:hAnsi="Times New Roman" w:cs="Times New Roman"/>
          <w:color w:val="000000"/>
        </w:rPr>
        <w:t>”</w:t>
      </w:r>
      <w:r>
        <w:rPr>
          <w:rFonts w:hint="eastAsia" w:ascii="Times New Roman" w:hAnsi="Times New Roman" w:cs="Times New Roman"/>
          <w:color w:val="000000"/>
        </w:rPr>
        <w:t>，同时也有</w:t>
      </w:r>
      <w:r>
        <w:rPr>
          <w:rFonts w:ascii="Times New Roman" w:hAnsi="Times New Roman" w:cs="Times New Roman"/>
          <w:color w:val="000000"/>
        </w:rPr>
        <w:t>“</w:t>
      </w:r>
      <w:r>
        <w:rPr>
          <w:rFonts w:hint="eastAsia" w:ascii="Times New Roman" w:hAnsi="Times New Roman" w:cs="Times New Roman"/>
          <w:color w:val="000000"/>
        </w:rPr>
        <w:t>记载的</w:t>
      </w:r>
      <w:r>
        <w:rPr>
          <w:rFonts w:ascii="Times New Roman" w:hAnsi="Times New Roman" w:cs="Times New Roman"/>
          <w:color w:val="000000"/>
        </w:rPr>
        <w:t>”</w:t>
      </w:r>
      <w:r>
        <w:rPr>
          <w:rFonts w:hint="eastAsia" w:ascii="Times New Roman" w:hAnsi="Times New Roman" w:cs="Times New Roman"/>
          <w:color w:val="000000"/>
        </w:rPr>
        <w:t>含义；</w:t>
      </w:r>
      <w:r>
        <w:rPr>
          <w:rFonts w:ascii="Times New Roman" w:hAnsi="Times New Roman" w:cs="Times New Roman"/>
          <w:color w:val="000000"/>
        </w:rPr>
        <w:t>Recreation</w:t>
      </w:r>
      <w:r>
        <w:rPr>
          <w:rFonts w:hint="eastAsia" w:ascii="Times New Roman" w:hAnsi="Times New Roman" w:cs="Times New Roman"/>
          <w:color w:val="000000"/>
        </w:rPr>
        <w:t>：包括所有能够达到消遣和娱乐目的的活动；</w:t>
      </w:r>
      <w:r>
        <w:rPr>
          <w:rFonts w:ascii="Times New Roman" w:hAnsi="Times New Roman" w:cs="Times New Roman"/>
          <w:color w:val="000000"/>
        </w:rPr>
        <w:t>District</w:t>
      </w:r>
      <w:r>
        <w:rPr>
          <w:rFonts w:hint="eastAsia" w:ascii="Times New Roman" w:hAnsi="Times New Roman" w:cs="Times New Roman"/>
          <w:color w:val="000000"/>
        </w:rPr>
        <w:t>：表明是</w:t>
      </w:r>
      <w:r>
        <w:rPr>
          <w:rFonts w:ascii="Times New Roman" w:hAnsi="Times New Roman" w:cs="Times New Roman"/>
          <w:color w:val="000000"/>
        </w:rPr>
        <w:t>“</w:t>
      </w:r>
      <w:r>
        <w:rPr>
          <w:rFonts w:hint="eastAsia" w:ascii="Times New Roman" w:hAnsi="Times New Roman" w:cs="Times New Roman"/>
          <w:color w:val="000000"/>
        </w:rPr>
        <w:t>区域、地域</w:t>
      </w:r>
      <w:r>
        <w:rPr>
          <w:rFonts w:ascii="Times New Roman" w:hAnsi="Times New Roman" w:cs="Times New Roman"/>
          <w:color w:val="000000"/>
        </w:rPr>
        <w:t>”</w:t>
      </w:r>
      <w:r>
        <w:rPr>
          <w:rFonts w:hint="eastAsia" w:ascii="Times New Roman" w:hAnsi="Times New Roman" w:cs="Times New Roman"/>
          <w:color w:val="000000"/>
        </w:rPr>
        <w:t>，也有</w:t>
      </w:r>
      <w:r>
        <w:rPr>
          <w:rFonts w:ascii="Times New Roman" w:hAnsi="Times New Roman" w:cs="Times New Roman"/>
          <w:color w:val="000000"/>
        </w:rPr>
        <w:t>“</w:t>
      </w:r>
      <w:r>
        <w:rPr>
          <w:rFonts w:hint="eastAsia" w:ascii="Times New Roman" w:hAnsi="Times New Roman" w:cs="Times New Roman"/>
          <w:color w:val="000000"/>
        </w:rPr>
        <w:t>行政区</w:t>
      </w:r>
      <w:r>
        <w:rPr>
          <w:rFonts w:ascii="Times New Roman" w:hAnsi="Times New Roman" w:cs="Times New Roman"/>
          <w:color w:val="000000"/>
        </w:rPr>
        <w:t>”</w:t>
      </w:r>
      <w:r>
        <w:rPr>
          <w:rFonts w:hint="eastAsia" w:ascii="Times New Roman" w:hAnsi="Times New Roman" w:cs="Times New Roman"/>
          <w:color w:val="000000"/>
        </w:rPr>
        <w:t>的含义。</w:t>
      </w:r>
      <w:r>
        <w:rPr>
          <w:rFonts w:ascii="Times New Roman" w:hAnsi="Times New Roman" w:cs="Times New Roman"/>
          <w:color w:val="000000"/>
        </w:rPr>
        <w:t>HRD</w:t>
      </w:r>
      <w:r>
        <w:rPr>
          <w:rFonts w:hint="eastAsia" w:ascii="Times New Roman" w:hAnsi="Times New Roman" w:cs="Times New Roman"/>
          <w:color w:val="000000"/>
        </w:rPr>
        <w:t>整体定位中心思想：以特色历史文化为发展主旋律，打造集休闲、娱乐、度假、养生、体验、旅游、会展、购物和朝拜等功能为一体的蒙东南历史文化休闲娱乐中心区。</w:t>
      </w:r>
    </w:p>
    <w:p w14:paraId="424D6117">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8</w:t>
      </w:r>
      <w:r>
        <w:rPr>
          <w:rFonts w:hint="eastAsia" w:ascii="Times New Roman" w:hAnsi="Times New Roman" w:cs="Times New Roman"/>
          <w:b/>
          <w:color w:val="000000"/>
        </w:rPr>
        <w:t>、退化林分改造：</w:t>
      </w:r>
      <w:r>
        <w:rPr>
          <w:rFonts w:hint="eastAsia" w:ascii="Times New Roman" w:hAnsi="Times New Roman" w:cs="Times New Roman"/>
          <w:color w:val="000000"/>
        </w:rPr>
        <w:t>在组成、林相、郁闭度与起源等方面不符合经营要求的那些产量低、质量次的林分进行改造的综合营林措施，使其转变为能生产大量优质木材和其他多种产品，并能发挥更好的生态效能的优良林分。</w:t>
      </w:r>
    </w:p>
    <w:p w14:paraId="244FA89C">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9</w:t>
      </w:r>
      <w:r>
        <w:rPr>
          <w:rFonts w:hint="eastAsia" w:ascii="Times New Roman" w:hAnsi="Times New Roman" w:cs="Times New Roman"/>
          <w:b/>
          <w:color w:val="000000"/>
        </w:rPr>
        <w:t>、互联网</w:t>
      </w:r>
      <w:r>
        <w:rPr>
          <w:rFonts w:ascii="Times New Roman" w:hAnsi="Times New Roman" w:cs="Times New Roman"/>
          <w:b/>
          <w:color w:val="000000"/>
        </w:rPr>
        <w:t>+</w:t>
      </w:r>
      <w:r>
        <w:rPr>
          <w:rFonts w:hint="eastAsia" w:ascii="Times New Roman" w:hAnsi="Times New Roman" w:cs="Times New Roman"/>
          <w:b/>
          <w:color w:val="000000"/>
        </w:rPr>
        <w:t>：</w:t>
      </w:r>
      <w:r>
        <w:rPr>
          <w:rFonts w:hint="eastAsia" w:ascii="Times New Roman" w:hAnsi="Times New Roman" w:cs="Times New Roman"/>
          <w:color w:val="000000"/>
        </w:rPr>
        <w:t>就是</w:t>
      </w:r>
      <w:r>
        <w:rPr>
          <w:rFonts w:ascii="Times New Roman" w:hAnsi="Times New Roman" w:cs="Times New Roman"/>
          <w:color w:val="000000"/>
        </w:rPr>
        <w:t>“</w:t>
      </w:r>
      <w:r>
        <w:rPr>
          <w:rFonts w:hint="eastAsia" w:ascii="Times New Roman" w:hAnsi="Times New Roman" w:cs="Times New Roman"/>
          <w:color w:val="000000"/>
        </w:rPr>
        <w:t>互联网</w:t>
      </w:r>
      <w:r>
        <w:rPr>
          <w:rFonts w:ascii="Times New Roman" w:hAnsi="Times New Roman" w:cs="Times New Roman"/>
          <w:color w:val="000000"/>
        </w:rPr>
        <w:t>+</w:t>
      </w:r>
      <w:r>
        <w:rPr>
          <w:rFonts w:hint="eastAsia" w:ascii="Times New Roman" w:hAnsi="Times New Roman" w:cs="Times New Roman"/>
          <w:color w:val="000000"/>
        </w:rPr>
        <w:t>各个传统行业</w:t>
      </w:r>
      <w:r>
        <w:rPr>
          <w:rFonts w:ascii="Times New Roman" w:hAnsi="Times New Roman" w:cs="Times New Roman"/>
          <w:color w:val="000000"/>
        </w:rPr>
        <w:t>”</w:t>
      </w:r>
      <w:r>
        <w:rPr>
          <w:rFonts w:hint="eastAsia" w:ascii="Times New Roman" w:hAnsi="Times New Roman" w:cs="Times New Roman"/>
          <w:color w:val="000000"/>
        </w:rPr>
        <w:t>，利用信息通信技术以及互联网平台，让互联网与传统行业进行深度融合，将互联网的创新成果深度融合于经济、社会各域之中，形成更广泛的以互联网为基础设施和实现工具的经济发展新形态。</w:t>
      </w:r>
      <w:r>
        <w:rPr>
          <w:rFonts w:ascii="Times New Roman" w:hAnsi="Times New Roman" w:cs="Times New Roman"/>
          <w:color w:val="000000"/>
        </w:rPr>
        <w:t>2015</w:t>
      </w:r>
      <w:r>
        <w:rPr>
          <w:rFonts w:hint="eastAsia" w:ascii="Times New Roman" w:hAnsi="Times New Roman" w:cs="Times New Roman"/>
          <w:color w:val="000000"/>
        </w:rPr>
        <w:t>年</w:t>
      </w:r>
      <w:r>
        <w:rPr>
          <w:rFonts w:ascii="Times New Roman" w:hAnsi="Times New Roman" w:cs="Times New Roman"/>
          <w:color w:val="000000"/>
        </w:rPr>
        <w:t>7</w:t>
      </w:r>
      <w:r>
        <w:rPr>
          <w:rFonts w:hint="eastAsia" w:ascii="Times New Roman" w:hAnsi="Times New Roman" w:cs="Times New Roman"/>
          <w:color w:val="000000"/>
        </w:rPr>
        <w:t>月</w:t>
      </w:r>
      <w:r>
        <w:rPr>
          <w:rFonts w:ascii="Times New Roman" w:hAnsi="Times New Roman" w:cs="Times New Roman"/>
          <w:color w:val="000000"/>
        </w:rPr>
        <w:t>4</w:t>
      </w:r>
      <w:r>
        <w:rPr>
          <w:rFonts w:hint="eastAsia" w:ascii="Times New Roman" w:hAnsi="Times New Roman" w:cs="Times New Roman"/>
          <w:color w:val="000000"/>
        </w:rPr>
        <w:t>日国务院发布《国务院关于积极推进</w:t>
      </w:r>
      <w:r>
        <w:rPr>
          <w:rFonts w:ascii="Times New Roman" w:hAnsi="Times New Roman" w:cs="Times New Roman"/>
          <w:color w:val="000000"/>
        </w:rPr>
        <w:t>“</w:t>
      </w:r>
      <w:r>
        <w:rPr>
          <w:rFonts w:hint="eastAsia" w:ascii="Times New Roman" w:hAnsi="Times New Roman" w:cs="Times New Roman"/>
          <w:color w:val="000000"/>
        </w:rPr>
        <w:t>互联网</w:t>
      </w:r>
      <w:r>
        <w:rPr>
          <w:rFonts w:ascii="Times New Roman" w:hAnsi="Times New Roman" w:cs="Times New Roman"/>
          <w:color w:val="000000"/>
        </w:rPr>
        <w:t>+”</w:t>
      </w:r>
      <w:r>
        <w:rPr>
          <w:rFonts w:hint="eastAsia" w:ascii="Times New Roman" w:hAnsi="Times New Roman" w:cs="Times New Roman"/>
          <w:color w:val="000000"/>
        </w:rPr>
        <w:t>行动的指导意见》</w:t>
      </w:r>
      <w:r>
        <w:rPr>
          <w:rFonts w:ascii="Times New Roman" w:hAnsi="Times New Roman" w:cs="Times New Roman"/>
          <w:color w:val="000000"/>
        </w:rPr>
        <w:t>(</w:t>
      </w:r>
      <w:r>
        <w:rPr>
          <w:rFonts w:hint="eastAsia" w:ascii="Times New Roman" w:hAnsi="Times New Roman" w:cs="Times New Roman"/>
          <w:color w:val="000000"/>
        </w:rPr>
        <w:t>国发〔</w:t>
      </w:r>
      <w:r>
        <w:rPr>
          <w:rFonts w:ascii="Times New Roman" w:hAnsi="Times New Roman" w:cs="Times New Roman"/>
          <w:color w:val="000000"/>
        </w:rPr>
        <w:t>2015</w:t>
      </w:r>
      <w:r>
        <w:rPr>
          <w:rFonts w:hint="eastAsia" w:ascii="Times New Roman" w:hAnsi="Times New Roman" w:cs="Times New Roman"/>
          <w:color w:val="000000"/>
        </w:rPr>
        <w:t>〕</w:t>
      </w:r>
      <w:r>
        <w:rPr>
          <w:rFonts w:ascii="Times New Roman" w:hAnsi="Times New Roman" w:cs="Times New Roman"/>
          <w:color w:val="000000"/>
        </w:rPr>
        <w:t>40</w:t>
      </w:r>
      <w:r>
        <w:rPr>
          <w:rFonts w:hint="eastAsia" w:ascii="Times New Roman" w:hAnsi="Times New Roman" w:cs="Times New Roman"/>
          <w:color w:val="000000"/>
        </w:rPr>
        <w:t>号</w:t>
      </w:r>
      <w:r>
        <w:rPr>
          <w:rFonts w:ascii="Times New Roman" w:hAnsi="Times New Roman" w:cs="Times New Roman"/>
          <w:color w:val="000000"/>
        </w:rPr>
        <w:t>)</w:t>
      </w:r>
      <w:r>
        <w:rPr>
          <w:rFonts w:hint="eastAsia" w:ascii="Times New Roman" w:hAnsi="Times New Roman" w:cs="Times New Roman"/>
          <w:color w:val="000000"/>
        </w:rPr>
        <w:t>。</w:t>
      </w:r>
    </w:p>
    <w:p w14:paraId="3287C8DF">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10</w:t>
      </w:r>
      <w:r>
        <w:rPr>
          <w:rFonts w:hint="eastAsia" w:ascii="Times New Roman" w:hAnsi="Times New Roman" w:cs="Times New Roman"/>
          <w:b/>
          <w:color w:val="000000"/>
        </w:rPr>
        <w:t>、藏粮于地、藏粮于技战略：</w:t>
      </w:r>
      <w:r>
        <w:rPr>
          <w:rFonts w:hint="eastAsia" w:ascii="Times New Roman" w:hAnsi="Times New Roman" w:cs="Times New Roman"/>
          <w:color w:val="000000"/>
        </w:rPr>
        <w:t>《中共中央关于国民经济和社会发展第十三个五年规划纲要的建议》提出：</w:t>
      </w:r>
      <w:r>
        <w:rPr>
          <w:rFonts w:ascii="Times New Roman" w:hAnsi="Times New Roman" w:cs="Times New Roman"/>
          <w:color w:val="000000"/>
        </w:rPr>
        <w:t>“</w:t>
      </w:r>
      <w:r>
        <w:rPr>
          <w:rFonts w:hint="eastAsia" w:ascii="Times New Roman" w:hAnsi="Times New Roman" w:cs="Times New Roman"/>
          <w:color w:val="000000"/>
        </w:rPr>
        <w:t>坚持最严格的耕地保护制度，坚守耕地红线，实施藏粮于地、藏粮于技战略，提高粮食产能，确保谷物基本自给、口粮绝对安全</w:t>
      </w:r>
      <w:r>
        <w:rPr>
          <w:rFonts w:ascii="Times New Roman" w:hAnsi="Times New Roman" w:cs="Times New Roman"/>
          <w:color w:val="000000"/>
        </w:rPr>
        <w:t xml:space="preserve">” </w:t>
      </w:r>
      <w:r>
        <w:rPr>
          <w:rFonts w:hint="eastAsia" w:ascii="Times New Roman" w:hAnsi="Times New Roman" w:cs="Times New Roman"/>
          <w:color w:val="000000"/>
        </w:rPr>
        <w:t>。</w:t>
      </w:r>
    </w:p>
    <w:p w14:paraId="585AFFA3">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11</w:t>
      </w:r>
      <w:r>
        <w:rPr>
          <w:rFonts w:hint="eastAsia" w:ascii="Times New Roman" w:hAnsi="Times New Roman" w:cs="Times New Roman"/>
          <w:b/>
          <w:color w:val="000000"/>
        </w:rPr>
        <w:t>、中国制造</w:t>
      </w:r>
      <w:r>
        <w:rPr>
          <w:rFonts w:ascii="Times New Roman" w:hAnsi="Times New Roman" w:cs="Times New Roman"/>
          <w:b/>
          <w:color w:val="000000"/>
        </w:rPr>
        <w:t>2025</w:t>
      </w:r>
      <w:r>
        <w:rPr>
          <w:rFonts w:hint="eastAsia" w:ascii="Times New Roman" w:hAnsi="Times New Roman" w:cs="Times New Roman"/>
          <w:b/>
          <w:color w:val="000000"/>
        </w:rPr>
        <w:t>：</w:t>
      </w:r>
      <w:r>
        <w:rPr>
          <w:rFonts w:hint="eastAsia" w:ascii="Times New Roman" w:hAnsi="Times New Roman" w:cs="Times New Roman"/>
          <w:color w:val="000000"/>
        </w:rPr>
        <w:t>国务院于</w:t>
      </w:r>
      <w:r>
        <w:rPr>
          <w:rFonts w:ascii="Times New Roman" w:hAnsi="Times New Roman" w:cs="Times New Roman"/>
          <w:color w:val="000000"/>
        </w:rPr>
        <w:t>2015</w:t>
      </w:r>
      <w:r>
        <w:rPr>
          <w:rFonts w:hint="eastAsia" w:ascii="Times New Roman" w:hAnsi="Times New Roman" w:cs="Times New Roman"/>
          <w:color w:val="000000"/>
        </w:rPr>
        <w:t>年</w:t>
      </w:r>
      <w:r>
        <w:rPr>
          <w:rFonts w:ascii="Times New Roman" w:hAnsi="Times New Roman" w:cs="Times New Roman"/>
          <w:color w:val="000000"/>
        </w:rPr>
        <w:t>5</w:t>
      </w:r>
      <w:r>
        <w:rPr>
          <w:rFonts w:hint="eastAsia" w:ascii="Times New Roman" w:hAnsi="Times New Roman" w:cs="Times New Roman"/>
          <w:color w:val="000000"/>
        </w:rPr>
        <w:t>月</w:t>
      </w:r>
      <w:r>
        <w:rPr>
          <w:rFonts w:ascii="Times New Roman" w:hAnsi="Times New Roman" w:cs="Times New Roman"/>
          <w:color w:val="000000"/>
        </w:rPr>
        <w:t>8</w:t>
      </w:r>
      <w:r>
        <w:rPr>
          <w:rFonts w:hint="eastAsia" w:ascii="Times New Roman" w:hAnsi="Times New Roman" w:cs="Times New Roman"/>
          <w:color w:val="000000"/>
        </w:rPr>
        <w:t>日公布的强化高端制造业的国家战略规划，是把中国建设成为制造强国的三个十年战略中第一个十年的行动纲领。重点围绕新一代信息技术、智能制造、增材制造、新材料、生物医药等领域创新发展取得重大突破。</w:t>
      </w:r>
    </w:p>
    <w:p w14:paraId="1C7E543E">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12</w:t>
      </w:r>
      <w:r>
        <w:rPr>
          <w:rFonts w:hint="eastAsia" w:ascii="Times New Roman" w:hAnsi="Times New Roman" w:cs="Times New Roman"/>
          <w:b/>
          <w:color w:val="000000"/>
        </w:rPr>
        <w:t>、原始创新：</w:t>
      </w:r>
      <w:r>
        <w:rPr>
          <w:rFonts w:hint="eastAsia" w:ascii="Times New Roman" w:hAnsi="Times New Roman" w:cs="Times New Roman"/>
          <w:color w:val="000000"/>
        </w:rPr>
        <w:t>前所未有的重大科学发现、技术发明、原理性主导技术等创新成果；在研究开发方面，特别是在基础研究和高技术研究领域取得独有的发现或发明。</w:t>
      </w:r>
    </w:p>
    <w:p w14:paraId="5A861AD1">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13</w:t>
      </w:r>
      <w:r>
        <w:rPr>
          <w:rFonts w:hint="eastAsia" w:ascii="Times New Roman" w:hAnsi="Times New Roman" w:cs="Times New Roman"/>
          <w:b/>
          <w:color w:val="000000"/>
        </w:rPr>
        <w:t>、集成创新：</w:t>
      </w:r>
      <w:r>
        <w:rPr>
          <w:rFonts w:hint="eastAsia" w:ascii="Times New Roman" w:hAnsi="Times New Roman" w:cs="Times New Roman"/>
          <w:color w:val="000000"/>
        </w:rPr>
        <w:t>利用各种信息技术、管理技术与工具等，对各个创新要素和创新内容进行选择、集成和优化，形成优势互补的有机整体的动态创新过程。</w:t>
      </w:r>
    </w:p>
    <w:p w14:paraId="3ACD86D7">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14</w:t>
      </w:r>
      <w:r>
        <w:rPr>
          <w:rFonts w:hint="eastAsia" w:ascii="Times New Roman" w:hAnsi="Times New Roman" w:cs="Times New Roman"/>
          <w:b/>
          <w:color w:val="000000"/>
        </w:rPr>
        <w:t>、引进消化吸收再创新：</w:t>
      </w:r>
      <w:r>
        <w:rPr>
          <w:rFonts w:hint="eastAsia" w:ascii="Times New Roman" w:hAnsi="Times New Roman" w:cs="Times New Roman"/>
          <w:color w:val="000000"/>
        </w:rPr>
        <w:t>引进好的技术，在消化吸收别人先进的技术后在其原有的技术基础上进加以改进。</w:t>
      </w:r>
    </w:p>
    <w:p w14:paraId="62E35982">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15</w:t>
      </w:r>
      <w:r>
        <w:rPr>
          <w:rFonts w:hint="eastAsia" w:ascii="Times New Roman" w:hAnsi="Times New Roman" w:cs="Times New Roman"/>
          <w:b/>
          <w:color w:val="000000"/>
        </w:rPr>
        <w:t>、</w:t>
      </w:r>
      <w:r>
        <w:rPr>
          <w:rFonts w:ascii="Times New Roman" w:hAnsi="Times New Roman" w:cs="Times New Roman"/>
          <w:b/>
          <w:color w:val="000000"/>
        </w:rPr>
        <w:t>R&amp;D</w:t>
      </w:r>
      <w:r>
        <w:rPr>
          <w:rFonts w:hint="eastAsia" w:ascii="Times New Roman" w:hAnsi="Times New Roman" w:cs="Times New Roman"/>
          <w:b/>
          <w:color w:val="000000"/>
        </w:rPr>
        <w:t>：</w:t>
      </w:r>
      <w:r>
        <w:rPr>
          <w:rFonts w:hint="eastAsia" w:ascii="Times New Roman" w:hAnsi="Times New Roman" w:cs="Times New Roman"/>
          <w:color w:val="000000"/>
        </w:rPr>
        <w:t>研究与试验发展（</w:t>
      </w:r>
      <w:r>
        <w:rPr>
          <w:rFonts w:ascii="Times New Roman" w:hAnsi="Times New Roman" w:cs="Times New Roman"/>
          <w:color w:val="000000"/>
        </w:rPr>
        <w:t>R&amp;D</w:t>
      </w:r>
      <w:r>
        <w:rPr>
          <w:rFonts w:hint="eastAsia" w:ascii="Times New Roman" w:hAnsi="Times New Roman" w:cs="Times New Roman"/>
          <w:color w:val="000000"/>
        </w:rPr>
        <w:t>）经费支出是统计年度内全社会实际用于基础研究、应用研究和试验发展的经费支出。</w:t>
      </w:r>
    </w:p>
    <w:p w14:paraId="5CF4AD2C">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16</w:t>
      </w:r>
      <w:r>
        <w:rPr>
          <w:rFonts w:hint="eastAsia" w:ascii="Times New Roman" w:hAnsi="Times New Roman" w:cs="Times New Roman"/>
          <w:b/>
          <w:color w:val="000000"/>
        </w:rPr>
        <w:t>、双创孵化：</w:t>
      </w:r>
      <w:r>
        <w:rPr>
          <w:rFonts w:ascii="Times New Roman" w:hAnsi="Times New Roman" w:cs="Times New Roman"/>
          <w:color w:val="000000"/>
        </w:rPr>
        <w:t>“</w:t>
      </w:r>
      <w:r>
        <w:rPr>
          <w:rFonts w:hint="eastAsia" w:ascii="Times New Roman" w:hAnsi="Times New Roman" w:cs="Times New Roman"/>
          <w:color w:val="000000"/>
        </w:rPr>
        <w:t>双创孵化</w:t>
      </w:r>
      <w:r>
        <w:rPr>
          <w:rFonts w:ascii="Times New Roman" w:hAnsi="Times New Roman" w:cs="Times New Roman"/>
          <w:color w:val="000000"/>
        </w:rPr>
        <w:t>”</w:t>
      </w:r>
      <w:r>
        <w:rPr>
          <w:rFonts w:hint="eastAsia" w:ascii="Times New Roman" w:hAnsi="Times New Roman" w:cs="Times New Roman"/>
          <w:color w:val="000000"/>
        </w:rPr>
        <w:t>服务是指为降低企业的创业风险和创业成本，提高企业的成活率和成功率，为入孵企业提供研发、中试生产、经营的场地和办公方面的共享设施以及提供政策、管理、法律、财务、融资、市场推广和培训等方面的服务。国家发改委</w:t>
      </w:r>
      <w:r>
        <w:rPr>
          <w:rFonts w:ascii="Times New Roman" w:hAnsi="Times New Roman" w:cs="Times New Roman"/>
          <w:color w:val="000000"/>
        </w:rPr>
        <w:t>2015</w:t>
      </w:r>
      <w:r>
        <w:rPr>
          <w:rFonts w:hint="eastAsia" w:ascii="Times New Roman" w:hAnsi="Times New Roman" w:cs="Times New Roman"/>
          <w:color w:val="000000"/>
        </w:rPr>
        <w:t>年</w:t>
      </w:r>
      <w:r>
        <w:rPr>
          <w:rFonts w:ascii="Times New Roman" w:hAnsi="Times New Roman" w:cs="Times New Roman"/>
          <w:color w:val="000000"/>
        </w:rPr>
        <w:t>11</w:t>
      </w:r>
      <w:r>
        <w:rPr>
          <w:rFonts w:hint="eastAsia" w:ascii="Times New Roman" w:hAnsi="Times New Roman" w:cs="Times New Roman"/>
          <w:color w:val="000000"/>
        </w:rPr>
        <w:t>月</w:t>
      </w:r>
      <w:r>
        <w:rPr>
          <w:rFonts w:ascii="Times New Roman" w:hAnsi="Times New Roman" w:cs="Times New Roman"/>
          <w:color w:val="000000"/>
        </w:rPr>
        <w:t>9</w:t>
      </w:r>
      <w:r>
        <w:rPr>
          <w:rFonts w:hint="eastAsia" w:ascii="Times New Roman" w:hAnsi="Times New Roman" w:cs="Times New Roman"/>
          <w:color w:val="000000"/>
        </w:rPr>
        <w:t>日出台《双创孵化专项债券发行指引》。</w:t>
      </w:r>
    </w:p>
    <w:p w14:paraId="7AF365C5">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17</w:t>
      </w:r>
      <w:r>
        <w:rPr>
          <w:rFonts w:hint="eastAsia" w:ascii="Times New Roman" w:hAnsi="Times New Roman" w:cs="Times New Roman"/>
          <w:b/>
          <w:color w:val="000000"/>
        </w:rPr>
        <w:t>、专、精、特、新：</w:t>
      </w:r>
      <w:r>
        <w:rPr>
          <w:rFonts w:hint="eastAsia" w:ascii="Times New Roman" w:hAnsi="Times New Roman" w:cs="Times New Roman"/>
          <w:color w:val="000000"/>
        </w:rPr>
        <w:t>专业化、精细化、特色化、新颖化。</w:t>
      </w:r>
    </w:p>
    <w:p w14:paraId="286209C9">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18</w:t>
      </w:r>
      <w:r>
        <w:rPr>
          <w:rFonts w:hint="eastAsia" w:ascii="Times New Roman" w:hAnsi="Times New Roman" w:cs="Times New Roman"/>
          <w:b/>
          <w:color w:val="000000"/>
        </w:rPr>
        <w:t>、智慧城市：</w:t>
      </w:r>
      <w:r>
        <w:rPr>
          <w:rFonts w:hint="eastAsia" w:ascii="Times New Roman" w:hAnsi="Times New Roman" w:cs="Times New Roman"/>
          <w:color w:val="000000"/>
        </w:rPr>
        <w:t>运用信息和通信技术手段感测、分析、整合城市运行核心系统的各项关键信息，从而对包括民生、环保、公共安全、城市服务、工商业活动在内的各种需求做出智能响应。其实质是利用先进的信息技术，实现城市智慧式管理和运行。</w:t>
      </w:r>
    </w:p>
    <w:p w14:paraId="20263DE7">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19</w:t>
      </w:r>
      <w:r>
        <w:rPr>
          <w:rFonts w:hint="eastAsia" w:ascii="Times New Roman" w:hAnsi="Times New Roman" w:cs="Times New Roman"/>
          <w:b/>
          <w:color w:val="000000"/>
        </w:rPr>
        <w:t>、宽带中国：</w:t>
      </w:r>
      <w:r>
        <w:rPr>
          <w:rFonts w:ascii="Times New Roman" w:hAnsi="Times New Roman" w:cs="Times New Roman"/>
          <w:color w:val="000000"/>
        </w:rPr>
        <w:t>2013</w:t>
      </w:r>
      <w:r>
        <w:rPr>
          <w:rFonts w:hint="eastAsia" w:ascii="Times New Roman" w:hAnsi="Times New Roman" w:cs="Times New Roman"/>
          <w:color w:val="000000"/>
        </w:rPr>
        <w:t>年</w:t>
      </w:r>
      <w:r>
        <w:rPr>
          <w:rFonts w:ascii="Times New Roman" w:hAnsi="Times New Roman" w:cs="Times New Roman"/>
          <w:color w:val="000000"/>
        </w:rPr>
        <w:t>8</w:t>
      </w:r>
      <w:r>
        <w:rPr>
          <w:rFonts w:hint="eastAsia" w:ascii="Times New Roman" w:hAnsi="Times New Roman" w:cs="Times New Roman"/>
          <w:color w:val="000000"/>
        </w:rPr>
        <w:t>月</w:t>
      </w:r>
      <w:r>
        <w:rPr>
          <w:rFonts w:ascii="Times New Roman" w:hAnsi="Times New Roman" w:cs="Times New Roman"/>
          <w:color w:val="000000"/>
        </w:rPr>
        <w:t>17</w:t>
      </w:r>
      <w:r>
        <w:rPr>
          <w:rFonts w:hint="eastAsia" w:ascii="Times New Roman" w:hAnsi="Times New Roman" w:cs="Times New Roman"/>
          <w:color w:val="000000"/>
        </w:rPr>
        <w:t>日，中国国务院发布了</w:t>
      </w:r>
      <w:r>
        <w:rPr>
          <w:rFonts w:ascii="Times New Roman" w:hAnsi="Times New Roman" w:cs="Times New Roman"/>
          <w:color w:val="000000"/>
        </w:rPr>
        <w:t>“</w:t>
      </w:r>
      <w:r>
        <w:rPr>
          <w:rFonts w:hint="eastAsia" w:ascii="Times New Roman" w:hAnsi="Times New Roman" w:cs="Times New Roman"/>
          <w:color w:val="000000"/>
        </w:rPr>
        <w:t>宽带中国</w:t>
      </w:r>
      <w:r>
        <w:rPr>
          <w:rFonts w:ascii="Times New Roman" w:hAnsi="Times New Roman" w:cs="Times New Roman"/>
          <w:color w:val="000000"/>
        </w:rPr>
        <w:t>”</w:t>
      </w:r>
      <w:r>
        <w:rPr>
          <w:rFonts w:hint="eastAsia" w:ascii="Times New Roman" w:hAnsi="Times New Roman" w:cs="Times New Roman"/>
          <w:color w:val="000000"/>
        </w:rPr>
        <w:t>战略实施方案，部署未来</w:t>
      </w:r>
      <w:r>
        <w:rPr>
          <w:rFonts w:ascii="Times New Roman" w:hAnsi="Times New Roman" w:cs="Times New Roman"/>
          <w:color w:val="000000"/>
        </w:rPr>
        <w:t>8</w:t>
      </w:r>
      <w:r>
        <w:rPr>
          <w:rFonts w:hint="eastAsia" w:ascii="Times New Roman" w:hAnsi="Times New Roman" w:cs="Times New Roman"/>
          <w:color w:val="000000"/>
        </w:rPr>
        <w:t>年宽带发展目标及路径，意味着</w:t>
      </w:r>
      <w:r>
        <w:rPr>
          <w:rFonts w:ascii="Times New Roman" w:hAnsi="Times New Roman" w:cs="Times New Roman"/>
          <w:color w:val="000000"/>
        </w:rPr>
        <w:t>“</w:t>
      </w:r>
      <w:r>
        <w:rPr>
          <w:rFonts w:hint="eastAsia" w:ascii="Times New Roman" w:hAnsi="Times New Roman" w:cs="Times New Roman"/>
          <w:color w:val="000000"/>
        </w:rPr>
        <w:t>宽带战略</w:t>
      </w:r>
      <w:r>
        <w:rPr>
          <w:rFonts w:ascii="Times New Roman" w:hAnsi="Times New Roman" w:cs="Times New Roman"/>
          <w:color w:val="000000"/>
        </w:rPr>
        <w:t>”</w:t>
      </w:r>
      <w:r>
        <w:rPr>
          <w:rFonts w:hint="eastAsia" w:ascii="Times New Roman" w:hAnsi="Times New Roman" w:cs="Times New Roman"/>
          <w:color w:val="000000"/>
        </w:rPr>
        <w:t>从部门行动上升为国家战略，宽带成为国家战略性公共基础设施。</w:t>
      </w:r>
    </w:p>
    <w:p w14:paraId="60233AA3">
      <w:pPr>
        <w:spacing w:line="480" w:lineRule="exact"/>
        <w:ind w:firstLine="422" w:firstLineChars="200"/>
        <w:rPr>
          <w:rFonts w:ascii="Times New Roman" w:hAnsi="Times New Roman" w:cs="Times New Roman"/>
          <w:color w:val="000000"/>
        </w:rPr>
      </w:pPr>
      <w:r>
        <w:rPr>
          <w:rFonts w:ascii="Times New Roman" w:hAnsi="Times New Roman" w:cs="Times New Roman"/>
          <w:b/>
          <w:color w:val="000000"/>
        </w:rPr>
        <w:t>20</w:t>
      </w:r>
      <w:r>
        <w:rPr>
          <w:rFonts w:hint="eastAsia" w:ascii="Times New Roman" w:hAnsi="Times New Roman" w:cs="Times New Roman"/>
          <w:b/>
          <w:color w:val="000000"/>
        </w:rPr>
        <w:t>、三网融合：</w:t>
      </w:r>
      <w:r>
        <w:rPr>
          <w:rFonts w:hint="eastAsia" w:ascii="Times New Roman" w:hAnsi="Times New Roman" w:cs="Times New Roman"/>
          <w:color w:val="000000"/>
        </w:rPr>
        <w:t>电信网、广播电视网、互联网在向宽带通信网、数字电视网、下一代互联网演进过程中，三大网络通过技术改造，其技术功能趋于一致，业务范围趋于相同，网络互联互通、资源共享，能为用户提供语音、数据和广播电视等多种服务。</w:t>
      </w:r>
    </w:p>
    <w:p w14:paraId="3B63638B">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21</w:t>
      </w:r>
      <w:r>
        <w:rPr>
          <w:rFonts w:hint="eastAsia" w:ascii="Times New Roman" w:hAnsi="Times New Roman" w:cs="Times New Roman"/>
          <w:b/>
          <w:color w:val="000000"/>
        </w:rPr>
        <w:t>、两化融合：</w:t>
      </w:r>
      <w:r>
        <w:rPr>
          <w:rFonts w:hint="eastAsia" w:ascii="Times New Roman" w:hAnsi="Times New Roman" w:cs="Times New Roman"/>
          <w:color w:val="000000"/>
        </w:rPr>
        <w:t>信息化和工业化的高层次深度结合，是指以信息化带动工业化、以工业化促进信息化，走新型工业化道路；两化融合的核心就是信息化支撑，追求可持续发展模式。</w:t>
      </w:r>
    </w:p>
    <w:p w14:paraId="232B9345">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22</w:t>
      </w:r>
      <w:r>
        <w:rPr>
          <w:rFonts w:hint="eastAsia" w:ascii="Times New Roman" w:hAnsi="Times New Roman" w:cs="Times New Roman"/>
          <w:b/>
          <w:color w:val="000000"/>
        </w:rPr>
        <w:t>、主板：</w:t>
      </w:r>
      <w:r>
        <w:rPr>
          <w:rFonts w:hint="eastAsia" w:ascii="Times New Roman" w:hAnsi="Times New Roman" w:cs="Times New Roman"/>
          <w:color w:val="000000"/>
        </w:rPr>
        <w:t>主板市场也称为一板市场，指传统意义上的证券市场（通常指股票市场），是一个国家或地区证券发行、上市及交易的主要场所。中国大陆主板市场的公司在上交所和深交所两个市场上市。主板市场是资本市场中最重要的组成部分，很大程度上能够反映经济发展状况，有</w:t>
      </w:r>
      <w:r>
        <w:rPr>
          <w:rFonts w:ascii="Times New Roman" w:hAnsi="Times New Roman" w:cs="Times New Roman"/>
          <w:color w:val="000000"/>
        </w:rPr>
        <w:t>“</w:t>
      </w:r>
      <w:r>
        <w:rPr>
          <w:rFonts w:hint="eastAsia" w:ascii="Times New Roman" w:hAnsi="Times New Roman" w:cs="Times New Roman"/>
          <w:color w:val="000000"/>
        </w:rPr>
        <w:t>国民经济晴雨表</w:t>
      </w:r>
      <w:r>
        <w:rPr>
          <w:rFonts w:ascii="Times New Roman" w:hAnsi="Times New Roman" w:cs="Times New Roman"/>
          <w:color w:val="000000"/>
        </w:rPr>
        <w:t>”</w:t>
      </w:r>
      <w:r>
        <w:rPr>
          <w:rFonts w:hint="eastAsia" w:ascii="Times New Roman" w:hAnsi="Times New Roman" w:cs="Times New Roman"/>
          <w:color w:val="000000"/>
        </w:rPr>
        <w:t>之称。</w:t>
      </w:r>
    </w:p>
    <w:p w14:paraId="37DB6E24">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23</w:t>
      </w:r>
      <w:r>
        <w:rPr>
          <w:rFonts w:hint="eastAsia" w:ascii="Times New Roman" w:hAnsi="Times New Roman" w:cs="Times New Roman"/>
          <w:b/>
          <w:color w:val="000000"/>
        </w:rPr>
        <w:t>、新三板：</w:t>
      </w:r>
      <w:r>
        <w:rPr>
          <w:rFonts w:hint="eastAsia" w:ascii="Times New Roman" w:hAnsi="Times New Roman" w:cs="Times New Roman"/>
          <w:color w:val="000000"/>
        </w:rPr>
        <w:t>全国性的非上市股份有限公司股权交易平台，主要针对的是中小微型企业。</w:t>
      </w:r>
    </w:p>
    <w:p w14:paraId="26486116">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24</w:t>
      </w:r>
      <w:r>
        <w:rPr>
          <w:rFonts w:hint="eastAsia" w:ascii="Times New Roman" w:hAnsi="Times New Roman" w:cs="Times New Roman"/>
          <w:b/>
          <w:color w:val="000000"/>
        </w:rPr>
        <w:t>、区域性股权市场：</w:t>
      </w:r>
      <w:r>
        <w:rPr>
          <w:rFonts w:hint="eastAsia" w:ascii="Times New Roman" w:hAnsi="Times New Roman" w:cs="Times New Roman"/>
          <w:color w:val="000000"/>
        </w:rPr>
        <w:t>为特定区域内企业提供股权、债券转让和融资服务的私募市场。</w:t>
      </w:r>
    </w:p>
    <w:p w14:paraId="392C22FC">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25</w:t>
      </w:r>
      <w:r>
        <w:rPr>
          <w:rFonts w:hint="eastAsia" w:ascii="Times New Roman" w:hAnsi="Times New Roman" w:cs="Times New Roman"/>
          <w:b/>
          <w:color w:val="000000"/>
        </w:rPr>
        <w:t>、负面清单制度：</w:t>
      </w:r>
      <w:r>
        <w:rPr>
          <w:rFonts w:hint="eastAsia" w:ascii="Times New Roman" w:hAnsi="Times New Roman" w:cs="Times New Roman"/>
          <w:color w:val="000000"/>
        </w:rPr>
        <w:t>政府规定哪些经济领域不开放，除了清单上的禁区，其他行业、领域和经济活动都许可。凡是与外资的国民待遇、最惠国待遇不符的管理措施，或业绩要求、高管要求等方面的管理措施均以清单方式列明。</w:t>
      </w:r>
    </w:p>
    <w:p w14:paraId="7C2B6B68">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26</w:t>
      </w:r>
      <w:r>
        <w:rPr>
          <w:rFonts w:hint="eastAsia" w:ascii="Times New Roman" w:hAnsi="Times New Roman" w:cs="Times New Roman"/>
          <w:b/>
          <w:color w:val="000000"/>
        </w:rPr>
        <w:t>、自然资源资产负债表（</w:t>
      </w:r>
      <w:r>
        <w:rPr>
          <w:rFonts w:ascii="Times New Roman" w:hAnsi="Times New Roman" w:cs="Times New Roman"/>
          <w:b/>
          <w:color w:val="000000"/>
        </w:rPr>
        <w:t>Natural Capital Balance)</w:t>
      </w:r>
      <w:r>
        <w:rPr>
          <w:rFonts w:hint="eastAsia" w:ascii="Times New Roman" w:hAnsi="Times New Roman" w:cs="Times New Roman"/>
          <w:b/>
          <w:color w:val="000000"/>
        </w:rPr>
        <w:t>：</w:t>
      </w:r>
      <w:r>
        <w:rPr>
          <w:rFonts w:hint="eastAsia" w:ascii="Times New Roman" w:hAnsi="Times New Roman" w:cs="Times New Roman"/>
          <w:color w:val="000000"/>
        </w:rPr>
        <w:t>一个地区在某个特定时间点上所拥有的自然资源资产总价值和把自然资源维持在规定水平之上的成本（负债）的报告。</w:t>
      </w:r>
    </w:p>
    <w:p w14:paraId="24A487D9">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27</w:t>
      </w:r>
      <w:r>
        <w:rPr>
          <w:rFonts w:hint="eastAsia" w:ascii="Times New Roman" w:hAnsi="Times New Roman" w:cs="Times New Roman"/>
          <w:b/>
          <w:color w:val="000000"/>
        </w:rPr>
        <w:t>、三规合一：</w:t>
      </w:r>
      <w:r>
        <w:rPr>
          <w:rFonts w:hint="eastAsia" w:ascii="Times New Roman" w:hAnsi="Times New Roman" w:cs="Times New Roman"/>
          <w:color w:val="000000"/>
        </w:rPr>
        <w:t>将国民经济和社会发展规划、城市总体规划、土地利用规划中涉及到的相同内容统一起来，并落实到一个共同的空间规划平台上，各规划的其它内容按相关专业要求各自补充完成。</w:t>
      </w:r>
    </w:p>
    <w:p w14:paraId="7910AA72">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28</w:t>
      </w:r>
      <w:r>
        <w:rPr>
          <w:rFonts w:hint="eastAsia" w:ascii="Times New Roman" w:hAnsi="Times New Roman" w:cs="Times New Roman"/>
          <w:b/>
          <w:color w:val="000000"/>
        </w:rPr>
        <w:t>、供给侧改革：</w:t>
      </w:r>
      <w:r>
        <w:rPr>
          <w:rFonts w:hint="eastAsia" w:ascii="Times New Roman" w:hAnsi="Times New Roman" w:cs="Times New Roman"/>
          <w:color w:val="000000"/>
        </w:rPr>
        <w:t>从供给、生产端入手，通过解放生产力，提升竞争力促进经济发展。具体而言，就是要求清理僵尸企业，淘汰落后产能，将发展方向锁定新兴领域、创新领域，创造新的经济增长点。</w:t>
      </w:r>
    </w:p>
    <w:p w14:paraId="38D22697">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29</w:t>
      </w:r>
      <w:r>
        <w:rPr>
          <w:rFonts w:hint="eastAsia" w:ascii="Times New Roman" w:hAnsi="Times New Roman" w:cs="Times New Roman"/>
          <w:b/>
          <w:color w:val="000000"/>
        </w:rPr>
        <w:t>、海绵城市：</w:t>
      </w:r>
      <w:r>
        <w:rPr>
          <w:rFonts w:hint="eastAsia" w:ascii="Times New Roman" w:hAnsi="Times New Roman" w:cs="Times New Roman"/>
          <w:color w:val="000000"/>
        </w:rPr>
        <w:t>新一代城市雨洪管理概念，是指城市在适应环境变化和应对雨水带来的自然灾害等方面具有良好的</w:t>
      </w:r>
      <w:r>
        <w:rPr>
          <w:rFonts w:ascii="Times New Roman" w:hAnsi="Times New Roman" w:cs="Times New Roman"/>
          <w:color w:val="000000"/>
        </w:rPr>
        <w:t>“</w:t>
      </w:r>
      <w:r>
        <w:rPr>
          <w:rFonts w:hint="eastAsia" w:ascii="Times New Roman" w:hAnsi="Times New Roman" w:cs="Times New Roman"/>
          <w:color w:val="000000"/>
        </w:rPr>
        <w:t>弹性</w:t>
      </w:r>
      <w:r>
        <w:rPr>
          <w:rFonts w:ascii="Times New Roman" w:hAnsi="Times New Roman" w:cs="Times New Roman"/>
          <w:color w:val="000000"/>
        </w:rPr>
        <w:t>”</w:t>
      </w:r>
      <w:r>
        <w:rPr>
          <w:rFonts w:hint="eastAsia" w:ascii="Times New Roman" w:hAnsi="Times New Roman" w:cs="Times New Roman"/>
          <w:color w:val="000000"/>
        </w:rPr>
        <w:t>，也可称之为</w:t>
      </w:r>
      <w:r>
        <w:rPr>
          <w:rFonts w:ascii="Times New Roman" w:hAnsi="Times New Roman" w:cs="Times New Roman"/>
          <w:color w:val="000000"/>
        </w:rPr>
        <w:t>“</w:t>
      </w:r>
      <w:r>
        <w:rPr>
          <w:rFonts w:hint="eastAsia" w:ascii="Times New Roman" w:hAnsi="Times New Roman" w:cs="Times New Roman"/>
          <w:color w:val="000000"/>
        </w:rPr>
        <w:t>水弹性城市</w:t>
      </w:r>
      <w:r>
        <w:rPr>
          <w:rFonts w:ascii="Times New Roman" w:hAnsi="Times New Roman" w:cs="Times New Roman"/>
          <w:color w:val="000000"/>
        </w:rPr>
        <w:t>”</w:t>
      </w:r>
      <w:r>
        <w:rPr>
          <w:rFonts w:hint="eastAsia" w:ascii="Times New Roman" w:hAnsi="Times New Roman" w:cs="Times New Roman"/>
          <w:color w:val="000000"/>
        </w:rPr>
        <w:t>。国际通用术语为</w:t>
      </w:r>
      <w:r>
        <w:rPr>
          <w:rFonts w:ascii="Times New Roman" w:hAnsi="Times New Roman" w:cs="Times New Roman"/>
          <w:color w:val="000000"/>
        </w:rPr>
        <w:t>“</w:t>
      </w:r>
      <w:r>
        <w:rPr>
          <w:rFonts w:hint="eastAsia" w:ascii="Times New Roman" w:hAnsi="Times New Roman" w:cs="Times New Roman"/>
          <w:color w:val="000000"/>
        </w:rPr>
        <w:t>低影响开发雨水系统构建</w:t>
      </w:r>
      <w:r>
        <w:rPr>
          <w:rFonts w:ascii="Times New Roman" w:hAnsi="Times New Roman" w:cs="Times New Roman"/>
          <w:color w:val="000000"/>
        </w:rPr>
        <w:t>”</w:t>
      </w:r>
      <w:r>
        <w:rPr>
          <w:rFonts w:hint="eastAsia" w:ascii="Times New Roman" w:hAnsi="Times New Roman" w:cs="Times New Roman"/>
          <w:color w:val="000000"/>
        </w:rPr>
        <w:t>。下雨时吸水、蓄水、渗水、净水，需要时将蓄存的水</w:t>
      </w:r>
      <w:r>
        <w:rPr>
          <w:rFonts w:ascii="Times New Roman" w:hAnsi="Times New Roman" w:cs="Times New Roman"/>
          <w:color w:val="000000"/>
        </w:rPr>
        <w:t>“</w:t>
      </w:r>
      <w:r>
        <w:rPr>
          <w:rFonts w:hint="eastAsia" w:ascii="Times New Roman" w:hAnsi="Times New Roman" w:cs="Times New Roman"/>
          <w:color w:val="000000"/>
        </w:rPr>
        <w:t>释放</w:t>
      </w:r>
      <w:r>
        <w:rPr>
          <w:rFonts w:ascii="Times New Roman" w:hAnsi="Times New Roman" w:cs="Times New Roman"/>
          <w:color w:val="000000"/>
        </w:rPr>
        <w:t>”</w:t>
      </w:r>
      <w:r>
        <w:rPr>
          <w:rFonts w:hint="eastAsia" w:ascii="Times New Roman" w:hAnsi="Times New Roman" w:cs="Times New Roman"/>
          <w:color w:val="000000"/>
        </w:rPr>
        <w:t>并加以利用。</w:t>
      </w:r>
    </w:p>
    <w:p w14:paraId="5A7B5F30">
      <w:pPr>
        <w:spacing w:line="460" w:lineRule="exact"/>
        <w:ind w:firstLine="422" w:firstLineChars="200"/>
        <w:rPr>
          <w:rFonts w:ascii="Times New Roman" w:hAnsi="Times New Roman" w:cs="Times New Roman"/>
          <w:color w:val="000000"/>
        </w:rPr>
      </w:pPr>
      <w:r>
        <w:rPr>
          <w:rFonts w:ascii="Times New Roman" w:hAnsi="Times New Roman" w:cs="Times New Roman"/>
          <w:b/>
          <w:color w:val="000000"/>
        </w:rPr>
        <w:t>30</w:t>
      </w:r>
      <w:r>
        <w:rPr>
          <w:rFonts w:hint="eastAsia" w:ascii="Times New Roman" w:hAnsi="Times New Roman" w:cs="Times New Roman"/>
          <w:b/>
          <w:color w:val="000000"/>
        </w:rPr>
        <w:t>、农村面源污染：</w:t>
      </w:r>
      <w:r>
        <w:rPr>
          <w:rFonts w:hint="eastAsia" w:ascii="Times New Roman" w:hAnsi="Times New Roman" w:cs="Times New Roman"/>
          <w:color w:val="000000"/>
        </w:rPr>
        <w:t>农村生活和农业生产活动中，溶解的或固体的污染物，如农田中的土粒、氮素、磷素、农药重金属、农村禽畜粪便与生活垃圾等有机或无机物质，从非特定的地域，在降水和径流冲刷作用下，通过农田地表径流、农田排水和地下渗漏，使大量污染物进入受纳水体（河流、湖泊、水库、海湾）所引起的污染。</w:t>
      </w:r>
    </w:p>
    <w:sectPr>
      <w:pgSz w:w="11906" w:h="16838"/>
      <w:pgMar w:top="1871" w:right="1361" w:bottom="1814" w:left="136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0EC0">
    <w:pPr>
      <w:pStyle w:val="10"/>
      <w:tabs>
        <w:tab w:val="left" w:pos="271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32F0">
    <w:pPr>
      <w:pStyle w:val="10"/>
      <w:tabs>
        <w:tab w:val="left" w:pos="2715"/>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B7AE">
    <w:pPr>
      <w:pStyle w:val="10"/>
      <w:jc w:val="center"/>
      <w:rPr>
        <w:rFonts w:asci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25 -</w:t>
    </w:r>
    <w:r>
      <w:rPr>
        <w:rFonts w:ascii="宋体" w:hAnsi="宋体"/>
        <w:sz w:val="24"/>
        <w:szCs w:val="24"/>
      </w:rPr>
      <w:fldChar w:fldCharType="end"/>
    </w:r>
  </w:p>
  <w:p w14:paraId="51C33B89">
    <w:pPr>
      <w:pStyle w:val="10"/>
      <w:tabs>
        <w:tab w:val="left" w:pos="271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Q4NGE2OTU2Zjc1MTNhMGEwZDkyNTFkZDZjZjEyNzAifQ=="/>
  </w:docVars>
  <w:rsids>
    <w:rsidRoot w:val="00AB1BFF"/>
    <w:rsid w:val="002D3D09"/>
    <w:rsid w:val="00302263"/>
    <w:rsid w:val="003C19FD"/>
    <w:rsid w:val="00403A25"/>
    <w:rsid w:val="00462064"/>
    <w:rsid w:val="00486588"/>
    <w:rsid w:val="00584A80"/>
    <w:rsid w:val="005E7ADD"/>
    <w:rsid w:val="0063345A"/>
    <w:rsid w:val="00856BA6"/>
    <w:rsid w:val="008A2275"/>
    <w:rsid w:val="00935BCB"/>
    <w:rsid w:val="00AA7281"/>
    <w:rsid w:val="00AB1BFF"/>
    <w:rsid w:val="00C52492"/>
    <w:rsid w:val="01F35F68"/>
    <w:rsid w:val="06DC7238"/>
    <w:rsid w:val="366A468E"/>
    <w:rsid w:val="3A031334"/>
    <w:rsid w:val="666977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qFormat="1"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99"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99"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9">
    <w:name w:val="Default Paragraph Font"/>
    <w:semiHidden/>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iPriority w:val="99"/>
    <w:pPr>
      <w:ind w:left="2520" w:leftChars="1200"/>
    </w:pPr>
  </w:style>
  <w:style w:type="paragraph" w:styleId="5">
    <w:name w:val="Document Map"/>
    <w:basedOn w:val="1"/>
    <w:link w:val="24"/>
    <w:uiPriority w:val="99"/>
    <w:rPr>
      <w:rFonts w:ascii="宋体" w:hAnsi="Times New Roman" w:cs="Times New Roman"/>
      <w:kern w:val="0"/>
      <w:sz w:val="18"/>
      <w:szCs w:val="18"/>
    </w:rPr>
  </w:style>
  <w:style w:type="paragraph" w:styleId="6">
    <w:name w:val="toc 5"/>
    <w:basedOn w:val="1"/>
    <w:next w:val="1"/>
    <w:uiPriority w:val="99"/>
    <w:pPr>
      <w:ind w:left="1680" w:leftChars="800"/>
    </w:pPr>
  </w:style>
  <w:style w:type="paragraph" w:styleId="7">
    <w:name w:val="toc 3"/>
    <w:basedOn w:val="1"/>
    <w:next w:val="1"/>
    <w:uiPriority w:val="99"/>
    <w:pPr>
      <w:ind w:left="840" w:leftChars="400"/>
    </w:pPr>
  </w:style>
  <w:style w:type="paragraph" w:styleId="8">
    <w:name w:val="toc 8"/>
    <w:basedOn w:val="1"/>
    <w:next w:val="1"/>
    <w:qFormat/>
    <w:uiPriority w:val="99"/>
    <w:pPr>
      <w:ind w:left="2940" w:leftChars="1400"/>
    </w:pPr>
  </w:style>
  <w:style w:type="paragraph" w:styleId="9">
    <w:name w:val="Balloon Text"/>
    <w:basedOn w:val="1"/>
    <w:link w:val="25"/>
    <w:uiPriority w:val="99"/>
    <w:rPr>
      <w:rFonts w:ascii="Times New Roman" w:hAnsi="Times New Roman" w:cs="Times New Roman"/>
      <w:kern w:val="0"/>
      <w:sz w:val="18"/>
      <w:szCs w:val="18"/>
    </w:rPr>
  </w:style>
  <w:style w:type="paragraph" w:styleId="10">
    <w:name w:val="footer"/>
    <w:basedOn w:val="1"/>
    <w:link w:val="26"/>
    <w:uiPriority w:val="99"/>
    <w:pPr>
      <w:tabs>
        <w:tab w:val="center" w:pos="4153"/>
        <w:tab w:val="right" w:pos="8306"/>
      </w:tabs>
      <w:snapToGrid w:val="0"/>
      <w:jc w:val="left"/>
    </w:pPr>
    <w:rPr>
      <w:rFonts w:ascii="Times New Roman" w:hAnsi="Times New Roman" w:cs="Times New Roman"/>
      <w:kern w:val="0"/>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2">
    <w:name w:val="toc 1"/>
    <w:basedOn w:val="1"/>
    <w:next w:val="1"/>
    <w:uiPriority w:val="99"/>
    <w:rPr>
      <w:rFonts w:eastAsia="方正小标宋简体"/>
      <w:sz w:val="24"/>
    </w:rPr>
  </w:style>
  <w:style w:type="paragraph" w:styleId="13">
    <w:name w:val="toc 4"/>
    <w:basedOn w:val="1"/>
    <w:next w:val="1"/>
    <w:uiPriority w:val="99"/>
    <w:pPr>
      <w:ind w:left="1260" w:leftChars="600"/>
    </w:pPr>
  </w:style>
  <w:style w:type="paragraph" w:styleId="14">
    <w:name w:val="toc 6"/>
    <w:basedOn w:val="1"/>
    <w:next w:val="1"/>
    <w:uiPriority w:val="99"/>
    <w:pPr>
      <w:ind w:left="2100" w:leftChars="1000"/>
    </w:pPr>
  </w:style>
  <w:style w:type="paragraph" w:styleId="15">
    <w:name w:val="toc 2"/>
    <w:basedOn w:val="1"/>
    <w:next w:val="1"/>
    <w:qFormat/>
    <w:uiPriority w:val="99"/>
    <w:pPr>
      <w:ind w:left="420" w:leftChars="200"/>
    </w:pPr>
    <w:rPr>
      <w:rFonts w:ascii="宋体" w:hAnsi="宋体"/>
    </w:rPr>
  </w:style>
  <w:style w:type="paragraph" w:styleId="16">
    <w:name w:val="toc 9"/>
    <w:basedOn w:val="1"/>
    <w:next w:val="1"/>
    <w:uiPriority w:val="99"/>
    <w:pPr>
      <w:ind w:left="3360" w:leftChars="1600"/>
    </w:pPr>
  </w:style>
  <w:style w:type="paragraph" w:styleId="17">
    <w:name w:val="Normal (Web)"/>
    <w:basedOn w:val="1"/>
    <w:uiPriority w:val="99"/>
    <w:pPr>
      <w:widowControl/>
      <w:jc w:val="left"/>
    </w:pPr>
    <w:rPr>
      <w:rFonts w:ascii="宋体" w:hAnsi="宋体" w:cs="宋体"/>
      <w:kern w:val="0"/>
      <w:sz w:val="24"/>
    </w:rPr>
  </w:style>
  <w:style w:type="character" w:styleId="20">
    <w:name w:val="Hyperlink"/>
    <w:basedOn w:val="19"/>
    <w:uiPriority w:val="99"/>
    <w:rPr>
      <w:rFonts w:cs="Times New Roman"/>
      <w:color w:val="0000FF"/>
      <w:u w:val="single"/>
    </w:rPr>
  </w:style>
  <w:style w:type="character" w:styleId="21">
    <w:name w:val="HTML Code"/>
    <w:basedOn w:val="19"/>
    <w:semiHidden/>
    <w:uiPriority w:val="99"/>
    <w:rPr>
      <w:rFonts w:ascii="??" w:hAnsi="??" w:eastAsia="宋体" w:cs="Times New Roman"/>
      <w:color w:val="000000"/>
      <w:sz w:val="21"/>
      <w:shd w:val="clear" w:color="auto" w:fill="F7F7F9"/>
    </w:rPr>
  </w:style>
  <w:style w:type="character" w:customStyle="1" w:styleId="22">
    <w:name w:val="Heading 1 Char"/>
    <w:basedOn w:val="19"/>
    <w:link w:val="2"/>
    <w:locked/>
    <w:uiPriority w:val="99"/>
    <w:rPr>
      <w:rFonts w:cs="Times New Roman"/>
      <w:b/>
      <w:kern w:val="44"/>
      <w:sz w:val="44"/>
    </w:rPr>
  </w:style>
  <w:style w:type="character" w:customStyle="1" w:styleId="23">
    <w:name w:val="Heading 2 Char"/>
    <w:basedOn w:val="19"/>
    <w:link w:val="3"/>
    <w:qFormat/>
    <w:locked/>
    <w:uiPriority w:val="99"/>
    <w:rPr>
      <w:rFonts w:ascii="Cambria" w:hAnsi="Cambria" w:eastAsia="宋体" w:cs="Times New Roman"/>
      <w:b/>
      <w:sz w:val="32"/>
    </w:rPr>
  </w:style>
  <w:style w:type="character" w:customStyle="1" w:styleId="24">
    <w:name w:val="Document Map Char"/>
    <w:basedOn w:val="19"/>
    <w:link w:val="5"/>
    <w:locked/>
    <w:uiPriority w:val="99"/>
    <w:rPr>
      <w:rFonts w:ascii="宋体" w:eastAsia="宋体" w:cs="Times New Roman"/>
      <w:sz w:val="18"/>
    </w:rPr>
  </w:style>
  <w:style w:type="character" w:customStyle="1" w:styleId="25">
    <w:name w:val="Balloon Text Char"/>
    <w:basedOn w:val="19"/>
    <w:link w:val="9"/>
    <w:locked/>
    <w:uiPriority w:val="99"/>
    <w:rPr>
      <w:rFonts w:cs="Times New Roman"/>
      <w:sz w:val="18"/>
    </w:rPr>
  </w:style>
  <w:style w:type="character" w:customStyle="1" w:styleId="26">
    <w:name w:val="Footer Char"/>
    <w:basedOn w:val="19"/>
    <w:link w:val="10"/>
    <w:locked/>
    <w:uiPriority w:val="99"/>
    <w:rPr>
      <w:rFonts w:cs="Times New Roman"/>
      <w:sz w:val="18"/>
    </w:rPr>
  </w:style>
  <w:style w:type="character" w:customStyle="1" w:styleId="27">
    <w:name w:val="Header Char"/>
    <w:basedOn w:val="19"/>
    <w:link w:val="11"/>
    <w:locked/>
    <w:uiPriority w:val="99"/>
    <w:rPr>
      <w:rFonts w:cs="Times New Roman"/>
      <w:sz w:val="18"/>
    </w:rPr>
  </w:style>
  <w:style w:type="paragraph" w:customStyle="1" w:styleId="28">
    <w:name w:val="p0"/>
    <w:basedOn w:val="1"/>
    <w:uiPriority w:val="99"/>
    <w:pPr>
      <w:widowControl/>
      <w:spacing w:before="100" w:beforeAutospacing="1" w:after="100" w:afterAutospacing="1"/>
      <w:jc w:val="left"/>
    </w:pPr>
    <w:rPr>
      <w:rFonts w:ascii="宋体" w:hAnsi="宋体" w:cs="宋体"/>
      <w:kern w:val="0"/>
      <w:sz w:val="24"/>
    </w:rPr>
  </w:style>
  <w:style w:type="paragraph" w:customStyle="1" w:styleId="29">
    <w:name w:val="列出段落1"/>
    <w:basedOn w:val="1"/>
    <w:uiPriority w:val="99"/>
    <w:pPr>
      <w:ind w:firstLine="420" w:firstLineChars="200"/>
    </w:pPr>
  </w:style>
  <w:style w:type="paragraph" w:customStyle="1" w:styleId="30">
    <w:name w:val="列出段落2"/>
    <w:basedOn w:val="1"/>
    <w:uiPriority w:val="99"/>
    <w:pPr>
      <w:ind w:firstLine="420" w:firstLineChars="200"/>
    </w:pPr>
  </w:style>
  <w:style w:type="paragraph" w:customStyle="1" w:styleId="31">
    <w:name w:val="列出段落3"/>
    <w:basedOn w:val="1"/>
    <w:uiPriority w:val="99"/>
    <w:pPr>
      <w:ind w:firstLine="420" w:firstLineChars="200"/>
    </w:pPr>
  </w:style>
  <w:style w:type="paragraph" w:customStyle="1" w:styleId="32">
    <w:name w:val="列出段落4"/>
    <w:basedOn w:val="1"/>
    <w:uiPriority w:val="99"/>
    <w:pPr>
      <w:ind w:firstLine="420" w:firstLineChars="200"/>
    </w:pPr>
  </w:style>
  <w:style w:type="paragraph" w:customStyle="1" w:styleId="33">
    <w:name w:val="TOC 标题1"/>
    <w:basedOn w:val="2"/>
    <w:next w:val="1"/>
    <w:semiHidden/>
    <w:uiPriority w:val="99"/>
    <w:pPr>
      <w:widowControl/>
      <w:spacing w:before="480" w:after="0" w:line="276" w:lineRule="auto"/>
      <w:jc w:val="left"/>
      <w:outlineLvl w:val="9"/>
    </w:pPr>
    <w:rPr>
      <w:rFonts w:ascii="Cambria" w:hAnsi="Cambria"/>
      <w:color w:val="365F90"/>
      <w:kern w:val="0"/>
      <w:sz w:val="28"/>
      <w:szCs w:val="28"/>
    </w:rPr>
  </w:style>
  <w:style w:type="paragraph" w:customStyle="1" w:styleId="34">
    <w:name w:val="List Paragraph1"/>
    <w:basedOn w:val="1"/>
    <w:qFormat/>
    <w:uiPriority w:val="99"/>
    <w:pPr>
      <w:ind w:firstLine="420" w:firstLineChars="200"/>
    </w:pPr>
  </w:style>
  <w:style w:type="paragraph" w:customStyle="1" w:styleId="35">
    <w:name w:val="TOC 标题2"/>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1 Char"/>
    <w:basedOn w:val="2"/>
    <w:uiPriority w:val="99"/>
    <w:pPr>
      <w:snapToGrid w:val="0"/>
      <w:spacing w:before="240" w:after="240" w:line="348" w:lineRule="auto"/>
    </w:pPr>
    <w:rPr>
      <w:rFonts w:ascii="Tahoma" w:hAnsi="Tahoma" w:eastAsia="仿宋_GB2312"/>
      <w:bCs w:val="0"/>
      <w:kern w:val="2"/>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63</Pages>
  <Words>12671</Words>
  <Characters>13201</Characters>
  <Lines>0</Lines>
  <Paragraphs>0</Paragraphs>
  <TotalTime>22</TotalTime>
  <ScaleCrop>false</ScaleCrop>
  <LinksUpToDate>false</LinksUpToDate>
  <CharactersWithSpaces>13540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2016-06-08T10:22:00Z</dcterms:created>
  <dc:creator>Administrator</dc:creator>
  <cp:lastModifiedBy>你过来我不打死你</cp:lastModifiedBy>
  <cp:lastPrinted>2016-06-08T03:36:00Z</cp:lastPrinted>
  <dcterms:modified xsi:type="dcterms:W3CDTF">2025-08-14T03:02:26Z</dcterms:modified>
  <dc:title>敖汉旗国民经济和社会发展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C63C7B85CF2A43009C886C78B5964CCE_12</vt:lpwstr>
  </property>
  <property fmtid="{D5CDD505-2E9C-101B-9397-08002B2CF9AE}" pid="4" name="KSOTemplateDocerSaveRecord">
    <vt:lpwstr>eyJoZGlkIjoiNmIyYTY4NzkyYWE5YWJiMDljNmM4NTA2ZWY2NWRjNTkiLCJ1c2VySWQiOiIyNTQ5NDgyMjgifQ==</vt:lpwstr>
  </property>
</Properties>
</file>